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F4C75"/>
          <w:sz w:val="56"/>
          <w:szCs w:val="56"/>
        </w:rPr>
        <w:t xml:space="preserve">Cloud Security Architecture</w:t>
      </w:r>
    </w:p>
    <w:p>
      <w:pPr>
        <w:spacing w:after="120" w:before="0"/>
      </w:pPr>
      <w:r>
        <w:rPr>
          <w:rFonts w:ascii="Arial" w:cs="Arial" w:eastAsia="Arial" w:hAnsi="Arial"/>
          <w:color w:val="1565C0"/>
          <w:sz w:val="36"/>
          <w:szCs w:val="36"/>
        </w:rPr>
        <w:t xml:space="preserve">Best Practices for AWS  ·  Azure  ·  GCP</w:t>
      </w:r>
    </w:p>
    <w:p>
      <w:pPr>
        <w:spacing w:after="200" w:before="0"/>
      </w:pPr>
      <w:r>
        <w:rPr>
          <w:rFonts w:ascii="Calibri" w:cs="Calibri" w:eastAsia="Calibri" w:hAnsi="Calibri"/>
          <w:color w:val="90A4AE"/>
          <w:sz w:val="22"/>
          <w:szCs w:val="22"/>
        </w:rPr>
        <w:t xml:space="preserve">Security Architecture Reference  |  March 2026</w:t>
      </w:r>
    </w:p>
    <w:p>
      <w:pPr>
        <w:pBdr>
          <w:bottom w:val="single" w:color="F4A261" w:sz="6" w:space="1"/>
        </w:pBdr>
        <w:spacing w:after="200" w:before="120"/>
      </w:pPr>
    </w:p>
    <w:p>
      <w:pPr>
        <w:spacing w:after="60" w:before="60"/>
      </w:pPr>
      <w:r>
        <w:rPr>
          <w:rFonts w:ascii="Calibri" w:cs="Calibri" w:eastAsia="Calibri" w:hAnsi="Calibri"/>
          <w:color w:val="37474F"/>
          <w:sz w:val="22"/>
          <w:szCs w:val="22"/>
        </w:rPr>
        <w:t xml:space="preserve">Author: Eran Shpigelman</w:t>
      </w:r>
    </w:p>
    <w:p>
      <w:pPr>
        <w:spacing w:after="60" w:before="60"/>
      </w:pPr>
      <w:r>
        <w:rPr>
          <w:rFonts w:ascii="Calibri" w:cs="Calibri" w:eastAsia="Calibri" w:hAnsi="Calibri"/>
          <w:color w:val="37474F"/>
          <w:sz w:val="22"/>
          <w:szCs w:val="22"/>
        </w:rPr>
        <w:t xml:space="preserve">Contact: eransh10@gmail.com</w:t>
      </w:r>
    </w:p>
    <w:p>
      <w:r>
        <w:t xml:space="preserve"/>
      </w:r>
    </w:p>
    <w:p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90A4AE"/>
          <w:sz w:val="19"/>
          <w:szCs w:val="19"/>
        </w:rPr>
        <w:t xml:space="preserve">Frameworks: NIST SP 800-53 Rev 5  ·  MITRE ATT&amp;CK Cloud  ·  CIS Benchmarks  ·  CSA CCM</w:t>
      </w:r>
    </w:p>
    <w:p>
      <w:r>
        <w:br w:type="page"/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0F4C75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F4C75"/>
          <w:sz w:val="32"/>
          <w:szCs w:val="32"/>
        </w:rPr>
        <w:t xml:space="preserve">1. Executive Summary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Cloud security is not a product you buy — it is an architecture you design. This reference document provides prescriptive, technically-detailed security controls for Amazon Web Services (AWS), Microsoft Azure, and Google Cloud Platform (GCP), covering identity and access management, network security, data protection, detection and response, and governance.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The foundational posture is Zero Trust: no implicit trust based on network location. Every request, API call, and workload interaction must be authenticated, authorized, and continuously validated. The controls in this document are mapped to MITRE ATT&amp;CK Cloud and NIST SP 800-53 Rev 5 to support compliance reporting and threat modeling.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1.1 Core Security Principles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Identity is the perimeter. Workload identity (IRSA, Managed Identity, Workload Identity Federation) replaces network perimeters. No long-lived credentials.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Private by default. All cloud services accessed via private endpoints. No public IPs on compute, storage, or databases unless explicitly justified.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Encrypt everything. Customer-managed keys (CMKs) on all data stores. TLS 1.2+ in transit. Secrets managed via dedicated vaults.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Policy-as-Code enforces guardrails. SCPs (AWS), Azure Policy, and Org Policy Constraints prevent misconfigurations before deployment.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Detect at cloud scale. Native CSPM (Security Hub, Defender for Cloud, SCC), behavioral analytics (GuardDuty, Sentinel, Chronicle), and centralized SIEM.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1.2 Shared Responsibility Model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Cloud providers secure the infrastructure; customers own everything from the operating system up. The table below summarizes responsibility across layers and providers.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900"/>
        <w:gridCol w:w="1900"/>
        <w:gridCol w:w="1900"/>
        <w:gridCol w:w="1900"/>
      </w:tblGrid>
      <w:tr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C7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C7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Customer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C7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AWS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C7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Azure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C7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GCP</w:t>
            </w:r>
          </w:p>
        </w:tc>
      </w:tr>
      <w:tr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7474F"/>
                <w:sz w:val="18"/>
                <w:szCs w:val="18"/>
              </w:rPr>
              <w:t xml:space="preserve">Data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Full ownership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Tools only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Tools only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Tools only</w:t>
            </w:r>
          </w:p>
        </w:tc>
      </w:tr>
      <w:tr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7474F"/>
                <w:sz w:val="18"/>
                <w:szCs w:val="18"/>
              </w:rPr>
              <w:t xml:space="preserve">Identity &amp; Access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Full ownership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IAM primitives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Entra ID primitives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IAM primitives</w:t>
            </w:r>
          </w:p>
        </w:tc>
      </w:tr>
      <w:tr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7474F"/>
                <w:sz w:val="18"/>
                <w:szCs w:val="18"/>
              </w:rPr>
              <w:t xml:space="preserve">App / Workload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Full ownership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Runtime environment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Runtime environment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Runtime environment</w:t>
            </w:r>
          </w:p>
        </w:tc>
      </w:tr>
      <w:tr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7474F"/>
                <w:sz w:val="18"/>
                <w:szCs w:val="18"/>
              </w:rPr>
              <w:t xml:space="preserve">Network Controls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Customer-configured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VPC infrastructure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VNet infrastructure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VPC infrastructure</w:t>
            </w:r>
          </w:p>
        </w:tc>
      </w:tr>
      <w:tr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7474F"/>
                <w:sz w:val="18"/>
                <w:szCs w:val="18"/>
              </w:rPr>
              <w:t xml:space="preserve">OS / Container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Customer (IaaS)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PaaS/SaaS: shared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PaaS/SaaS: shared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PaaS/SaaS: shared</w:t>
            </w:r>
          </w:p>
        </w:tc>
      </w:tr>
      <w:tr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7474F"/>
                <w:sz w:val="18"/>
                <w:szCs w:val="18"/>
              </w:rPr>
              <w:t xml:space="preserve">Physical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None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Full ownership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Full ownership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8"/>
                <w:szCs w:val="18"/>
              </w:rPr>
              <w:t xml:space="preserve">Full ownership</w:t>
            </w:r>
          </w:p>
        </w:tc>
      </w:tr>
    </w:tbl>
    <w:p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F4C75"/>
          <w:sz w:val="32"/>
          <w:szCs w:val="32"/>
        </w:rPr>
        <w:t xml:space="preserve">2. AWS Security Architecture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AWS security relies on a layered control model: Service Control Policies (SCPs) establish org-wide guardrails, IAM roles govern workload permissions, VPC configurations enforce network isolation, and AWS-native detection services provide continuous threat visibility.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2.1 Identity &amp; Access Management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Service Control Policies (SCPs)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SCPs are attached at the AWS Organizations level and define the maximum permissions any principal in a member account can have. They do not grant permissions — they restrict them. Critical SCPs to implement: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Deny all AWS regions except approved list (aws:RequestedRegion condition)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Deny root account API usage (prevent root access key creation)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Deny disabling GuardDuty, CloudTrail, or Security Hub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Deny creation of IAM users and access keys (enforce IRSA/SSO only)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Deny internet gateway creation in non-DMZ accounts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Deny s3:PutBucketPublicAccessBlock with BlockPublicAcls=false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Workload Identity (IRSA and Instance Profiles)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IAM Roles for Service Accounts (IRSA) binds a Kubernetes ServiceAccount to an IAM role via OIDC token federation. The pod receives short-lived credentials from the AWS STS service with no hardcoded keys.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Configure EKS OIDC provider and annotate ServiceAccount with iam.amazonaws.com/role-arn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Trust policy: restrict to specific namespace/service-account combination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ECS Task Roles: assign IAM role to ECS TaskDefinition, not to the host EC2 instance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EC2 Instance Profiles for legacy workloads — never allow iam:PassRole to broad roles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Block ec2:AssociateIamInstanceProfile via SCP if not approved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Least Privilege Controls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Permission Boundaries: cap maximum permissions delegated to roles created by automation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IAM Access Analyzer: identify cross-account and public access; trigger on unused access findings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IAM Access Advisor: review last-accessed data quarterly; remove unused permissions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Resource-based policies: use aws:PrincipalOrgID condition to restrict cross-account access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No wildcard (*) actions on production IAM roles; use specific service:Action pairs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FF9900" w:sz="8"/>
              <w:bottom w:val="single" w:color="CCCCCC" w:sz="1"/>
              <w:right w:val="none" w:color="FFFFFF" w:sz="0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Zero standing access: Use AWS IAM Identity Center session duration controls combined with PIM-style just-in-time elevation for privileged operations. Implement Vault AWS Secrets Engine or AWS IAM Roles Anywhere for programmatic JIT access.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2.2 Network Security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VPC Design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Multi-AZ, multi-subnet VPC architecture with strict tier separation: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Public subnet: Only Application Load Balancers and NAT Gateways. No EC2 instances.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Private subnet: Compute workloads (EC2, ECS, EKS). Access via ALB only.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Isolated subnet: Databases (RDS, Aurora, DynamoDB VPC endpoints). No direct compute access.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No public IPs assigned to EC2 instances — enforce via SCP (ec2:AssociatePublicIpAddress deny)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VPC Endpoints for all AWS services (S3, DynamoDB, SSM, KMS, Secrets Manager, ECR)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PrivateLink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AWS PrivateLink enables private connectivity to AWS services and your own services across VPCs and accounts without routing traffic through the public internet. Use PrivateLink for all inter-account service communication.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Security Groups and NACLs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Security Groups: stateful; allow-list only; source by SG reference, not CIDR. No 0.0.0.0/0 inbound.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NACLs: stateless second layer; explicit deny for known malicious CIDRs; deny all inbound by default.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WAF on all ALBs and CloudFront: Managed Rule Groups (AWSManagedRulesCommonRuleSet, AWSManagedRulesKnownBadInputsRuleSet).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Network Firewall in inspection VPC for egress FQDN filtering.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Shield Advanced on all internet-facing resources (ALBs, CloudFront, Route 53, Elastic IPs).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2.3 Data Protection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Key Management Service (KMS CMKs)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All data at rest must be encrypted with customer-managed keys (CMKs). AWS-managed keys are insufficient for regulated workloads because customers cannot control or audit key policy separately.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CMK key policies: require aws:PrincipalOrgID condition to prevent cross-org key usage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Deny kms:* for principals outside the organization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Automatic key rotation enabled (annual) for all symmetric CMKs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CloudHSM cluster for FIPS 140-2 Level 3 hardware-backed keys (PCI DSS, FedRAMP High)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Key aliases: enforce naming convention (alias/prod/service/purpose)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S3 Data Governance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S3 Block Public Access: enabled at account level via SCP — cannot be overridden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S3 Bucket Policy: deny s3:PutObject without x-amz-server-side-encryption-aws-kms-key-id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S3 Object Ownership: BucketOwnerEnforced (disables ACLs entirely)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S3 Versioning + MFA Delete on buckets containing sensitive/compliance data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Lifecycle rules: transition to S3 Intelligent-Tiering; expire stale data per retention policy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Secrets Manager and Parameter Store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All application secrets (DB passwords, API keys, OAuth tokens) in Secrets Manager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Lambda rotation function: automatic rotation on configurable schedule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Never store secrets in SSM Parameter Store Standard (no encryption by default) — use SecureString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Access via IAM role with secretsmanager:GetSecretValue — never cross-account without VPC endpoint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Amazon Macie: enable on all S3 buckets to discover PII, PHI, PCI data; forward findings to Security Hub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2.4 Detection and Response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Core Detection Stack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CloudTrail: organization trail enabled; management events on all accounts; data events on sensitive S3 + Lambda. Log integrity validation enabled. Logs shipped to central Security account S3 bucket with Object Lock.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GuardDuty: enabled in all regions in all accounts via organization enrollment. Enable S3 Protection, EKS Runtime Protection, Lambda Protection, Malware Protection. Findings aggregated to Security Hub in Security account.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Config: enable all supported resources in all regions. Conformance Packs: CIS AWS Foundations Benchmark v1.4, NIST SP 800-53 Rev 5, PCI DSS v3.2.1. Auto-remediation via SSM Automation documents for critical rules.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Security Hub: aggregated findings from GuardDuty, Inspector, Macie, Config, IAM Access Analyzer, Firewall Manager. Enable AWS Foundational Security Best Practices (FSBP) standard.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Inspector: continuous CVE scanning for EC2 instances, Lambda functions, and ECR container images. Risk-scored findings with package-level remediation guidance.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VPC Flow Logs: enable on all VPCs; ship to S3 or CloudWatch Logs; feed into Athena for anomaly queries.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2.5 Governance and CSPM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Control Tower: landing zone with mandatory guardrails (disallow root keys, disallow public S3, disallow IGW on restricted accounts). Centralized logging account and audit account.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Resource Tag Policies: enforce owner, env, classification, cost-center tags via Organizations tag policy.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Backup: backup plans per data classification. Backup Vault Lock for WORM protection against ransomware. Cross-region replication for critical data.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Cost Anomaly Detection: monitor spend per linked account and tag; alert on deviations &gt; 20%.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Service Catalog: pre-approved, security-compliant infrastructure products for self-service deployment.</w:t>
      </w:r>
    </w:p>
    <w:p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F4C75"/>
          <w:sz w:val="32"/>
          <w:szCs w:val="32"/>
        </w:rPr>
        <w:t xml:space="preserve">3. Azure Security Architecture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Azure security architecture uses a Management Group hierarchy with inherited Azure Policy assignments, Entra ID as the identity provider with PIM for just-in-time elevation, and Microsoft Defender for Cloud as the unified CSPM and CWPP platform.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3.1 Identity &amp; Access Management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Managed Identities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Managed Identities are the Azure equivalent of AWS IAM Roles — they provide an automatically managed identity for Azure resources without requiring credential management.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System-assigned Managed Identity: tied to resource lifecycle; auto-deleted with resource. Use for VMs, App Service, Functions.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User-assigned Managed Identity: reusable across multiple resources; lifecycle managed independently. Use when multiple resources share the same identity.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Access pattern: assign RBAC role on target resource (e.g., Key Vault Secrets User on Key Vault). Minimum scope — never subscription-level unless required.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Block legacy authentication: Conditional Access policy — block all authentication flows except Modern Authentication (OAuth 2.0/OIDC).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Privileged Identity Management (PIM)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All privileged roles (Global Admin, Subscription Owner, Contributor) must be eligible, not permanent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JIT activation: maximum 8-hour duration; require justification and approval for Global Admin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Access reviews: monthly for privileged roles; quarterly for member roles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Alert on: permanent role assignments, role assignment outside PIM, Global Admin activation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Conditional Access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Require MFA for all users — no exceptions. Use FIDO2 keys or Microsoft Authenticator (phishing-resistant).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Require compliant device (Intune MDM enrollment) for access to production workloads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Named Locations: restrict access to approved countries; block sign-in from anonymous proxies/Tor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Sign-in risk policy: require MFA on medium risk; block on high risk (Entra ID Protection)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Continuous Access Evaluation (CAE): M365 services re-evaluate token validity on session risk events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3.2 Network Security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Hub-Spoke Architecture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The Azure landing zone uses a hub-spoke VNet topology following the Microsoft Cloud Adoption Framework (CAF). The hub VNet contains shared network services; spoke VNets contain workload resources and peer to the hub.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Hub: Azure Firewall Premium, Azure Bastion, ExpressRoute/VPN gateway, DNS resolver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Spoke peering: allow hub-to-spoke only; no spoke-to-spoke direct peering (all traffic via hub firewall)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Dedicated spokes: production, non-production, identity (domain controllers), management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Org Policy: prohibit VNet peering outside approved management group scope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Private Endpoints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All Azure PaaS services must be accessed via Private Endpoint. After creating the private endpoint, disable public network access on the resource.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Services requiring private endpoints: Storage, Key Vault, SQL Database, Service Bus, Event Hub, ACR, AKS API server, App Service, Cosmos DB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Private DNS Zones: one per service type; link to hub VNet for DNS resolution. Never use IP addresses directly.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Azure Policy: DeployIfNotExists to auto-create private endpoints; Deny on public network access for applicable services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Azure Firewall and WAF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Azure Firewall Premium: IDPS in Alert+Deny mode; TLS inspection for east-west and egress traffic; FQDN filtering for outbound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Application Gateway WAF v2: Prevention mode; OWASP 3.2 ruleset; custom rules for rate limiting and bot protection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NSGs: applied at subnet level with deny-all default; Application Security Groups for service-tag-free rules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Azure DDoS Network Protection: Standard tier on all public VIPs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3.3 Data Protection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Azure Key Vault (Customer-Managed Keys)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Managed HSM: FIPS 140-2 Level 3; required for production encryption keys in regulated environments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CMK for all storage accounts, Azure SQL, ADE (Disk Encryption), AKS etcd, Azure Monitor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Key Vault Firewall: restrict access to approved VNets and private endpoint only. No public access.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Soft delete (90 days) + purge protection enabled on all vaults — prevents accidental or malicious key deletion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Access policy model replaced by RBAC (Key Vault Secrets Officer, Key Vault Crypto Officer)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Storage Security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Azure Policy: Deny public blob access (storage.allowBlobPublicAccess = false)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Secure transfer required: minimum TLS 1.2 enforced on all storage accounts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Shared Key authorization disabled — use Entra ID RBAC for data plane access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Immutable storage with time-based retention for compliance/audit data (WORM)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Microsoft Defender for Storage Plan 2: on-upload malware scanning + anomalous activity detection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Microsoft Purview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Sensitive data discovery across Azure Data Lake, Blob, SQL, Power BI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DLP policies: block sharing of PII/PHI data via Teams, Exchange, SharePoint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Information Protection labels: enforce throughout M365 and Azure data services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Compliance Manager: track regulatory compliance posture and improvement actions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3.4 Detection and Response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Microsoft Defender for Cloud (CSPM + CWPP)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Enable all Defender Plans: Servers (Plan 2), Containers, App Service, SQL, Storage, Key Vault, Resource Manager, DNS, Open-Source Relational DBs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Secure Score: track and report on security posture. Target 90%+ on production subscriptions.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Multi-cloud connectors: onboard AWS accounts and GCP projects into Defender for Cloud for unified posture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Attack path analysis: identifies exploitable kill chains across hybrid and multi-cloud environments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Microsoft Sentinel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Data connectors: Entra ID (sign-in + audit), Microsoft 365 Defender, Defender for Cloud, Azure Activity, DNS, network flows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UEBA: enable User and Entity Behavior Analytics; baseline per user/host/IP; anomaly detection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Analytics rules: map to MITRE ATT&amp;CK. Enable Microsoft Threat Intelligence rules for IOC matching.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Playbooks (Logic Apps): automated response for high-confidence alerts (disable user, isolate host, revoke tokens)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Threat Intelligence: import IOCs from TAXII feeds; Microsoft Threat Intelligence Platform integration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Entra ID Protection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User Risk Policy: require password change + MFA on medium risk; block on high risk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Sign-In Risk Policy: require MFA on medium risk sign-ins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Risky sign-in signals: impossible travel, unfamiliar location, password spray, leaked credentials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Risk findings exported to Sentinel via Entra ID diagnostic settings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3.5 Governance and Policy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Management Group hierarchy: Root MG → Platform (Connectivity, Identity, Management) → Landing Zones (Corp, Online) → Decommissioned. Policies applied at MG level for inheritance.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Azure Policy initiatives: assign CIS Azure Foundations, NIST SP 800-53 R5, ISO 27001 built-in initiatives. Custom policies in Bicep via Azure DevOps / GitHub.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Blueprints: Azure Landing Zone Bicep modules deployed via CI/CD. All production infrastructure via IaC — no manual resource creation.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Resource Locks: CanNotDelete on production resource groups. Managed via Blueprints assignment.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Cost Management: budget alerts at 80% and 100% per subscription. Anomaly alerts on tagged resources. Regular idle resource cleanup.</w:t>
      </w:r>
    </w:p>
    <w:p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F4C75"/>
          <w:sz w:val="32"/>
          <w:szCs w:val="32"/>
        </w:rPr>
        <w:t xml:space="preserve">4. GCP Security Architecture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GCP security architecture is organized around the Resource Hierarchy (Organization → Folders → Projects), with Org Policy Service constraints enforcing security guardrails, Workload Identity Federation eliminating service account keys, and Security Command Center providing unified CSPM and threat detection.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4.1 Identity &amp; Access Management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Workload Identity Federation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Workload Identity Federation allows external workloads (GitHub Actions, AWS workloads, Kubernetes pods, Azure workloads) to authenticate to GCP without service account keys. The external identity token is exchanged for a short-lived GCP access token.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Configure Workload Identity Pool with appropriate issuer (GitHub OIDC, AWS STS, Azure AD)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Attribute mappings: map external claims to Google attributes (e.g., attribute.repository = assertion.repository)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Restrict attribute conditions: only allow specific repos, branches, or subjects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Service account impersonation: grant iam.workloadIdentityUser role on the service account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Audit: monitor serviceAccounts.actAs in Cloud Audit Logs for unexpected federation usage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IAM Best Practices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Resource-level IAM bindings preferred over project-level for granular control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Domain Restriction Constraint (iam.allowedPolicyMemberDomains): only allow identities from approved domains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No service account keys: enforced via Org Policy (iam.disableServiceAccountKeyCreation)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Service account minimum privilege: use IAM Conditions for time-limited, resource-specific access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IAM Recommender: automatically identify and remove unused role bindings (review monthly)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Organization Policy Constraints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compute.skipDefaultNetworkCreation: prevent default VPC creation in new projects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compute.requireShieldedVm: enforce Secure Boot, vTPM, and Integrity Monitoring on all VMs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iam.disableServiceAccountKeyCreation: no long-lived SA keys anywhere in org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constraints/storage.uniformBucketLevelAccess: disable legacy ACLs on GCS buckets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constraints/gcp.resourceLocations: restrict resources to approved regions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constraints/compute.restrictCloudArmor: enforce Cloud Armor on all internet-facing LBs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4.2 Network Security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VPC Architecture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Shared VPC (XPN): central host project controls network; service projects attach and consume. Enables centralized firewall governance.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No default VPC: enforced via Org Policy. All VPCs created explicitly with RFC 1918 CIDR ranges.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Private Google Access: enable on subnets where VMs need access to Google APIs without external IPs.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No external IPs unless explicitly required: enforce via Org Policy (compute.vmExternalIpAccess)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VPC Service Controls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VPC Service Controls create a security perimeter around Google Cloud resources to mitigate data exfiltration risks. Services inside the perimeter can only communicate with each other and with specified external identities.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Perimeter around sensitive projects: BigQuery, GCS, Cloud SQL, Spanner, Artifact Registry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Ingress rules: allow access from approved VPC networks and service accounts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Egress rules: restrict what data can leave the perimeter; monitor violations via Cloud Logging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Dry run mode: test perimeter impact before enforcement. Review violations for 2 weeks before converting to enforced mode.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Cloud Armor and Identity-Aware Proxy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Cloud Armor: Adaptive Protection for Layer 7 DDoS; OWASP preconfigured rules; rate limiting per IP; geo-restriction for compliance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IAP: replace bastion hosts entirely. Entra ID or Google identity authentication + context-aware access. No VPN required for admin access.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Cloud IDS: out-of-band network threat detection powered by Palo Alto Networks. Detects: malware C2, exploits, lateral movement. Zero latency impact.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Hierarchical Firewall: org-level DENY rules override project-level allows. Use for baseline deny-all inbound policy.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4.3 Data Protection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Cloud KMS and CMEK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CMEK mandatory for: GCS (sensitive buckets), BigQuery datasets, Cloud SQL instances, Spanner, Pub/Sub, GKE (etcd and node boot disk)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Cloud HSM: hardware-backed keys for FIPS 140-2 Level 3 compliance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Key rotation: 90-day rotation policy for symmetric keys; 1-year for asymmetric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Key rings per environment and service: prod-keys, non-prod-keys. Principle of key isolation.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CMEK access audited: cloudkms.cryptoKeyVersions.useToDecrypt logged in Data Access audit logs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Secret Manager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Versioned secrets with CMEK encryption; automatic replication to multiple regions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Access via Workload Identity — no service account JSON keys stored anywhere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Secret rotation: Cloud Functions triggered by Pub/Sub notification on secret version create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Audit: secretmanager.versions.access in Cloud Audit Logs; alert on access from unusual service accounts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Cloud DLP and Assured Workloads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Cloud DLP: scan GCS, BigQuery, Datastore for 150+ infoTypes (PII, PHI, PCI, government IDs)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De-identification: tokenization, pseudonymization, masking, date shifting for analytics use cases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Findings exported to Security Command Center for posture visibility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Assured Workloads: jurisdiction controls (FedRAMP High, ITAR, CJIS). Enforces CMEK + geo-constraints + personnel controls.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4.4 Detection and Response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Security Command Center (SCC)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Enable SCC Premium at Org level for full threat detection and compliance reporting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Event Threat Detection (ETD): real-time threat detection from Cloud Logging streams. Detects crypto mining, data exfiltration, credential compromise, malware.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Container Threat Detection (CTD): kernel-level detection for GKE workloads. Detects reverse shell, unexpected binary, malicious scripts. Zero agent overhead.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Virtual Machine Threat Detection (VMTD): hypervisor-level memory scanning for rootkits and crypto miners on GCE.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Compliance reports: CIS GCP Foundations, PCI DSS, HIPAA, ISO 27001, NIST SP 800-53 — auto-generated from SCC findings.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Chronicle SIEM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Cloud-native SIEM built on Google infrastructure; petabyte-scale log ingestion at flat cost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Unified Data Model (UDM): normalize logs from all sources into consistent schema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YARA-L detection rules: write custom detections with temporal correlation across entities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Threat Intelligence: VirusTotal + Google Threat Intelligence + MITRE ATT&amp;CK tagging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Chronicle SOAR: automated playbooks for investigation and response (acquired Siemplify)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Cloud Audit Logs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Admin Activity logs: always on; captures all management plane API calls. 400-day retention.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Data Access logs: enable for all services handling sensitive data (GCS, BigQuery, Cloud SQL, Secret Manager). High volume — filter thoughtfully.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Organization Log Sink: aggregate all project logs to centralized BigQuery + GCS in Security project.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Log integrity: enable Cloud Logging bucket with CMEK and locked retention for forensic integrity.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4.5 Governance and CSPM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Resource Hierarchy: Org → Folders (prod, non-prod, shared, sandbox) → Projects. IAM and Org Policy apply at folder level with project inheritance.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Org Policy Service: enforce all critical constraints at Org or folder level. Version-controlled in Terraform with automated apply via Cloud Build.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Policy Intelligence: IAM Recommender + Role Recommender for continuous least-privilege. Firewall Insights for unused rule cleanup. Policy Analyzer for effective access queries.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GitOps with Config Sync (Anthos Config Management): Git repo as source of truth for K8s config. All changes via PR with automated policy validation (OPA Conftest / Gatekeeper).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Terraform with Terraform Validator and gcloud Policy Library: pre-apply policy checks for all GCP resource configurations. Break build on policy violation.</w:t>
      </w:r>
    </w:p>
    <w:p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F4C75"/>
          <w:sz w:val="32"/>
          <w:szCs w:val="32"/>
        </w:rPr>
        <w:t xml:space="preserve">5. Multi-Cloud Zero Trust Architecture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Operating across AWS, Azure, and GCP requires a unified Zero Trust architecture that bridges cloud-native identity systems, establishes consistent network isolation, and centralizes detection. The four pillars of multi-cloud Zero Trust are: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5.1 Unified Identity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A single Identity Provider federates to all three cloud IAM systems. This ensures consistent authentication policies (MFA, Conditional Access) and a single audit trail.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Central IdP: Microsoft Entra ID or Okta. All human identities authenticate through the central IdP.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AWS: SAML 2.0 or OIDC federation to IAM Identity Center (AWS SSO). Users get permission sets, not direct IAM roles.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Azure: Entra ID is native. Ensure all external identities also federate through central IdP.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GCP: Google Workspace with Cloud Identity, or SAML federation from Entra ID / Okta to Cloud Identity.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Workload-to-workload: Use OIDC/SAML token exchange between cloud boundaries (AWS → GCP via Workload Identity Federation).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5.2 Workload Identity Cross-Cloud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→ GCP: AWS EC2/EKS workloads use IRSA/Instance Profile to get AWS STS token; exchange for GCP Workload Identity token via federation.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GitHub Actions → All clouds: OIDC token from GitHub Actions federated to all three clouds. No static credentials in GitHub Secrets.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Vault (HashiCorp): deploy Vault with cloud-native auto-unseal (AWS KMS / Azure Key Vault / GCP KMS). Vault handles secret lifecycle across all providers.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No shared secrets between clouds: each cloud-to-cloud trust relationship uses token federation, not static keys.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5.3 Private Cross-Cloud Connectivity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↔ Azure: Azure ExpressRoute + AWS Direct Connect via transit provider (Equinix). Or Aviatrix multi-cloud networking for BGP-based routing.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AWS ↔ GCP: Partner Interconnect + Direct Connect via carrier. No site-to-site VPN over public internet for production traffic.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GCP ↔ Azure: Azure ExpressRoute + GCP Dedicated Interconnect via co-location facility.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Zero trust overlay: Aviatrix or Illumio for microsegmentation and encrypted east-west traffic across cloud boundaries.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DNS: centralized private DNS resolution with forwarding zones per provider. No public DNS for internal service communication.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5.4 Multi-Cloud Security Operations Stack</w:t>
      </w:r>
    </w:p>
    <w:p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C7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C7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Tools / Approach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CSPM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Wiz / Prisma Cloud (multi-cloud) or: Security Hub (AWS) + Defender for Cloud (Azure) + SCC (GCP) with unified reporting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SIEM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Microsoft Sentinel (native multi-cloud connectors) or Chronicle SIEM + log export from all providers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Secrets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HashiCorp Vault Enterprise (multi-cloud) or per-cloud native: Secrets Manager / Key Vault / Secret Manager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IaC + Policy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Terraform + Checkov or OPA Conftest for policy-as-code validation pre-deployment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IdP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Entra ID or Okta federating to IAM Identity Center, Cloud Identity, Azure AD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Network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Aviatrix Controller / AWS Transit Gateway / Azure Virtual WAN / GCP NCC for unified routing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EDR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Microsoft Defender for Endpoint across all cloud VMs and containers</w:t>
            </w:r>
          </w:p>
        </w:tc>
      </w:tr>
    </w:tbl>
    <w:p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F4C75"/>
          <w:sz w:val="32"/>
          <w:szCs w:val="32"/>
        </w:rPr>
        <w:t xml:space="preserve">6. MITRE ATT&amp;CK Cloud Techniques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The following table maps key MITRE ATT&amp;CK Cloud techniques to their descriptions, affected providers, and recommended mitigations. These techniques represent the primary attack vectors in cloud environments.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300"/>
        <w:gridCol w:w="2500"/>
        <w:gridCol w:w="27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28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Technique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28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28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Tactic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28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28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17"/>
                <w:szCs w:val="17"/>
              </w:rPr>
              <w:t xml:space="preserve">T1078.004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Valid Accounts: Cloud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Initial Access / Persistence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Compromised cloud IAM credentials used for unauthorized access and lateral movement.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MFA everywhere; GuardDuty credential anomaly detection; alert on console logins without MFA; rotate all access keys.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17"/>
                <w:szCs w:val="17"/>
              </w:rPr>
              <w:t xml:space="preserve">T1530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Data from Cloud Storage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Collection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Sensitive data exfiltrated from GCS, S3, Azure Blob via overly-permissive IAM roles.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VPC Service Controls; S3 Block Public Access; private endpoints only; Macie/DLP scanning.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17"/>
                <w:szCs w:val="17"/>
              </w:rPr>
              <w:t xml:space="preserve">T1537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Transfer to Cloud Account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Exfiltration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Data copied to attacker-controlled cloud storage across trust boundaries.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S3 bucket policies with aws:PrincipalOrgID; DLP monitoring; CloudTrail data events on sensitive buckets.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17"/>
                <w:szCs w:val="17"/>
              </w:rPr>
              <w:t xml:space="preserve">T1098.001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Additional Cloud Credentials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Persistence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Attacker creates access keys or OAuth app credentials to maintain persistence.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Org Policy: disable SA key creation; Access Analyzer unused access alerts; audit iam:CreateAccessKey events.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17"/>
                <w:szCs w:val="17"/>
              </w:rPr>
              <w:t xml:space="preserve">T1190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Exploit Public-Facing App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Initial Access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Vulnerability exploitation in internet-exposed cloud workloads (web apps, APIs, containers).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WAF (AWS WAF / Cloud Armor / Azure WAF); private-by-default; Inspector/Defender scanning.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17"/>
                <w:szCs w:val="17"/>
              </w:rPr>
              <w:t xml:space="preserve">T1552.005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Cloud Instance Metadata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Credential Access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SSRF or malicious code queries IMDS for IAM credentials via 169.254.169.254.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IMDSv2 required (AWS); block IMDS from containers; SSRF protections in WAF; network policy to block metadata access.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17"/>
                <w:szCs w:val="17"/>
              </w:rPr>
              <w:t xml:space="preserve">T1136.003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Cloud Account Creation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Persistence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New IAM users or service accounts created as persistent backdoors post-compromise.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SCP: deny iam:CreateUser; alert on CreateServiceAccount; Org Policy: iam.disableServiceAccountKeyCreation.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17"/>
                <w:szCs w:val="17"/>
              </w:rPr>
              <w:t xml:space="preserve">T1580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Cloud Infrastructure Discovery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Enumeration of cloud resources, IAM policies, and roles to identify privilege escalation paths.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Deny DescribeIamRole/List without conditions; Access Analyzer unused access; GuardDuty IAM anomaly alerts.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17"/>
                <w:szCs w:val="17"/>
              </w:rPr>
              <w:t xml:space="preserve">T1619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Cloud Storage Object Discovery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Listing S3/GCS/Blob objects to find sensitive data for collection.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Disable public listing; CloudTrail data events on s3:ListBucket; abnormal List call volume alerts in GuardDuty/SCC.</w:t>
            </w:r>
          </w:p>
        </w:tc>
      </w:tr>
    </w:tbl>
    <w:p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F4C75"/>
          <w:sz w:val="32"/>
          <w:szCs w:val="32"/>
        </w:rPr>
        <w:t xml:space="preserve">7. NIST SP 800-53 Rev 5 Control Mapping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The table below maps key NIST SP 800-53 Rev 5 controls to native services in each cloud provider. This mapping supports compliance reporting, security assessments, and System Security Plan (SSP) documentation.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360"/>
        <w:gridCol w:w="2560"/>
        <w:gridCol w:w="2360"/>
        <w:gridCol w:w="236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AWS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Azure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GCP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AC-2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Account Mgmt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IAM Identity Center + Access Analyzer + Access Advisor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Entra ID + PIM access reviews + Lifecycle Workflows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IAM Recommender + Policy Analyzer + workforce pools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AC-3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Access Enforcement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SCPs + Permission Boundaries + S3 Bucket Policies + resource policies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Azure RBAC + Conditional Access + Azure AD App Roles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IAM Conditions + VPC Service Controls + Org Policy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AC-17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Remote Access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SSM Session Manager (no SSH); AWS Systems Manager + CloudWatch agent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Azure Bastion + Just-In-Time VM access (Defender for Cloud)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IAP Tunneling + BeyondCorp Enterprise + OS Login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AU-2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Event Logging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CloudTrail (org trail) + VPC Flow Logs + ELB access logs + Lambda logs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Azure Activity Log + NSG Flow Logs + Diagnostic Settings → Log Analytics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Cloud Audit Logs (Admin Activity + Data Access) + VPC Flow Logs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AU-9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Audit Protection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CloudTrail log file validation + S3 Object Lock (WORM) + S3 MFA Delete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Storage Account immutability + Sentinel log retention policy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Cloud Logging bucket with locked retention + Assured Workloads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IA-5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Auth Management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Secrets Manager (auto-rotation) + IAM; no static access keys policy via SCP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Key Vault + Managed Identity (no client secrets); Entra ID auth only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Secret Manager (versioned, CMEK) + Workload Identity; no SA keys via Org Policy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SC-7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Boundary Protection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VPC + SGs + NACLs + AWS WAF + Network Firewall + PrivateLink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NSG + Azure Firewall Premium + Application Gateway WAF + Private Endpoints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Hierarchical Firewall + Cloud Armor + Cloud IDS + VPC Service Controls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SC-8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Transmission Integrity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TLS 1.2+ enforced on ALBs + CloudFront; S3 enforce-https bucket policy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TLS minimum version policy on App Service, Storage, SQL via Azure Policy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HTTPS enforced via Org Policy + Cloud Load Balancer SSL policies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SC-28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At-Rest Protection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KMS CMKs on EBS, S3, RDS, DynamoDB, Lambda, Redshift, OpenSearch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Key Vault CMK on Storage, SQL, ADE (disk), AKS, Cosmos DB, Azure Monitor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Cloud KMS CMEK on GCS, BigQuery, Cloud SQL, Spanner, GKE (etcd + nodes)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7"/>
                <w:szCs w:val="17"/>
              </w:rPr>
              <w:t xml:space="preserve">SI-3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Malicious Code Prot.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GuardDuty Malware Protection + Inspector + Macie + ECR image scanning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Defender for Cloud (all Plans) + Defender for Endpoint + Defender for Containers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7"/>
                <w:szCs w:val="17"/>
              </w:rPr>
              <w:t xml:space="preserve">SCC ETD + CTD + VMTD + Artifact Registry vulnerability scanning</w:t>
            </w:r>
          </w:p>
        </w:tc>
      </w:tr>
    </w:tbl>
    <w:p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F4C75"/>
          <w:sz w:val="32"/>
          <w:szCs w:val="32"/>
        </w:rPr>
        <w:t xml:space="preserve">8. Implementation Roadmap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The following phased roadmap prioritizes foundational controls first, then identity modernization, then prevention, and finally advanced detection maturity. Timing is indicative — adjust based on organizational size and existing baseline.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Phase 1: Foundations (0–30 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62828" w:sz="8"/>
              <w:bottom w:val="single" w:color="CCCCCC" w:sz="1"/>
              <w:right w:val="none" w:color="FFFFFF" w:sz="0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Goal: Achieve basic visibility and prevent the most common initial access techniques before any other work.</w:t>
            </w:r>
          </w:p>
        </w:tc>
      </w:tr>
    </w:tbl>
    <w:p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Enable CloudTrail (org trail) / Azure Activity Log / Cloud Audit Logs on all accounts and projects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Enable GuardDuty / Microsoft Defender for Cloud (all plans) / Security Command Center Premium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Block all public access on storage (S3 Block Public Access / Azure storage public access / GCS uniform bucket access)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Enforce MFA for all human identities across all cloud consoles and IdPs — no exceptions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Rotate or disable all long-lived IAM access keys; disable root account programmatic access (AWS); disable default SA keys (GCP)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Enable CloudTrail data events on sensitive S3 buckets; Data Access logs on sensitive GCS/BigQuery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Audit and remove all direct Internet Gateway routes on non-DMZ VPCs/VNets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Phase 2: Identity and Network Hardening (30–90 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F4A261" w:sz="8"/>
              <w:bottom w:val="single" w:color="CCCCCC" w:sz="1"/>
              <w:right w:val="none" w:color="FFFFFF" w:sz="0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Goal: Eliminate long-lived credentials and enforce private connectivity for all services.</w:t>
            </w:r>
          </w:p>
        </w:tc>
      </w:tr>
    </w:tbl>
    <w:p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Migrate all workloads to Managed Identity / IRSA / Workload Identity Federation — eliminate static keys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Implement Private Endpoints for all PaaS services (Key Vault, Storage, SQL, Service Bus, GCS, BigQuery APIs)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Deploy CSPM platform: Wiz or native (Security Hub FSBP / Defender for Cloud / SCC CIS benchmark)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Enable CMEK for all data stores: KMS CMKs (AWS), Key Vault CMK (Azure), Cloud KMS CMEK (GCP)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Establish centralized SIEM: Sentinel or Chronicle with all cloud log sources ingested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Deploy SCPs / Azure Policy Deny assignments / Org Policy constraints for baseline guardrails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Implement PIM for all privileged roles (Azure); JIT access for production break-glass (all clouds)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Phase 3: Prevention Maturity (90–180 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4285F4" w:sz="8"/>
              <w:bottom w:val="single" w:color="CCCCCC" w:sz="1"/>
              <w:right w:val="none" w:color="FFFFFF" w:sz="0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Goal: Shift from detective to preventive posture. Enforce controls at deploy time.</w:t>
            </w:r>
          </w:p>
        </w:tc>
      </w:tr>
    </w:tbl>
    <w:p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Complete SCP / Azure Policy / Org Policy guardrail baseline covering all NIST AC/SC/AU controls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Onboard all infrastructure to Terraform with Checkov or OPA Conftest policy-as-code scanning in CI/CD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Conduct first cloud penetration test per provider; remediate all Critical and High findings within 30 days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Automate remediation for critical Config Rule violations (AWS SSM Automation / Azure Policy remediation tasks / GCP Config Controller)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Implement VPC Service Controls perimeter (GCP) around sensitive projects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Deploy AWS Network Firewall / Azure Firewall Premium / Cloud IDS for deep packet inspection and IDPS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Phase 4: Detection Maturity and Continuous Compliance (180 Days+)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D32" w:sz="8"/>
              <w:bottom w:val="single" w:color="CCCCCC" w:sz="1"/>
              <w:right w:val="none" w:color="FFFFFF" w:sz="0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Goal: Detection-as-code, adversary simulation, and automated compliance reporting.</w:t>
            </w:r>
          </w:p>
        </w:tc>
      </w:tr>
    </w:tbl>
    <w:p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Write detection-as-code: YARA-L rules (Chronicle), KQL analytics (Sentinel), custom Config Rules / SCC ETD rules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Integrate multi-cloud SIEM with Threat Intelligence (MITRE ATT&amp;CK Navigator mapping per cloud)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RBAC maturity: right-size all roles using IAM Recommender (GCP) / Access Advisor (AWS) / PIM reviews (Azure)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Continuous compliance reporting: CIS Benchmark, NIST SP 800-53, PCI DSS, HIPAA — scheduled and automated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Red team exercises: cloud-specific attack scenarios using MITRE ATT&amp;CK Cloud matrix (credential theft, metadata SSRF, data exfiltration)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DR/BCP: test cloud backup restores quarterly; run game-day incident response exercises across all providers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565C0"/>
          <w:sz w:val="26"/>
          <w:szCs w:val="26"/>
        </w:rPr>
        <w:t xml:space="preserve">Key Success Metrics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C7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C7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MFA coverage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100% of human identities across all clouds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Long-lived credentials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Zero IAM access keys / SA keys in production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CSPM Secure Score (AWS/Azure/GCP)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&gt; 90% on all production environments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Mean Time to Detect (MTTD)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&lt; 15 minutes for critical severity findings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Mean Time to Respond (MTTR)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&lt; 4 hours for critical severity findings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CMK coverage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100% of data stores with customer-managed keys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Private endpoint coverage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100% of PaaS services on private endpoints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IaC coverage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&gt; 95% of production infrastructure managed via Terraform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7474F"/>
                <w:sz w:val="19"/>
                <w:szCs w:val="19"/>
              </w:rPr>
              <w:t xml:space="preserve">Patch SLA (Critical CVE)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7474F"/>
                <w:sz w:val="19"/>
                <w:szCs w:val="19"/>
              </w:rPr>
              <w:t xml:space="preserve">&lt; 48 hours for Critical; &lt; 7 days for High severity</w:t>
            </w:r>
          </w:p>
        </w:tc>
      </w:tr>
    </w:tbl>
    <w:p>
      <w:r>
        <w:t xml:space="preserve"/>
      </w:r>
    </w:p>
    <w:p>
      <w:pPr>
        <w:pageBreakBefore/>
        <w:pBdr>
          <w:top w:val="single" w:color="F4A261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0F4C75"/>
          <w:sz w:val="28"/>
          <w:szCs w:val="28"/>
        </w:rPr>
        <w:t xml:space="preserve">Usage, License &amp; Attribution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This document is freely available for use, adaptation, and redistribution under the following terms: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You may use this document for personal, educational, or commercial purposes.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You may modify, extend, and build upon this work.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You may redistribute original or modified versions.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74F"/>
          <w:sz w:val="20"/>
          <w:szCs w:val="20"/>
        </w:rPr>
        <w:t xml:space="preserve">Required: Proper credit must be given to the original author in any use, distribution, or derivative work.</w:t>
      </w:r>
    </w:p>
    <w:p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7474F"/>
          <w:sz w:val="22"/>
          <w:szCs w:val="22"/>
        </w:rPr>
        <w:t xml:space="preserve">Author: Eran Shpigelman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74F"/>
          <w:sz w:val="22"/>
          <w:szCs w:val="22"/>
        </w:rPr>
        <w:t xml:space="preserve">Contact: eransh10@gmail.com</w:t>
      </w:r>
    </w:p>
    <w:p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/>
          <w:iCs/>
          <w:color w:val="90A4AE"/>
          <w:sz w:val="22"/>
          <w:szCs w:val="22"/>
        </w:rPr>
        <w:t xml:space="preserve">Attribution should appear in the document, presentation, or wherever the work is shared — a note such as: "Based on work by Eran Shpigelman (eransh10@gmail.com)" is sufficient.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F4C75" w:sz="4" w:space="1"/>
      </w:pBdr>
      <w:spacing w:before="80"/>
    </w:pPr>
    <w:r>
      <w:rPr>
        <w:rFonts w:ascii="Calibri" w:cs="Calibri" w:eastAsia="Calibri" w:hAnsi="Calibri"/>
        <w:color w:val="90A4AE"/>
        <w:sz w:val="18"/>
        <w:szCs w:val="18"/>
      </w:rPr>
      <w:t xml:space="preserve">Eran Shpigelman  ·  eransh10@gmail.com</w:t>
    </w:r>
    <w:r>
      <w:rPr>
        <w:rFonts w:ascii="Calibri" w:cs="Calibri" w:eastAsia="Calibri" w:hAnsi="Calibri"/>
        <w:sz w:val="18"/>
        <w:szCs w:val="18"/>
      </w:rPr>
      <w:t xml:space="preserve">	</w:t>
    </w:r>
    <w:r>
      <w:rPr>
        <w:rFonts w:ascii="Calibri" w:cs="Calibri" w:eastAsia="Calibri" w:hAnsi="Calibri"/>
        <w:color w:val="90A4AE"/>
        <w:sz w:val="18"/>
        <w:szCs w:val="18"/>
      </w:rPr>
      <w:t xml:space="preserve">Page </w:t>
    </w:r>
    <w:r>
      <w:rPr>
        <w:rFonts w:ascii="Calibri" w:cs="Calibri" w:eastAsia="Calibri" w:hAnsi="Calibri"/>
        <w:color w:val="90A4A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4C75" w:sz="4" w:space="1"/>
      </w:pBdr>
      <w:spacing w:after="80"/>
    </w:pPr>
    <w:r>
      <w:rPr>
        <w:rFonts w:ascii="Calibri" w:cs="Calibri" w:eastAsia="Calibri" w:hAnsi="Calibri"/>
        <w:color w:val="90A4AE"/>
        <w:sz w:val="18"/>
        <w:szCs w:val="18"/>
      </w:rPr>
      <w:t xml:space="preserve">Cloud Security Architecture  |  AWS  ·  Azure  ·  GCP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F4C7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Arial" w:cs="Arial" w:eastAsia="Arial" w:hAnsi="Arial"/>
      <w:b/>
      <w:bCs/>
      <w:color w:val="1565C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747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2026-03-10T22:18:58.989Z</dcterms:created>
  <dcterms:modified xsi:type="dcterms:W3CDTF">2026-03-10T22:18:58.989Z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