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3A2B"/>
          <w:sz w:val="36"/>
          <w:szCs w:val="36"/>
        </w:rPr>
        <w:t xml:space="preserve">PROJECT SUMMARY</w:t>
      </w:r>
    </w:p>
    <w:p>
      <w:pPr>
        <w:spacing w:after="80"/>
      </w:pPr>
      <w:r>
        <w:rPr>
          <w:rFonts w:ascii="Arial" w:cs="Arial" w:eastAsia="Arial" w:hAnsi="Arial"/>
          <w:color w:val="1565C0"/>
          <w:sz w:val="28"/>
          <w:szCs w:val="28"/>
        </w:rPr>
        <w:t xml:space="preserve">Football Sport Science Research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Football Sport Science Research Library</w:t>
            </w:r>
          </w:p>
        </w:tc>
      </w:tr>
      <w:tr>
        <w:tc>
          <w:tcPr>
            <w:tcW w:type="dxa" w:w="28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Department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Applied Performance, Baylor University Athletics</w:t>
            </w:r>
          </w:p>
        </w:tc>
      </w:tr>
      <w:tr>
        <w:tc>
          <w:tcPr>
            <w:tcW w:type="dxa" w:w="28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Lead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Eric Rash, Director of Applied Performance</w:t>
            </w:r>
          </w:p>
        </w:tc>
      </w:tr>
      <w:tr>
        <w:tc>
          <w:tcPr>
            <w:tcW w:type="dxa" w:w="28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 Shared with Staff</w:t>
            </w:r>
          </w:p>
        </w:tc>
      </w:tr>
      <w:tr>
        <w:tc>
          <w:tcPr>
            <w:tcW w:type="dxa" w:w="28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Platform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React Web Application (Claude Artifact)</w:t>
            </w:r>
          </w:p>
        </w:tc>
      </w:tr>
    </w:tbl>
    <w:p>
      <w:pPr>
        <w:spacing w:after="200"/>
      </w:pPr>
    </w:p>
    <w:p>
      <w:pPr>
        <w:pStyle w:val="Heading1"/>
        <w:spacing w:after="160" w:before="0" w:line="276"/>
      </w:pPr>
      <w:r>
        <w:t xml:space="preserve"/>
      </w:r>
    </w:p>
    <w:p>
      <w:pPr>
        <w:pStyle w:val="Heading1"/>
      </w:pPr>
      <w:r>
        <w:t xml:space="preserve">Executive Summary</w:t>
      </w:r>
    </w:p>
    <w:p>
      <w:pPr>
        <w:spacing w:after="160" w:before="0" w:line="276"/>
      </w:pPr>
      <w:r>
        <w:t xml:space="preserve">The Football Sport Science Research Library is a searchable, shared-access web application that serves as a centralized repository for peer-reviewed research, internal research documents, and evidence-based frameworks relevant to Baylor Football. The tool was built to solve a practical problem: sport science research gets read once and then sits in someone's inbox or Google Drive folder. Staff members across strength and conditioning, athletic training, nutrition, and coaching have no easy way to find, reference, or build on research that has already been reviewed by the department.</w:t>
      </w:r>
    </w:p>
    <w:p>
      <w:pPr>
        <w:spacing w:after="160" w:before="0" w:line="276"/>
      </w:pPr>
      <w:r>
        <w:t xml:space="preserve">This application provides a single location where all research is cataloged with structured summaries, practical takeaways, and football-specific application columns. Any staff member can search, filter, export, or add new papers. The library uses shared persistent storage so that contributions from one user are immediately visible to all others.</w:t>
      </w:r>
    </w:p>
    <w:p>
      <w:pPr>
        <w:pStyle w:val="Heading1"/>
      </w:pPr>
      <w:r>
        <w:t xml:space="preserve">Problem Statement</w:t>
      </w:r>
    </w:p>
    <w:p>
      <w:pPr>
        <w:spacing w:after="160" w:before="0" w:line="276"/>
      </w:pPr>
      <w:r>
        <w:t xml:space="preserve">Research review and knowledge sharing within collegiate athletics departments is fragmented. Papers are stored across individual email inboxes, personal Google Drive folders, and disconnected reference managers. When a staff member needs to reference a study on a specific topic, they either search from scratch or ask a colleague. There is no institutional memory for research. When staff turn over, the knowledge leaves with them.</w:t>
      </w:r>
    </w:p>
    <w:p>
      <w:pPr>
        <w:spacing w:after="160" w:before="0" w:line="276"/>
      </w:pPr>
      <w:r>
        <w:t xml:space="preserve">Additionally, research papers are written for an academic audience. The gap between what a study says and what a practitioner should do with it is rarely bridged in a way that is accessible to coaches, athletic trainers, and dietitians who do not have time to read full-text articles.</w:t>
      </w:r>
    </w:p>
    <w:p>
      <w:pPr>
        <w:pStyle w:val="Heading1"/>
      </w:pPr>
      <w:r>
        <w:t xml:space="preserve">Solution</w:t>
      </w:r>
    </w:p>
    <w:p>
      <w:pPr>
        <w:spacing w:after="160" w:before="0" w:line="276"/>
      </w:pPr>
      <w:r>
        <w:t xml:space="preserve">A web-based research library application with the following core capabilities:</w:t>
      </w:r>
    </w:p>
    <w:p>
      <w:pPr>
        <w:pStyle w:val="ListParagraph"/>
        <w:numPr>
          <w:ilvl w:val="0"/>
          <w:numId w:val="2"/>
        </w:numPr>
        <w:spacing w:after="80" w:line="276"/>
      </w:pPr>
      <w:r>
        <w:t xml:space="preserve">Full-text search across all fields (citation, abstract, TLDR, findings, methods, and all application columns)</w:t>
      </w:r>
    </w:p>
    <w:p>
      <w:pPr>
        <w:pStyle w:val="ListParagraph"/>
        <w:numPr>
          <w:ilvl w:val="0"/>
          <w:numId w:val="2"/>
        </w:numPr>
        <w:spacing w:after="80" w:line="276"/>
      </w:pPr>
      <w:r>
        <w:t xml:space="preserve">Year-based filtering with sortable column headers</w:t>
      </w:r>
    </w:p>
    <w:p>
      <w:pPr>
        <w:pStyle w:val="ListParagraph"/>
        <w:numPr>
          <w:ilvl w:val="0"/>
          <w:numId w:val="2"/>
        </w:numPr>
        <w:spacing w:after="80" w:line="276"/>
      </w:pPr>
      <w:r>
        <w:t xml:space="preserve">Structured data table with 10 columns per paper, including two football-specific application columns</w:t>
      </w:r>
    </w:p>
    <w:p>
      <w:pPr>
        <w:pStyle w:val="ListParagraph"/>
        <w:numPr>
          <w:ilvl w:val="0"/>
          <w:numId w:val="2"/>
        </w:numPr>
        <w:spacing w:after="80" w:line="276"/>
      </w:pPr>
      <w:r>
        <w:t xml:space="preserve">TLDR summaries written in plain language for non-research staff</w:t>
      </w:r>
    </w:p>
    <w:p>
      <w:pPr>
        <w:pStyle w:val="ListParagraph"/>
        <w:numPr>
          <w:ilvl w:val="0"/>
          <w:numId w:val="2"/>
        </w:numPr>
        <w:spacing w:after="80" w:line="276"/>
      </w:pPr>
      <w:r>
        <w:t xml:space="preserve">Practical Implications column translating findings into actionable steps</w:t>
      </w:r>
    </w:p>
    <w:p>
      <w:pPr>
        <w:pStyle w:val="ListParagraph"/>
        <w:numPr>
          <w:ilvl w:val="0"/>
          <w:numId w:val="2"/>
        </w:numPr>
        <w:spacing w:after="80" w:line="276"/>
      </w:pPr>
      <w:r>
        <w:t xml:space="preserve">Football Athlete Development column connecting research to player development workflows</w:t>
      </w:r>
    </w:p>
    <w:p>
      <w:pPr>
        <w:pStyle w:val="ListParagraph"/>
        <w:numPr>
          <w:ilvl w:val="0"/>
          <w:numId w:val="2"/>
        </w:numPr>
        <w:spacing w:after="80" w:line="276"/>
      </w:pPr>
      <w:r>
        <w:t xml:space="preserve">Football Return to Play column connecting research to RTP decision-making</w:t>
      </w:r>
    </w:p>
    <w:p>
      <w:pPr>
        <w:pStyle w:val="ListParagraph"/>
        <w:numPr>
          <w:ilvl w:val="0"/>
          <w:numId w:val="2"/>
        </w:numPr>
        <w:spacing w:after="80" w:line="276"/>
      </w:pPr>
      <w:r>
        <w:t xml:space="preserve">CSV export for offline access, sharing, or integration with other tools</w:t>
      </w:r>
    </w:p>
    <w:p>
      <w:pPr>
        <w:pStyle w:val="ListParagraph"/>
        <w:numPr>
          <w:ilvl w:val="0"/>
          <w:numId w:val="2"/>
        </w:numPr>
        <w:spacing w:after="80" w:line="276"/>
      </w:pPr>
      <w:r>
        <w:t xml:space="preserve">Staff upload form allowing any team member to contribute new research</w:t>
      </w:r>
    </w:p>
    <w:p>
      <w:pPr>
        <w:pStyle w:val="ListParagraph"/>
        <w:numPr>
          <w:ilvl w:val="0"/>
          <w:numId w:val="2"/>
        </w:numPr>
        <w:spacing w:after="80" w:line="276"/>
      </w:pPr>
      <w:r>
        <w:t xml:space="preserve">Shared persistent storage ensuring all staff see the same library in real time</w:t>
      </w:r>
    </w:p>
    <w:p>
      <w:pPr>
        <w:pStyle w:val="Heading1"/>
      </w:pPr>
      <w:r>
        <w:t xml:space="preserve">Pre-Loaded Content</w:t>
      </w:r>
    </w:p>
    <w:p>
      <w:pPr>
        <w:spacing w:after="160" w:before="0" w:line="276"/>
      </w:pPr>
      <w:r>
        <w:t xml:space="preserve">The library launched with 8 research documents sourced from the Baylor Applied Performance Google Drive, covering the following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Document Title</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Category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Gridiron Blueprint: DEXA Data in Football 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Body Composition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Evidence-Based Physical Evaluation Framework for Incoming Athletes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66666"/>
                <w:sz w:val="20"/>
                <w:szCs w:val="20"/>
              </w:rPr>
              <w:t xml:space="preserve">Force Plate / Testing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SpeedSig: Validated GPS Biomechanics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Biomechanics / GPS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NIRS-Enhanced RTP Framework (MOXY Monitor)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66666"/>
                <w:sz w:val="20"/>
                <w:szCs w:val="20"/>
              </w:rPr>
              <w:t xml:space="preserve">Injury Prevention / RTP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S2 Cognition in College Football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Cognitive Performance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6</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Exogen Wearable Resistance Training Review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66666"/>
                <w:sz w:val="20"/>
                <w:szCs w:val="20"/>
              </w:rPr>
              <w:t xml:space="preserve">Wearable Technology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L5-S1 Rehab Protocol: Post-Microdiscectomy DL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666666"/>
                <w:sz w:val="20"/>
                <w:szCs w:val="20"/>
              </w:rPr>
              <w:t xml:space="preserve">Injury Prevention / RTP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0"/>
                <w:szCs w:val="20"/>
              </w:rPr>
              <w:t xml:space="preserve">8</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Gridiron Blueprint: Actionable Summary for Coaches and Dietitians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66666"/>
                <w:sz w:val="20"/>
                <w:szCs w:val="20"/>
              </w:rPr>
              <w:t xml:space="preserve">Nutrition / Coaching</w:t>
            </w:r>
          </w:p>
        </w:tc>
      </w:tr>
    </w:tbl>
    <w:p>
      <w:pPr>
        <w:spacing w:after="200"/>
      </w:pPr>
    </w:p>
    <w:p>
      <w:pPr>
        <w:pStyle w:val="Heading1"/>
      </w:pPr>
      <w:r>
        <w:t xml:space="preserve">Target Audience</w:t>
      </w:r>
    </w:p>
    <w:p>
      <w:pPr>
        <w:pStyle w:val="ListParagraph"/>
        <w:numPr>
          <w:ilvl w:val="0"/>
          <w:numId w:val="3"/>
        </w:numPr>
        <w:spacing w:after="80" w:line="276"/>
      </w:pPr>
      <w:r>
        <w:t xml:space="preserve">Strength and Conditioning staff</w:t>
      </w:r>
    </w:p>
    <w:p>
      <w:pPr>
        <w:pStyle w:val="ListParagraph"/>
        <w:numPr>
          <w:ilvl w:val="0"/>
          <w:numId w:val="3"/>
        </w:numPr>
        <w:spacing w:after="80" w:line="276"/>
      </w:pPr>
      <w:r>
        <w:t xml:space="preserve">Athletic Training and Sports Medicine staff</w:t>
      </w:r>
    </w:p>
    <w:p>
      <w:pPr>
        <w:pStyle w:val="ListParagraph"/>
        <w:numPr>
          <w:ilvl w:val="0"/>
          <w:numId w:val="3"/>
        </w:numPr>
        <w:spacing w:after="80" w:line="276"/>
      </w:pPr>
      <w:r>
        <w:t xml:space="preserve">Sports Dietitians and Nutrition staff</w:t>
      </w:r>
    </w:p>
    <w:p>
      <w:pPr>
        <w:pStyle w:val="ListParagraph"/>
        <w:numPr>
          <w:ilvl w:val="0"/>
          <w:numId w:val="3"/>
        </w:numPr>
        <w:spacing w:after="80" w:line="276"/>
      </w:pPr>
      <w:r>
        <w:t xml:space="preserve">Applied Sport Science staff and embedded researchers (B.A.I.R.)</w:t>
      </w:r>
    </w:p>
    <w:p>
      <w:pPr>
        <w:pStyle w:val="ListParagraph"/>
        <w:numPr>
          <w:ilvl w:val="0"/>
          <w:numId w:val="3"/>
        </w:numPr>
        <w:spacing w:after="80" w:line="276"/>
      </w:pPr>
      <w:r>
        <w:t xml:space="preserve">Coaching staff (primarily via the TLDR and Practical Implications columns)</w:t>
      </w:r>
    </w:p>
    <w:p>
      <w:pPr>
        <w:pStyle w:val="ListParagraph"/>
        <w:numPr>
          <w:ilvl w:val="0"/>
          <w:numId w:val="3"/>
        </w:numPr>
        <w:spacing w:after="80" w:line="276"/>
      </w:pPr>
      <w:r>
        <w:t xml:space="preserve">Graduate assistants and PhD students working within Athletics</w:t>
      </w:r>
    </w:p>
    <w:p>
      <w:pPr>
        <w:pStyle w:val="Heading1"/>
      </w:pPr>
      <w:r>
        <w:t xml:space="preserve">Next Steps</w:t>
      </w:r>
    </w:p>
    <w:p>
      <w:pPr>
        <w:pStyle w:val="ListParagraph"/>
        <w:numPr>
          <w:ilvl w:val="0"/>
          <w:numId w:val="4"/>
        </w:numPr>
        <w:spacing w:after="80" w:line="276"/>
      </w:pPr>
      <w:r>
        <w:t xml:space="preserve">Populate the library with additional papers from the monthly Pro Football Sports Science Research Updates (9 monthly editions currently in Google Drive)</w:t>
      </w:r>
    </w:p>
    <w:p>
      <w:pPr>
        <w:pStyle w:val="ListParagraph"/>
        <w:numPr>
          <w:ilvl w:val="0"/>
          <w:numId w:val="4"/>
        </w:numPr>
        <w:spacing w:after="80" w:line="276"/>
      </w:pPr>
      <w:r>
        <w:t xml:space="preserve">Distribute the shared artifact link to all staff with access instructions</w:t>
      </w:r>
    </w:p>
    <w:p>
      <w:pPr>
        <w:pStyle w:val="ListParagraph"/>
        <w:numPr>
          <w:ilvl w:val="0"/>
          <w:numId w:val="4"/>
        </w:numPr>
        <w:spacing w:after="80" w:line="276"/>
      </w:pPr>
      <w:r>
        <w:t xml:space="preserve">Establish a monthly cadence for adding new research as it is reviewed</w:t>
      </w:r>
    </w:p>
    <w:p>
      <w:pPr>
        <w:pStyle w:val="ListParagraph"/>
        <w:numPr>
          <w:ilvl w:val="0"/>
          <w:numId w:val="4"/>
        </w:numPr>
        <w:spacing w:after="80" w:line="276"/>
      </w:pPr>
      <w:r>
        <w:t xml:space="preserve">Consider integration with the Performance School curriculum to link research to education modules</w:t>
      </w:r>
    </w:p>
    <w:p>
      <w:pPr>
        <w:pStyle w:val="ListParagraph"/>
        <w:numPr>
          <w:ilvl w:val="0"/>
          <w:numId w:val="4"/>
        </w:numPr>
        <w:spacing w:after="80" w:line="276"/>
      </w:pPr>
      <w:r>
        <w:t xml:space="preserve">Evaluate whether the library format should be expanded to cover additional sports beyond football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66666"/>
        <w:sz w:val="16"/>
        <w:szCs w:val="16"/>
      </w:rPr>
      <w:t xml:space="preserve">Confidential </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A2B" w:sz="6" w:space="4"/>
      </w:pBdr>
      <w:tabs>
        <w:tab w:val="right" w:pos="9026"/>
      </w:tabs>
      <w:spacing w:after="80"/>
    </w:pPr>
    <w:r>
      <w:rPr>
        <w:rFonts w:ascii="Arial" w:cs="Arial" w:eastAsia="Arial" w:hAnsi="Arial"/>
        <w:b/>
        <w:bCs/>
        <w:color w:val="003A2B"/>
        <w:sz w:val="16"/>
        <w:szCs w:val="16"/>
      </w:rPr>
      <w:t xml:space="preserve">Baylor Athletics </w:t>
    </w:r>
    <w:r>
      <w:rPr>
        <w:rFonts w:ascii="Arial" w:cs="Arial" w:eastAsia="Arial" w:hAnsi="Arial"/>
        <w:color w:val="666666"/>
        <w:sz w:val="16"/>
        <w:szCs w:val="16"/>
      </w:rPr>
      <w:t xml:space="preserve">| Applied Performance</w:t>
    </w:r>
    <w:r>
      <w:rPr>
        <w:rFonts w:ascii="Arial" w:cs="Arial" w:eastAsia="Arial" w:hAnsi="Arial"/>
        <w:color w:val="666666"/>
        <w:sz w:val="16"/>
        <w:szCs w:val="16"/>
      </w:rPr>
      <w:t xml:space="preserve">	Project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A2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3A2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2026-03-11T02:36:08.192Z</dcterms:created>
  <dcterms:modified xsi:type="dcterms:W3CDTF">2026-03-11T02:36:08.193Z</dcterms:modified>
</cp:coreProperties>
</file>

<file path=docProps/custom.xml><?xml version="1.0" encoding="utf-8"?>
<Properties xmlns="http://schemas.openxmlformats.org/officeDocument/2006/custom-properties" xmlns:vt="http://schemas.openxmlformats.org/officeDocument/2006/docPropsVTypes"/>
</file>