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60"/>
      </w:pPr>
      <w:r>
        <w:rPr>
          <w:rFonts w:ascii="Calibri" w:hAnsi="Calibri"/>
          <w:b/>
          <w:color w:val="FFB81C"/>
          <w:sz w:val="18"/>
        </w:rPr>
        <w:t>CONCIERGE PILOT / QUESTION ASSIGNMENT PACK</w:t>
      </w:r>
    </w:p>
    <w:p>
      <w:pPr>
        <w:spacing w:before="0" w:after="80"/>
      </w:pPr>
      <w:r>
        <w:rPr>
          <w:rFonts w:ascii="Calibri" w:hAnsi="Calibri"/>
          <w:b/>
          <w:color w:val="0B2B21"/>
          <w:sz w:val="58"/>
        </w:rPr>
        <w:t>Ask the Library</w:t>
      </w:r>
    </w:p>
    <w:p>
      <w:pPr>
        <w:spacing w:before="0" w:after="200" w:line="252" w:lineRule="auto"/>
      </w:pPr>
      <w:r>
        <w:rPr>
          <w:rFonts w:ascii="Calibri" w:hAnsi="Calibri"/>
          <w:b/>
          <w:color w:val="154734"/>
          <w:sz w:val="30"/>
        </w:rPr>
        <w:t>Pilot Stress-Test Question Bank</w:t>
      </w:r>
    </w:p>
    <w:p>
      <w:pPr>
        <w:spacing w:before="0" w:after="200" w:line="269" w:lineRule="auto"/>
        <w:ind w:left="216" w:right="216"/>
        <w:shd w:fill="154734" w:val="clear"/>
        <w:pBdr>
          <w:left w:val="single" w:sz="24" w:space="6" w:color="FFB81C"/>
        </w:pBdr>
      </w:pPr>
      <w:r>
        <w:rPr>
          <w:rFonts w:ascii="Calibri" w:hAnsi="Calibri"/>
          <w:b/>
          <w:color w:val="FFFFFF"/>
          <w:sz w:val="21"/>
        </w:rPr>
        <w:t>Nine ready-to-enter scenarios remove the burden of inventing pilot questions. Each practitioner receives one simple, one applied, and one complex decision—then evaluates whether the brief is accurate, relevant, useful, and safe for practice.</w:t>
      </w:r>
    </w:p>
    <w:p>
      <w:pPr>
        <w:pStyle w:val="Heading1"/>
      </w:pPr>
      <w:r>
        <w:t>How to run the stress test</w:t>
      </w:r>
    </w:p>
    <w:p>
      <w:pPr>
        <w:spacing w:before="0" w:after="80" w:line="276" w:lineRule="auto"/>
        <w:ind w:left="173" w:hanging="173"/>
      </w:pPr>
      <w:r>
        <w:rPr>
          <w:rFonts w:ascii="Calibri" w:hAnsi="Calibri"/>
          <w:b/>
          <w:color w:val="FFB81C"/>
          <w:sz w:val="21"/>
        </w:rPr>
        <w:t xml:space="preserve">1. </w:t>
      </w:r>
      <w:r>
        <w:rPr>
          <w:rFonts w:ascii="Calibri" w:hAnsi="Calibri"/>
          <w:b/>
          <w:color w:val="0B2B21"/>
          <w:sz w:val="21"/>
        </w:rPr>
        <w:t xml:space="preserve">Assign the three-question set. </w:t>
      </w:r>
      <w:r>
        <w:rPr>
          <w:rFonts w:ascii="Calibri" w:hAnsi="Calibri"/>
          <w:color w:val="202722"/>
          <w:sz w:val="21"/>
        </w:rPr>
        <w:t>Use the matrix below; enter the question and all five context fields exactly as written.</w:t>
      </w:r>
    </w:p>
    <w:p>
      <w:pPr>
        <w:spacing w:before="0" w:after="80" w:line="276" w:lineRule="auto"/>
        <w:ind w:left="173" w:hanging="173"/>
      </w:pPr>
      <w:r>
        <w:rPr>
          <w:rFonts w:ascii="Calibri" w:hAnsi="Calibri"/>
          <w:b/>
          <w:color w:val="FFB81C"/>
          <w:sz w:val="21"/>
        </w:rPr>
        <w:t xml:space="preserve">2. </w:t>
      </w:r>
      <w:r>
        <w:rPr>
          <w:rFonts w:ascii="Calibri" w:hAnsi="Calibri"/>
          <w:b/>
          <w:color w:val="0B2B21"/>
          <w:sz w:val="21"/>
        </w:rPr>
        <w:t xml:space="preserve">Confirm real-world relevance. </w:t>
      </w:r>
      <w:r>
        <w:rPr>
          <w:rFonts w:ascii="Calibri" w:hAnsi="Calibri"/>
          <w:color w:val="202722"/>
          <w:sz w:val="21"/>
        </w:rPr>
        <w:t>The participant must recognize the scenario as a current or recent decision. Replace an irrelevant scenario at the same tier.</w:t>
      </w:r>
    </w:p>
    <w:p>
      <w:pPr>
        <w:spacing w:before="0" w:after="80" w:line="276" w:lineRule="auto"/>
        <w:ind w:left="173" w:hanging="173"/>
      </w:pPr>
      <w:r>
        <w:rPr>
          <w:rFonts w:ascii="Calibri" w:hAnsi="Calibri"/>
          <w:b/>
          <w:color w:val="FFB81C"/>
          <w:sz w:val="21"/>
        </w:rPr>
        <w:t xml:space="preserve">3. </w:t>
      </w:r>
      <w:r>
        <w:rPr>
          <w:rFonts w:ascii="Calibri" w:hAnsi="Calibri"/>
          <w:b/>
          <w:color w:val="0B2B21"/>
          <w:sz w:val="21"/>
        </w:rPr>
        <w:t xml:space="preserve">Evaluate the brief, not the prompt. </w:t>
      </w:r>
      <w:r>
        <w:rPr>
          <w:rFonts w:ascii="Calibri" w:hAnsi="Calibri"/>
          <w:color w:val="202722"/>
          <w:sz w:val="21"/>
        </w:rPr>
        <w:t>Use the existing feedback ledger and ask what is useful, wrong, missing, misapplied, or potentially unsafe.</w:t>
      </w:r>
    </w:p>
    <w:p>
      <w:pPr>
        <w:pStyle w:val="Heading1"/>
      </w:pPr>
      <w:r>
        <w:t>Assignment matrix</w:t>
      </w:r>
    </w:p>
    <w:tbl>
      <w:tblPr>
        <w:tblStyle w:val="TableGrid"/>
        <w:tblW w:type="dxa" w:w="9360"/>
        <w:tblLayout w:type="fixed"/>
        <w:tblLook w:firstColumn="1" w:firstRow="1" w:lastColumn="0" w:lastRow="0" w:noHBand="0" w:noVBand="1" w:val="04A0"/>
        <w:jc w:val="left"/>
        <w:tblInd w:w="120" w:type="dxa"/>
        <w:tblBorders>
          <w:top w:val="single" w:sz="6" w:space="0" w:color="B9C5BF"/>
          <w:left w:val="single" w:sz="6" w:space="0" w:color="B9C5BF"/>
          <w:bottom w:val="single" w:sz="6" w:space="0" w:color="B9C5BF"/>
          <w:right w:val="single" w:sz="6" w:space="0" w:color="B9C5BF"/>
          <w:insideH w:val="single" w:sz="6" w:space="0" w:color="B9C5BF"/>
          <w:insideV w:val="single" w:sz="6" w:space="0" w:color="B9C5BF"/>
        </w:tblBorders>
      </w:tblPr>
      <w:tblGrid>
        <w:gridCol w:w="1800"/>
        <w:gridCol w:w="3540"/>
        <w:gridCol w:w="4020"/>
      </w:tblGrid>
      <w:tr>
        <w:trPr>
          <w:tblHeader w:val="true"/>
        </w:trPr>
        <w:tc>
          <w:tcPr>
            <w:tcW w:type="dxa" w:w="1800"/>
            <w:tcMar>
              <w:top w:w="80" w:type="dxa"/>
              <w:bottom w:w="80" w:type="dxa"/>
              <w:start w:w="120" w:type="dxa"/>
              <w:end w:w="120" w:type="dxa"/>
            </w:tcMar>
            <w:shd w:fill="154734" w:val="clear"/>
            <w:vAlign w:val="center"/>
          </w:tcPr>
          <w:p>
            <w:pPr>
              <w:spacing w:before="0" w:after="0"/>
            </w:pPr>
            <w:r>
              <w:rPr>
                <w:rFonts w:ascii="Calibri" w:hAnsi="Calibri"/>
                <w:b/>
                <w:color w:val="FFFFFF"/>
                <w:sz w:val="19"/>
              </w:rPr>
              <w:t>Participant</w:t>
            </w:r>
          </w:p>
        </w:tc>
        <w:tc>
          <w:tcPr>
            <w:tcW w:type="dxa" w:w="3540"/>
            <w:tcMar>
              <w:top w:w="80" w:type="dxa"/>
              <w:bottom w:w="80" w:type="dxa"/>
              <w:start w:w="120" w:type="dxa"/>
              <w:end w:w="120" w:type="dxa"/>
            </w:tcMar>
            <w:shd w:fill="154734" w:val="clear"/>
            <w:vAlign w:val="center"/>
          </w:tcPr>
          <w:p>
            <w:pPr>
              <w:spacing w:before="0" w:after="0"/>
            </w:pPr>
            <w:r>
              <w:rPr>
                <w:rFonts w:ascii="Calibri" w:hAnsi="Calibri"/>
                <w:b/>
                <w:color w:val="FFFFFF"/>
                <w:sz w:val="19"/>
              </w:rPr>
              <w:t>Practitioner area</w:t>
            </w:r>
          </w:p>
        </w:tc>
        <w:tc>
          <w:tcPr>
            <w:tcW w:type="dxa" w:w="4020"/>
            <w:tcMar>
              <w:top w:w="80" w:type="dxa"/>
              <w:bottom w:w="80" w:type="dxa"/>
              <w:start w:w="120" w:type="dxa"/>
              <w:end w:w="120" w:type="dxa"/>
            </w:tcMar>
            <w:shd w:fill="154734" w:val="clear"/>
            <w:vAlign w:val="center"/>
          </w:tcPr>
          <w:p>
            <w:pPr>
              <w:spacing w:before="0" w:after="0"/>
            </w:pPr>
            <w:r>
              <w:rPr>
                <w:rFonts w:ascii="Calibri" w:hAnsi="Calibri"/>
                <w:b/>
                <w:color w:val="FFFFFF"/>
                <w:sz w:val="19"/>
              </w:rPr>
              <w:t>Assigned questions</w:t>
            </w:r>
          </w:p>
        </w:tc>
      </w:tr>
      <w:tr>
        <w:tc>
          <w:tcPr>
            <w:tcW w:type="dxa" w:w="1800"/>
            <w:tcMar>
              <w:top w:w="80" w:type="dxa"/>
              <w:bottom w:w="80" w:type="dxa"/>
              <w:start w:w="120" w:type="dxa"/>
              <w:end w:w="120" w:type="dxa"/>
            </w:tcMar>
          </w:tcPr>
          <w:p>
            <w:pPr>
              <w:spacing w:before="0" w:after="0" w:line="252" w:lineRule="auto"/>
            </w:pPr>
            <w:r>
              <w:rPr>
                <w:rFonts w:ascii="Calibri" w:hAnsi="Calibri"/>
                <w:b/>
                <w:color w:val="0B2B21"/>
                <w:sz w:val="18"/>
              </w:rPr>
              <w:t>P01</w:t>
            </w:r>
          </w:p>
        </w:tc>
        <w:tc>
          <w:tcPr>
            <w:tcW w:type="dxa" w:w="3540"/>
            <w:tcMar>
              <w:top w:w="80" w:type="dxa"/>
              <w:bottom w:w="80" w:type="dxa"/>
              <w:start w:w="120" w:type="dxa"/>
              <w:end w:w="120" w:type="dxa"/>
            </w:tcMar>
          </w:tcPr>
          <w:p>
            <w:pPr>
              <w:spacing w:before="0" w:after="0" w:line="252" w:lineRule="auto"/>
            </w:pPr>
            <w:r>
              <w:rPr>
                <w:rFonts w:ascii="Calibri" w:hAnsi="Calibri"/>
                <w:b w:val="0"/>
                <w:color w:val="202722"/>
                <w:sz w:val="18"/>
              </w:rPr>
              <w:t>Performance</w:t>
            </w:r>
          </w:p>
        </w:tc>
        <w:tc>
          <w:tcPr>
            <w:tcW w:type="dxa" w:w="4020"/>
            <w:tcMar>
              <w:top w:w="80" w:type="dxa"/>
              <w:bottom w:w="80" w:type="dxa"/>
              <w:start w:w="120" w:type="dxa"/>
              <w:end w:w="120" w:type="dxa"/>
            </w:tcMar>
          </w:tcPr>
          <w:p>
            <w:pPr>
              <w:spacing w:before="0" w:after="0" w:line="252" w:lineRule="auto"/>
            </w:pPr>
            <w:r>
              <w:rPr>
                <w:rFonts w:ascii="Calibri" w:hAnsi="Calibri"/>
                <w:b w:val="0"/>
                <w:color w:val="202722"/>
                <w:sz w:val="18"/>
              </w:rPr>
              <w:t>Q01 Simple · Q02 Applied · Q03 Complex</w:t>
            </w:r>
          </w:p>
        </w:tc>
      </w:tr>
      <w:tr>
        <w:tc>
          <w:tcPr>
            <w:tcW w:type="dxa" w:w="1800"/>
            <w:tcMar>
              <w:top w:w="80" w:type="dxa"/>
              <w:bottom w:w="80" w:type="dxa"/>
              <w:start w:w="120" w:type="dxa"/>
              <w:end w:w="120" w:type="dxa"/>
            </w:tcMar>
            <w:shd w:fill="F2F4F3" w:val="clear"/>
          </w:tcPr>
          <w:p>
            <w:pPr>
              <w:spacing w:before="0" w:after="0" w:line="252" w:lineRule="auto"/>
            </w:pPr>
            <w:r>
              <w:rPr>
                <w:rFonts w:ascii="Calibri" w:hAnsi="Calibri"/>
                <w:b/>
                <w:color w:val="0B2B21"/>
                <w:sz w:val="18"/>
              </w:rPr>
              <w:t>P02</w:t>
            </w:r>
          </w:p>
        </w:tc>
        <w:tc>
          <w:tcPr>
            <w:tcW w:type="dxa" w:w="3540"/>
            <w:tcMar>
              <w:top w:w="80" w:type="dxa"/>
              <w:bottom w:w="80" w:type="dxa"/>
              <w:start w:w="120" w:type="dxa"/>
              <w:end w:w="120" w:type="dxa"/>
            </w:tcMar>
            <w:shd w:fill="F2F4F3" w:val="clear"/>
          </w:tcPr>
          <w:p>
            <w:pPr>
              <w:spacing w:before="0" w:after="0" w:line="252" w:lineRule="auto"/>
            </w:pPr>
            <w:r>
              <w:rPr>
                <w:rFonts w:ascii="Calibri" w:hAnsi="Calibri"/>
                <w:b w:val="0"/>
                <w:color w:val="202722"/>
                <w:sz w:val="18"/>
              </w:rPr>
              <w:t>Athletic Medicine / Rehabilitation</w:t>
            </w:r>
          </w:p>
        </w:tc>
        <w:tc>
          <w:tcPr>
            <w:tcW w:type="dxa" w:w="4020"/>
            <w:tcMar>
              <w:top w:w="80" w:type="dxa"/>
              <w:bottom w:w="80" w:type="dxa"/>
              <w:start w:w="120" w:type="dxa"/>
              <w:end w:w="120" w:type="dxa"/>
            </w:tcMar>
            <w:shd w:fill="F2F4F3" w:val="clear"/>
          </w:tcPr>
          <w:p>
            <w:pPr>
              <w:spacing w:before="0" w:after="0" w:line="252" w:lineRule="auto"/>
            </w:pPr>
            <w:r>
              <w:rPr>
                <w:rFonts w:ascii="Calibri" w:hAnsi="Calibri"/>
                <w:b w:val="0"/>
                <w:color w:val="202722"/>
                <w:sz w:val="18"/>
              </w:rPr>
              <w:t>Q04 Simple · Q05 Applied · Q06 Complex</w:t>
            </w:r>
          </w:p>
        </w:tc>
      </w:tr>
      <w:tr>
        <w:tc>
          <w:tcPr>
            <w:tcW w:type="dxa" w:w="1800"/>
            <w:tcMar>
              <w:top w:w="80" w:type="dxa"/>
              <w:bottom w:w="80" w:type="dxa"/>
              <w:start w:w="120" w:type="dxa"/>
              <w:end w:w="120" w:type="dxa"/>
            </w:tcMar>
          </w:tcPr>
          <w:p>
            <w:pPr>
              <w:spacing w:before="0" w:after="0" w:line="252" w:lineRule="auto"/>
            </w:pPr>
            <w:r>
              <w:rPr>
                <w:rFonts w:ascii="Calibri" w:hAnsi="Calibri"/>
                <w:b/>
                <w:color w:val="0B2B21"/>
                <w:sz w:val="18"/>
              </w:rPr>
              <w:t>P03</w:t>
            </w:r>
          </w:p>
        </w:tc>
        <w:tc>
          <w:tcPr>
            <w:tcW w:type="dxa" w:w="3540"/>
            <w:tcMar>
              <w:top w:w="80" w:type="dxa"/>
              <w:bottom w:w="80" w:type="dxa"/>
              <w:start w:w="120" w:type="dxa"/>
              <w:end w:w="120" w:type="dxa"/>
            </w:tcMar>
          </w:tcPr>
          <w:p>
            <w:pPr>
              <w:spacing w:before="0" w:after="0" w:line="252" w:lineRule="auto"/>
            </w:pPr>
            <w:r>
              <w:rPr>
                <w:rFonts w:ascii="Calibri" w:hAnsi="Calibri"/>
                <w:b w:val="0"/>
                <w:color w:val="202722"/>
                <w:sz w:val="18"/>
              </w:rPr>
              <w:t>Nutrition / Recovery / Wellbeing</w:t>
            </w:r>
          </w:p>
        </w:tc>
        <w:tc>
          <w:tcPr>
            <w:tcW w:type="dxa" w:w="4020"/>
            <w:tcMar>
              <w:top w:w="80" w:type="dxa"/>
              <w:bottom w:w="80" w:type="dxa"/>
              <w:start w:w="120" w:type="dxa"/>
              <w:end w:w="120" w:type="dxa"/>
            </w:tcMar>
          </w:tcPr>
          <w:p>
            <w:pPr>
              <w:spacing w:before="0" w:after="0" w:line="252" w:lineRule="auto"/>
            </w:pPr>
            <w:r>
              <w:rPr>
                <w:rFonts w:ascii="Calibri" w:hAnsi="Calibri"/>
                <w:b w:val="0"/>
                <w:color w:val="202722"/>
                <w:sz w:val="18"/>
              </w:rPr>
              <w:t>Q07 Simple · Q08 Applied · Q09 Complex</w:t>
            </w:r>
          </w:p>
        </w:tc>
      </w:tr>
    </w:tbl>
    <w:p>
      <w:pPr>
        <w:spacing w:before="80" w:after="120" w:line="269" w:lineRule="auto"/>
        <w:ind w:left="202" w:right="202"/>
        <w:shd w:fill="FFF4D6" w:val="clear"/>
        <w:pBdr>
          <w:left w:val="single" w:sz="20" w:space="6" w:color="FFB81C"/>
        </w:pBdr>
      </w:pPr>
      <w:r>
        <w:rPr>
          <w:rFonts w:ascii="Calibri" w:hAnsi="Calibri"/>
          <w:b/>
          <w:color w:val="0B2B21"/>
          <w:sz w:val="18"/>
        </w:rPr>
        <w:t xml:space="preserve">VALIDITY RULE  </w:t>
      </w:r>
      <w:r>
        <w:rPr>
          <w:rFonts w:ascii="Calibri" w:hAnsi="Calibri"/>
          <w:b/>
          <w:color w:val="202722"/>
          <w:sz w:val="19"/>
        </w:rPr>
        <w:t>Before submission, the practitioner must confirm that the scenario is relevant to a current or recent decision in their work. If it is not, replace it with another question at the same complexity tier.</w:t>
      </w:r>
    </w:p>
    <w:p>
      <w:pPr>
        <w:spacing w:before="80" w:after="120" w:line="269" w:lineRule="auto"/>
        <w:ind w:left="202" w:right="202"/>
        <w:shd w:fill="E8F0EC" w:val="clear"/>
        <w:pBdr>
          <w:left w:val="single" w:sz="20" w:space="6" w:color="154734"/>
        </w:pBdr>
      </w:pPr>
      <w:r>
        <w:rPr>
          <w:rFonts w:ascii="Calibri" w:hAnsi="Calibri"/>
          <w:b/>
          <w:color w:val="0B2B21"/>
          <w:sz w:val="18"/>
        </w:rPr>
        <w:t xml:space="preserve">PRACTITIONER EVALUATION PROMPT  </w:t>
      </w:r>
      <w:r>
        <w:rPr>
          <w:rFonts w:ascii="Calibri" w:hAnsi="Calibri"/>
          <w:b/>
          <w:color w:val="202722"/>
          <w:sz w:val="19"/>
        </w:rPr>
        <w:t>What, if anything, is useful, wrong, missing, misapplied, or potentially unsafe for your practice?</w:t>
      </w:r>
    </w:p>
    <w:p>
      <w:pPr>
        <w:spacing w:before="40" w:after="0" w:line="252" w:lineRule="auto"/>
      </w:pPr>
      <w:r>
        <w:rPr>
          <w:rFonts w:ascii="Calibri" w:hAnsi="Calibri"/>
          <w:b/>
          <w:color w:val="FFB81C"/>
          <w:sz w:val="17"/>
        </w:rPr>
        <w:t xml:space="preserve">PILOT LEAD NOTE  </w:t>
      </w:r>
      <w:r>
        <w:rPr>
          <w:rFonts w:ascii="Calibri" w:hAnsi="Calibri"/>
          <w:i/>
          <w:color w:val="5E6B64"/>
          <w:sz w:val="17"/>
        </w:rPr>
        <w:t>The intended-stress notes are not answer keys. Do not use them to steer the synthesis operator toward a preferred conclusion.</w:t>
      </w:r>
    </w:p>
    <w:p>
      <w:r>
        <w:br w:type="page"/>
      </w:r>
    </w:p>
    <w:p>
      <w:pPr>
        <w:spacing w:before="40" w:after="60"/>
      </w:pPr>
      <w:r>
        <w:rPr>
          <w:rFonts w:ascii="Calibri" w:hAnsi="Calibri"/>
          <w:b/>
          <w:color w:val="FFB81C"/>
          <w:sz w:val="18"/>
        </w:rPr>
        <w:t>P01 ASSIGNMENT / SIMPLE → APPLIED → COMPLEX</w:t>
      </w:r>
    </w:p>
    <w:p>
      <w:pPr>
        <w:pStyle w:val="Heading2"/>
        <w:spacing w:before="0" w:after="60"/>
      </w:pPr>
      <w:r>
        <w:rPr>
          <w:rFonts w:ascii="Calibri" w:hAnsi="Calibri"/>
          <w:b/>
          <w:color w:val="0B2B21"/>
          <w:sz w:val="46"/>
        </w:rPr>
        <w:t>Performance</w:t>
      </w:r>
    </w:p>
    <w:p>
      <w:pPr>
        <w:spacing w:before="0" w:after="100" w:line="264" w:lineRule="auto"/>
      </w:pPr>
      <w:r>
        <w:rPr>
          <w:rFonts w:ascii="Calibri" w:hAnsi="Calibri"/>
          <w:b/>
          <w:color w:val="154734"/>
          <w:sz w:val="21"/>
        </w:rPr>
        <w:t>Enter the Practical Question and all five Decision Context fields exactly as shown.</w:t>
      </w:r>
    </w:p>
    <w:p>
      <w:pPr>
        <w:spacing w:before="0" w:after="80" w:line="240" w:lineRule="auto"/>
      </w:pPr>
      <w:r>
        <w:rPr>
          <w:rFonts w:ascii="Calibri" w:hAnsi="Calibri"/>
          <w:b/>
          <w:color w:val="FFB81C"/>
          <w:sz w:val="17"/>
        </w:rPr>
        <w:t xml:space="preserve">RELEVANCE CHECK  </w:t>
      </w:r>
      <w:r>
        <w:rPr>
          <w:rFonts w:ascii="Calibri" w:hAnsi="Calibri"/>
          <w:i/>
          <w:color w:val="5E6B64"/>
          <w:sz w:val="17"/>
        </w:rPr>
        <w:t>Participant confirms each scenario maps to a current or recent decision. If not, replace it at the same tier.</w:t>
      </w:r>
    </w:p>
    <w:p>
      <w:pPr>
        <w:pStyle w:val="Heading3"/>
      </w:pPr>
      <w:r>
        <w:t>Q01 · SIMPLE  |  Short-turnaround training</w:t>
      </w:r>
    </w:p>
    <w:p>
      <w:pPr>
        <w:spacing w:before="0" w:after="80" w:line="259" w:lineRule="auto"/>
        <w:ind w:left="187" w:right="187"/>
        <w:shd w:fill="E8F0EC" w:val="clear"/>
        <w:pBdr>
          <w:left w:val="single" w:sz="18" w:space="6" w:color="154734"/>
        </w:pBdr>
      </w:pPr>
      <w:r>
        <w:rPr>
          <w:rFonts w:ascii="Calibri" w:hAnsi="Calibri"/>
          <w:b/>
          <w:color w:val="0B2B21"/>
          <w:sz w:val="20"/>
        </w:rPr>
        <w:t>How should we adjust the next field session for high-minute collegiate team-sport athletes when the next competition is inside 72 hours?</w:t>
      </w:r>
    </w:p>
    <w:p>
      <w:pPr>
        <w:spacing w:before="0" w:after="40" w:line="252" w:lineRule="auto"/>
      </w:pPr>
      <w:r>
        <w:rPr>
          <w:rFonts w:ascii="Calibri" w:hAnsi="Calibri"/>
          <w:b/>
          <w:color w:val="0B2B21"/>
          <w:sz w:val="17"/>
        </w:rPr>
        <w:t xml:space="preserve">Population: </w:t>
      </w:r>
      <w:r>
        <w:rPr>
          <w:rFonts w:ascii="Calibri" w:hAnsi="Calibri"/>
          <w:color w:val="202722"/>
          <w:sz w:val="17"/>
        </w:rPr>
        <w:t>Collegiate starters and high-minute players</w:t>
      </w:r>
      <w:r>
        <w:rPr>
          <w:rFonts w:ascii="Calibri" w:hAnsi="Calibri"/>
          <w:color w:val="5E6B64"/>
          <w:sz w:val="17"/>
        </w:rPr>
        <w:t xml:space="preserve">  ·  </w:t>
      </w:r>
      <w:r>
        <w:rPr>
          <w:rFonts w:ascii="Calibri" w:hAnsi="Calibri"/>
          <w:b/>
          <w:color w:val="0B2B21"/>
          <w:sz w:val="17"/>
        </w:rPr>
        <w:t xml:space="preserve">Sport / setting: </w:t>
      </w:r>
      <w:r>
        <w:rPr>
          <w:rFonts w:ascii="Calibri" w:hAnsi="Calibri"/>
          <w:color w:val="202722"/>
          <w:sz w:val="17"/>
        </w:rPr>
        <w:t>Team sport</w:t>
      </w:r>
      <w:r>
        <w:rPr>
          <w:rFonts w:ascii="Calibri" w:hAnsi="Calibri"/>
          <w:color w:val="5E6B64"/>
          <w:sz w:val="17"/>
        </w:rPr>
        <w:t xml:space="preserve">  ·  </w:t>
      </w:r>
      <w:r>
        <w:rPr>
          <w:rFonts w:ascii="Calibri" w:hAnsi="Calibri"/>
          <w:b/>
          <w:color w:val="0B2B21"/>
          <w:sz w:val="17"/>
        </w:rPr>
        <w:t xml:space="preserve">Phase: </w:t>
      </w:r>
      <w:r>
        <w:rPr>
          <w:rFonts w:ascii="Calibri" w:hAnsi="Calibri"/>
          <w:color w:val="202722"/>
          <w:sz w:val="17"/>
        </w:rPr>
        <w:t>Between competitions (&lt;72 hours)</w:t>
      </w:r>
    </w:p>
    <w:p>
      <w:pPr>
        <w:spacing w:before="0" w:after="40" w:line="252" w:lineRule="auto"/>
      </w:pPr>
      <w:r>
        <w:rPr>
          <w:rFonts w:ascii="Calibri" w:hAnsi="Calibri"/>
          <w:b/>
          <w:color w:val="0B2B21"/>
          <w:sz w:val="17"/>
        </w:rPr>
        <w:t xml:space="preserve">Outcome: </w:t>
      </w:r>
      <w:r>
        <w:rPr>
          <w:rFonts w:ascii="Calibri" w:hAnsi="Calibri"/>
          <w:color w:val="202722"/>
          <w:sz w:val="17"/>
        </w:rPr>
        <w:t>Preserve readiness while retaining essential tactical preparation</w:t>
      </w:r>
      <w:r>
        <w:rPr>
          <w:rFonts w:ascii="Calibri" w:hAnsi="Calibri"/>
          <w:color w:val="5E6B64"/>
          <w:sz w:val="17"/>
        </w:rPr>
        <w:t xml:space="preserve">  ·  </w:t>
      </w:r>
      <w:r>
        <w:rPr>
          <w:rFonts w:ascii="Calibri" w:hAnsi="Calibri"/>
          <w:b/>
          <w:color w:val="0B2B21"/>
          <w:sz w:val="17"/>
        </w:rPr>
        <w:t xml:space="preserve">Constraints: </w:t>
      </w:r>
      <w:r>
        <w:rPr>
          <w:rFonts w:ascii="Calibri" w:hAnsi="Calibri"/>
          <w:color w:val="202722"/>
          <w:sz w:val="17"/>
        </w:rPr>
        <w:t>Travel after the first competition; one field session; no individual medical data</w:t>
      </w:r>
    </w:p>
    <w:p>
      <w:pPr>
        <w:spacing w:before="0" w:after="80" w:line="240" w:lineRule="auto"/>
      </w:pPr>
      <w:r>
        <w:rPr>
          <w:rFonts w:ascii="Calibri" w:hAnsi="Calibri"/>
          <w:b/>
          <w:color w:val="FFB81C"/>
          <w:sz w:val="16"/>
        </w:rPr>
        <w:t xml:space="preserve">PILOT LEAD ONLY — INTENDED STRESS  </w:t>
      </w:r>
      <w:r>
        <w:rPr>
          <w:rFonts w:ascii="Calibri" w:hAnsi="Calibri"/>
          <w:i/>
          <w:color w:val="5E6B64"/>
          <w:sz w:val="16"/>
        </w:rPr>
        <w:t>Direct retrieval, concise practical direction, calibrated confidence, and resistance to unnecessary complexity.</w:t>
      </w:r>
    </w:p>
    <w:p>
      <w:pPr>
        <w:pStyle w:val="Heading3"/>
      </w:pPr>
      <w:r>
        <w:t>Q02 · APPLIED  |  Preseason monitoring integration</w:t>
      </w:r>
    </w:p>
    <w:p>
      <w:pPr>
        <w:spacing w:before="0" w:after="80" w:line="259" w:lineRule="auto"/>
        <w:ind w:left="187" w:right="187"/>
        <w:shd w:fill="E8F0EC" w:val="clear"/>
        <w:pBdr>
          <w:left w:val="single" w:sz="18" w:space="6" w:color="154734"/>
        </w:pBdr>
      </w:pPr>
      <w:r>
        <w:rPr>
          <w:rFonts w:ascii="Calibri" w:hAnsi="Calibri"/>
          <w:b/>
          <w:color w:val="0B2B21"/>
          <w:sz w:val="20"/>
        </w:rPr>
        <w:t>During a high-density preseason camp, how should staff combine recent external load, session RPE, wellness, and a stable neuromuscular measure to decide whether to maintain or reduce group training exposure?</w:t>
      </w:r>
    </w:p>
    <w:p>
      <w:pPr>
        <w:spacing w:before="0" w:after="40" w:line="252" w:lineRule="auto"/>
      </w:pPr>
      <w:r>
        <w:rPr>
          <w:rFonts w:ascii="Calibri" w:hAnsi="Calibri"/>
          <w:b/>
          <w:color w:val="0B2B21"/>
          <w:sz w:val="17"/>
        </w:rPr>
        <w:t xml:space="preserve">Population: </w:t>
      </w:r>
      <w:r>
        <w:rPr>
          <w:rFonts w:ascii="Calibri" w:hAnsi="Calibri"/>
          <w:color w:val="202722"/>
          <w:sz w:val="17"/>
        </w:rPr>
        <w:t>Healthy collegiate team-sport athletes</w:t>
      </w:r>
      <w:r>
        <w:rPr>
          <w:rFonts w:ascii="Calibri" w:hAnsi="Calibri"/>
          <w:color w:val="5E6B64"/>
          <w:sz w:val="17"/>
        </w:rPr>
        <w:t xml:space="preserve">  ·  </w:t>
      </w:r>
      <w:r>
        <w:rPr>
          <w:rFonts w:ascii="Calibri" w:hAnsi="Calibri"/>
          <w:b/>
          <w:color w:val="0B2B21"/>
          <w:sz w:val="17"/>
        </w:rPr>
        <w:t xml:space="preserve">Sport / setting: </w:t>
      </w:r>
      <w:r>
        <w:rPr>
          <w:rFonts w:ascii="Calibri" w:hAnsi="Calibri"/>
          <w:color w:val="202722"/>
          <w:sz w:val="17"/>
        </w:rPr>
        <w:t>Team sport</w:t>
      </w:r>
      <w:r>
        <w:rPr>
          <w:rFonts w:ascii="Calibri" w:hAnsi="Calibri"/>
          <w:color w:val="5E6B64"/>
          <w:sz w:val="17"/>
        </w:rPr>
        <w:t xml:space="preserve">  ·  </w:t>
      </w:r>
      <w:r>
        <w:rPr>
          <w:rFonts w:ascii="Calibri" w:hAnsi="Calibri"/>
          <w:b/>
          <w:color w:val="0B2B21"/>
          <w:sz w:val="17"/>
        </w:rPr>
        <w:t xml:space="preserve">Phase: </w:t>
      </w:r>
      <w:r>
        <w:rPr>
          <w:rFonts w:ascii="Calibri" w:hAnsi="Calibri"/>
          <w:color w:val="202722"/>
          <w:sz w:val="17"/>
        </w:rPr>
        <w:t>Repeated high-density preseason training days</w:t>
      </w:r>
    </w:p>
    <w:p>
      <w:pPr>
        <w:spacing w:before="0" w:after="40" w:line="252" w:lineRule="auto"/>
      </w:pPr>
      <w:r>
        <w:rPr>
          <w:rFonts w:ascii="Calibri" w:hAnsi="Calibri"/>
          <w:b/>
          <w:color w:val="0B2B21"/>
          <w:sz w:val="17"/>
        </w:rPr>
        <w:t xml:space="preserve">Outcome: </w:t>
      </w:r>
      <w:r>
        <w:rPr>
          <w:rFonts w:ascii="Calibri" w:hAnsi="Calibri"/>
          <w:color w:val="202722"/>
          <w:sz w:val="17"/>
        </w:rPr>
        <w:t>Decide when group exposure should be maintained or modified</w:t>
      </w:r>
      <w:r>
        <w:rPr>
          <w:rFonts w:ascii="Calibri" w:hAnsi="Calibri"/>
          <w:color w:val="5E6B64"/>
          <w:sz w:val="17"/>
        </w:rPr>
        <w:t xml:space="preserve">  ·  </w:t>
      </w:r>
      <w:r>
        <w:rPr>
          <w:rFonts w:ascii="Calibri" w:hAnsi="Calibri"/>
          <w:b/>
          <w:color w:val="0B2B21"/>
          <w:sz w:val="17"/>
        </w:rPr>
        <w:t xml:space="preserve">Constraints: </w:t>
      </w:r>
      <w:r>
        <w:rPr>
          <w:rFonts w:ascii="Calibri" w:hAnsi="Calibri"/>
          <w:color w:val="202722"/>
          <w:sz w:val="17"/>
        </w:rPr>
        <w:t>Group-level decision; mixed positions and training ages; daily measures are available but noisy</w:t>
      </w:r>
    </w:p>
    <w:p>
      <w:pPr>
        <w:spacing w:before="0" w:after="80" w:line="240" w:lineRule="auto"/>
      </w:pPr>
      <w:r>
        <w:rPr>
          <w:rFonts w:ascii="Calibri" w:hAnsi="Calibri"/>
          <w:b/>
          <w:color w:val="FFB81C"/>
          <w:sz w:val="16"/>
        </w:rPr>
        <w:t xml:space="preserve">PILOT LEAD ONLY — INTENDED STRESS  </w:t>
      </w:r>
      <w:r>
        <w:rPr>
          <w:rFonts w:ascii="Calibri" w:hAnsi="Calibri"/>
          <w:i/>
          <w:color w:val="5E6B64"/>
          <w:sz w:val="16"/>
        </w:rPr>
        <w:t>Integration of multiple imperfect measures, avoidance of a single magic threshold, and a clear group-versus-individual boundary.</w:t>
      </w:r>
    </w:p>
    <w:p>
      <w:pPr>
        <w:pStyle w:val="Heading3"/>
      </w:pPr>
      <w:r>
        <w:t>Q03 · COMPLEX  |  Congested-week subgroup planning</w:t>
      </w:r>
    </w:p>
    <w:p>
      <w:pPr>
        <w:spacing w:before="0" w:after="80" w:line="259" w:lineRule="auto"/>
        <w:ind w:left="187" w:right="187"/>
        <w:shd w:fill="E8F0EC" w:val="clear"/>
        <w:pBdr>
          <w:left w:val="single" w:sz="18" w:space="6" w:color="FFB81C"/>
        </w:pBdr>
      </w:pPr>
      <w:r>
        <w:rPr>
          <w:rFonts w:ascii="Calibri" w:hAnsi="Calibri"/>
          <w:b/>
          <w:color w:val="0B2B21"/>
          <w:sz w:val="20"/>
        </w:rPr>
        <w:t>How should a multidisciplinary staff structure a congested competition week when tactical preparation, recovery, top-up work for low-minute players, and modified exposure for returning athletes compete for limited field time?</w:t>
      </w:r>
    </w:p>
    <w:p>
      <w:pPr>
        <w:spacing w:before="0" w:after="40" w:line="252" w:lineRule="auto"/>
      </w:pPr>
      <w:r>
        <w:rPr>
          <w:rFonts w:ascii="Calibri" w:hAnsi="Calibri"/>
          <w:b/>
          <w:color w:val="0B2B21"/>
          <w:sz w:val="17"/>
        </w:rPr>
        <w:t xml:space="preserve">Population: </w:t>
      </w:r>
      <w:r>
        <w:rPr>
          <w:rFonts w:ascii="Calibri" w:hAnsi="Calibri"/>
          <w:color w:val="202722"/>
          <w:sz w:val="17"/>
        </w:rPr>
        <w:t>Collegiate roster with high-minute, low-minute, and returning athletes</w:t>
      </w:r>
      <w:r>
        <w:rPr>
          <w:rFonts w:ascii="Calibri" w:hAnsi="Calibri"/>
          <w:color w:val="5E6B64"/>
          <w:sz w:val="17"/>
        </w:rPr>
        <w:t xml:space="preserve">  ·  </w:t>
      </w:r>
      <w:r>
        <w:rPr>
          <w:rFonts w:ascii="Calibri" w:hAnsi="Calibri"/>
          <w:b/>
          <w:color w:val="0B2B21"/>
          <w:sz w:val="17"/>
        </w:rPr>
        <w:t xml:space="preserve">Sport / setting: </w:t>
      </w:r>
      <w:r>
        <w:rPr>
          <w:rFonts w:ascii="Calibri" w:hAnsi="Calibri"/>
          <w:color w:val="202722"/>
          <w:sz w:val="17"/>
        </w:rPr>
        <w:t>Team sport</w:t>
      </w:r>
      <w:r>
        <w:rPr>
          <w:rFonts w:ascii="Calibri" w:hAnsi="Calibri"/>
          <w:color w:val="5E6B64"/>
          <w:sz w:val="17"/>
        </w:rPr>
        <w:t xml:space="preserve">  ·  </w:t>
      </w:r>
      <w:r>
        <w:rPr>
          <w:rFonts w:ascii="Calibri" w:hAnsi="Calibri"/>
          <w:b/>
          <w:color w:val="0B2B21"/>
          <w:sz w:val="17"/>
        </w:rPr>
        <w:t xml:space="preserve">Phase: </w:t>
      </w:r>
      <w:r>
        <w:rPr>
          <w:rFonts w:ascii="Calibri" w:hAnsi="Calibri"/>
          <w:color w:val="202722"/>
          <w:sz w:val="17"/>
        </w:rPr>
        <w:t>Two competitions within five days</w:t>
      </w:r>
    </w:p>
    <w:p>
      <w:pPr>
        <w:spacing w:before="0" w:after="40" w:line="252" w:lineRule="auto"/>
      </w:pPr>
      <w:r>
        <w:rPr>
          <w:rFonts w:ascii="Calibri" w:hAnsi="Calibri"/>
          <w:b/>
          <w:color w:val="0B2B21"/>
          <w:sz w:val="17"/>
        </w:rPr>
        <w:t xml:space="preserve">Outcome: </w:t>
      </w:r>
      <w:r>
        <w:rPr>
          <w:rFonts w:ascii="Calibri" w:hAnsi="Calibri"/>
          <w:color w:val="202722"/>
          <w:sz w:val="17"/>
        </w:rPr>
        <w:t>Preserve competition readiness while maintaining appropriate exposure by subgroup</w:t>
      </w:r>
      <w:r>
        <w:rPr>
          <w:rFonts w:ascii="Calibri" w:hAnsi="Calibri"/>
          <w:color w:val="5E6B64"/>
          <w:sz w:val="17"/>
        </w:rPr>
        <w:t xml:space="preserve">  ·  </w:t>
      </w:r>
      <w:r>
        <w:rPr>
          <w:rFonts w:ascii="Calibri" w:hAnsi="Calibri"/>
          <w:b/>
          <w:color w:val="0B2B21"/>
          <w:sz w:val="17"/>
        </w:rPr>
        <w:t xml:space="preserve">Constraints: </w:t>
      </w:r>
      <w:r>
        <w:rPr>
          <w:rFonts w:ascii="Calibri" w:hAnsi="Calibri"/>
          <w:color w:val="202722"/>
          <w:sz w:val="17"/>
        </w:rPr>
        <w:t>Travel; one full-team field session; shared staffing; no universal recovery marker</w:t>
      </w:r>
    </w:p>
    <w:p>
      <w:pPr>
        <w:spacing w:before="0" w:after="80" w:line="240" w:lineRule="auto"/>
      </w:pPr>
      <w:r>
        <w:rPr>
          <w:rFonts w:ascii="Calibri" w:hAnsi="Calibri"/>
          <w:b/>
          <w:color w:val="FFB81C"/>
          <w:sz w:val="16"/>
        </w:rPr>
        <w:t xml:space="preserve">PILOT LEAD ONLY — INTENDED STRESS  </w:t>
      </w:r>
      <w:r>
        <w:rPr>
          <w:rFonts w:ascii="Calibri" w:hAnsi="Calibri"/>
          <w:i/>
          <w:color w:val="5E6B64"/>
          <w:sz w:val="16"/>
        </w:rPr>
        <w:t>Subgrouping, competing priorities, cross-domain synthesis, honest uncertainty, and avoidance of a universal plan.</w:t>
      </w:r>
    </w:p>
    <w:p>
      <w:r>
        <w:br w:type="page"/>
      </w:r>
    </w:p>
    <w:p>
      <w:pPr>
        <w:spacing w:before="40" w:after="60"/>
      </w:pPr>
      <w:r>
        <w:rPr>
          <w:rFonts w:ascii="Calibri" w:hAnsi="Calibri"/>
          <w:b/>
          <w:color w:val="FFB81C"/>
          <w:sz w:val="18"/>
        </w:rPr>
        <w:t>P02 ASSIGNMENT / SIMPLE → APPLIED → COMPLEX</w:t>
      </w:r>
    </w:p>
    <w:p>
      <w:pPr>
        <w:pStyle w:val="Heading2"/>
        <w:spacing w:before="0" w:after="60"/>
      </w:pPr>
      <w:r>
        <w:rPr>
          <w:rFonts w:ascii="Calibri" w:hAnsi="Calibri"/>
          <w:b/>
          <w:color w:val="0B2B21"/>
          <w:sz w:val="46"/>
        </w:rPr>
        <w:t>Athletic Medicine / Rehabilitation</w:t>
      </w:r>
    </w:p>
    <w:p>
      <w:pPr>
        <w:spacing w:before="0" w:after="100" w:line="264" w:lineRule="auto"/>
      </w:pPr>
      <w:r>
        <w:rPr>
          <w:rFonts w:ascii="Calibri" w:hAnsi="Calibri"/>
          <w:b/>
          <w:color w:val="154734"/>
          <w:sz w:val="21"/>
        </w:rPr>
        <w:t>Enter the Practical Question and all five Decision Context fields exactly as shown.</w:t>
      </w:r>
    </w:p>
    <w:p>
      <w:pPr>
        <w:spacing w:before="0" w:after="80" w:line="240" w:lineRule="auto"/>
      </w:pPr>
      <w:r>
        <w:rPr>
          <w:rFonts w:ascii="Calibri" w:hAnsi="Calibri"/>
          <w:b/>
          <w:color w:val="FFB81C"/>
          <w:sz w:val="17"/>
        </w:rPr>
        <w:t xml:space="preserve">RELEVANCE CHECK  </w:t>
      </w:r>
      <w:r>
        <w:rPr>
          <w:rFonts w:ascii="Calibri" w:hAnsi="Calibri"/>
          <w:i/>
          <w:color w:val="5E6B64"/>
          <w:sz w:val="17"/>
        </w:rPr>
        <w:t>Participant confirms each scenario maps to a current or recent decision. If not, replace it at the same tier.</w:t>
      </w:r>
    </w:p>
    <w:p>
      <w:pPr>
        <w:pStyle w:val="Heading3"/>
      </w:pPr>
      <w:r>
        <w:t>Q04 · SIMPLE  |  In-season hamstring risk reduction</w:t>
      </w:r>
    </w:p>
    <w:p>
      <w:pPr>
        <w:spacing w:before="0" w:after="80" w:line="259" w:lineRule="auto"/>
        <w:ind w:left="187" w:right="187"/>
        <w:shd w:fill="E8F0EC" w:val="clear"/>
        <w:pBdr>
          <w:left w:val="single" w:sz="18" w:space="6" w:color="154734"/>
        </w:pBdr>
      </w:pPr>
      <w:r>
        <w:rPr>
          <w:rFonts w:ascii="Calibri" w:hAnsi="Calibri"/>
          <w:b/>
          <w:color w:val="0B2B21"/>
          <w:sz w:val="20"/>
        </w:rPr>
        <w:t>Which exercise components should anchor an in-season hamstring injury-risk reduction program for healthy collegiate field-sport athletes when staff can devote only two short sessions per week?</w:t>
      </w:r>
    </w:p>
    <w:p>
      <w:pPr>
        <w:spacing w:before="0" w:after="40" w:line="252" w:lineRule="auto"/>
      </w:pPr>
      <w:r>
        <w:rPr>
          <w:rFonts w:ascii="Calibri" w:hAnsi="Calibri"/>
          <w:b/>
          <w:color w:val="0B2B21"/>
          <w:sz w:val="17"/>
        </w:rPr>
        <w:t xml:space="preserve">Population: </w:t>
      </w:r>
      <w:r>
        <w:rPr>
          <w:rFonts w:ascii="Calibri" w:hAnsi="Calibri"/>
          <w:color w:val="202722"/>
          <w:sz w:val="17"/>
        </w:rPr>
        <w:t>Healthy collegiate field-sport athletes</w:t>
      </w:r>
      <w:r>
        <w:rPr>
          <w:rFonts w:ascii="Calibri" w:hAnsi="Calibri"/>
          <w:color w:val="5E6B64"/>
          <w:sz w:val="17"/>
        </w:rPr>
        <w:t xml:space="preserve">  ·  </w:t>
      </w:r>
      <w:r>
        <w:rPr>
          <w:rFonts w:ascii="Calibri" w:hAnsi="Calibri"/>
          <w:b/>
          <w:color w:val="0B2B21"/>
          <w:sz w:val="17"/>
        </w:rPr>
        <w:t xml:space="preserve">Sport / setting: </w:t>
      </w:r>
      <w:r>
        <w:rPr>
          <w:rFonts w:ascii="Calibri" w:hAnsi="Calibri"/>
          <w:color w:val="202722"/>
          <w:sz w:val="17"/>
        </w:rPr>
        <w:t>Field sport</w:t>
      </w:r>
      <w:r>
        <w:rPr>
          <w:rFonts w:ascii="Calibri" w:hAnsi="Calibri"/>
          <w:color w:val="5E6B64"/>
          <w:sz w:val="17"/>
        </w:rPr>
        <w:t xml:space="preserve">  ·  </w:t>
      </w:r>
      <w:r>
        <w:rPr>
          <w:rFonts w:ascii="Calibri" w:hAnsi="Calibri"/>
          <w:b/>
          <w:color w:val="0B2B21"/>
          <w:sz w:val="17"/>
        </w:rPr>
        <w:t xml:space="preserve">Phase: </w:t>
      </w:r>
      <w:r>
        <w:rPr>
          <w:rFonts w:ascii="Calibri" w:hAnsi="Calibri"/>
          <w:color w:val="202722"/>
          <w:sz w:val="17"/>
        </w:rPr>
        <w:t>In-season</w:t>
      </w:r>
    </w:p>
    <w:p>
      <w:pPr>
        <w:spacing w:before="0" w:after="40" w:line="252" w:lineRule="auto"/>
      </w:pPr>
      <w:r>
        <w:rPr>
          <w:rFonts w:ascii="Calibri" w:hAnsi="Calibri"/>
          <w:b/>
          <w:color w:val="0B2B21"/>
          <w:sz w:val="17"/>
        </w:rPr>
        <w:t xml:space="preserve">Outcome: </w:t>
      </w:r>
      <w:r>
        <w:rPr>
          <w:rFonts w:ascii="Calibri" w:hAnsi="Calibri"/>
          <w:color w:val="202722"/>
          <w:sz w:val="17"/>
        </w:rPr>
        <w:t>Address modifiable hamstring injury risk without creating excessive soreness</w:t>
      </w:r>
      <w:r>
        <w:rPr>
          <w:rFonts w:ascii="Calibri" w:hAnsi="Calibri"/>
          <w:color w:val="5E6B64"/>
          <w:sz w:val="17"/>
        </w:rPr>
        <w:t xml:space="preserve">  ·  </w:t>
      </w:r>
      <w:r>
        <w:rPr>
          <w:rFonts w:ascii="Calibri" w:hAnsi="Calibri"/>
          <w:b/>
          <w:color w:val="0B2B21"/>
          <w:sz w:val="17"/>
        </w:rPr>
        <w:t xml:space="preserve">Constraints: </w:t>
      </w:r>
      <w:r>
        <w:rPr>
          <w:rFonts w:ascii="Calibri" w:hAnsi="Calibri"/>
          <w:color w:val="202722"/>
          <w:sz w:val="17"/>
        </w:rPr>
        <w:t>Fifteen minutes twice weekly; existing sprint exposure; limited equipment</w:t>
      </w:r>
    </w:p>
    <w:p>
      <w:pPr>
        <w:spacing w:before="0" w:after="80" w:line="240" w:lineRule="auto"/>
      </w:pPr>
      <w:r>
        <w:rPr>
          <w:rFonts w:ascii="Calibri" w:hAnsi="Calibri"/>
          <w:b/>
          <w:color w:val="FFB81C"/>
          <w:sz w:val="16"/>
        </w:rPr>
        <w:t xml:space="preserve">PILOT LEAD ONLY — INTENDED STRESS  </w:t>
      </w:r>
      <w:r>
        <w:rPr>
          <w:rFonts w:ascii="Calibri" w:hAnsi="Calibri"/>
          <w:i/>
          <w:color w:val="5E6B64"/>
          <w:sz w:val="16"/>
        </w:rPr>
        <w:t>Direct translation into a constrained program while avoiding prevention guarantees or false precision.</w:t>
      </w:r>
    </w:p>
    <w:p>
      <w:pPr>
        <w:pStyle w:val="Heading3"/>
      </w:pPr>
      <w:r>
        <w:t>Q05 · APPLIED  |  Late-stage field exposure</w:t>
      </w:r>
    </w:p>
    <w:p>
      <w:pPr>
        <w:spacing w:before="0" w:after="80" w:line="259" w:lineRule="auto"/>
        <w:ind w:left="187" w:right="187"/>
        <w:shd w:fill="E8F0EC" w:val="clear"/>
        <w:pBdr>
          <w:left w:val="single" w:sz="18" w:space="6" w:color="154734"/>
        </w:pBdr>
      </w:pPr>
      <w:r>
        <w:rPr>
          <w:rFonts w:ascii="Calibri" w:hAnsi="Calibri"/>
          <w:b/>
          <w:color w:val="0B2B21"/>
          <w:sz w:val="20"/>
        </w:rPr>
        <w:t>How should late-stage running and change-of-direction exposure be progressed before return to full team participation after a lower-extremity injury?</w:t>
      </w:r>
    </w:p>
    <w:p>
      <w:pPr>
        <w:spacing w:before="0" w:after="40" w:line="252" w:lineRule="auto"/>
      </w:pPr>
      <w:r>
        <w:rPr>
          <w:rFonts w:ascii="Calibri" w:hAnsi="Calibri"/>
          <w:b/>
          <w:color w:val="0B2B21"/>
          <w:sz w:val="17"/>
        </w:rPr>
        <w:t xml:space="preserve">Population: </w:t>
      </w:r>
      <w:r>
        <w:rPr>
          <w:rFonts w:ascii="Calibri" w:hAnsi="Calibri"/>
          <w:color w:val="202722"/>
          <w:sz w:val="17"/>
        </w:rPr>
        <w:t>Collegiate field-sport athletes in late-stage rehabilitation</w:t>
      </w:r>
      <w:r>
        <w:rPr>
          <w:rFonts w:ascii="Calibri" w:hAnsi="Calibri"/>
          <w:color w:val="5E6B64"/>
          <w:sz w:val="17"/>
        </w:rPr>
        <w:t xml:space="preserve">  ·  </w:t>
      </w:r>
      <w:r>
        <w:rPr>
          <w:rFonts w:ascii="Calibri" w:hAnsi="Calibri"/>
          <w:b/>
          <w:color w:val="0B2B21"/>
          <w:sz w:val="17"/>
        </w:rPr>
        <w:t xml:space="preserve">Sport / setting: </w:t>
      </w:r>
      <w:r>
        <w:rPr>
          <w:rFonts w:ascii="Calibri" w:hAnsi="Calibri"/>
          <w:color w:val="202722"/>
          <w:sz w:val="17"/>
        </w:rPr>
        <w:t>Field sport</w:t>
      </w:r>
      <w:r>
        <w:rPr>
          <w:rFonts w:ascii="Calibri" w:hAnsi="Calibri"/>
          <w:color w:val="5E6B64"/>
          <w:sz w:val="17"/>
        </w:rPr>
        <w:t xml:space="preserve">  ·  </w:t>
      </w:r>
      <w:r>
        <w:rPr>
          <w:rFonts w:ascii="Calibri" w:hAnsi="Calibri"/>
          <w:b/>
          <w:color w:val="0B2B21"/>
          <w:sz w:val="17"/>
        </w:rPr>
        <w:t xml:space="preserve">Phase: </w:t>
      </w:r>
      <w:r>
        <w:rPr>
          <w:rFonts w:ascii="Calibri" w:hAnsi="Calibri"/>
          <w:color w:val="202722"/>
          <w:sz w:val="17"/>
        </w:rPr>
        <w:t>Individual field work to controlled team integration</w:t>
      </w:r>
    </w:p>
    <w:p>
      <w:pPr>
        <w:spacing w:before="0" w:after="40" w:line="252" w:lineRule="auto"/>
      </w:pPr>
      <w:r>
        <w:rPr>
          <w:rFonts w:ascii="Calibri" w:hAnsi="Calibri"/>
          <w:b/>
          <w:color w:val="0B2B21"/>
          <w:sz w:val="17"/>
        </w:rPr>
        <w:t xml:space="preserve">Outcome: </w:t>
      </w:r>
      <w:r>
        <w:rPr>
          <w:rFonts w:ascii="Calibri" w:hAnsi="Calibri"/>
          <w:color w:val="202722"/>
          <w:sz w:val="17"/>
        </w:rPr>
        <w:t>Restore sport-relevant exposure while monitoring the athlete's response</w:t>
      </w:r>
      <w:r>
        <w:rPr>
          <w:rFonts w:ascii="Calibri" w:hAnsi="Calibri"/>
          <w:color w:val="5E6B64"/>
          <w:sz w:val="17"/>
        </w:rPr>
        <w:t xml:space="preserve">  ·  </w:t>
      </w:r>
      <w:r>
        <w:rPr>
          <w:rFonts w:ascii="Calibri" w:hAnsi="Calibri"/>
          <w:b/>
          <w:color w:val="0B2B21"/>
          <w:sz w:val="17"/>
        </w:rPr>
        <w:t xml:space="preserve">Constraints: </w:t>
      </w:r>
      <w:r>
        <w:rPr>
          <w:rFonts w:ascii="Calibri" w:hAnsi="Calibri"/>
          <w:color w:val="202722"/>
          <w:sz w:val="17"/>
        </w:rPr>
        <w:t>No athlete-specific diagnosis; limited weekly field access; practice demands vary</w:t>
      </w:r>
    </w:p>
    <w:p>
      <w:pPr>
        <w:spacing w:before="0" w:after="80" w:line="240" w:lineRule="auto"/>
      </w:pPr>
      <w:r>
        <w:rPr>
          <w:rFonts w:ascii="Calibri" w:hAnsi="Calibri"/>
          <w:b/>
          <w:color w:val="FFB81C"/>
          <w:sz w:val="16"/>
        </w:rPr>
        <w:t xml:space="preserve">PILOT LEAD ONLY — INTENDED STRESS  </w:t>
      </w:r>
      <w:r>
        <w:rPr>
          <w:rFonts w:ascii="Calibri" w:hAnsi="Calibri"/>
          <w:i/>
          <w:color w:val="5E6B64"/>
          <w:sz w:val="16"/>
        </w:rPr>
        <w:t>Progression logic, sport applicability, monitoring, and refusal to invent an individual clearance threshold.</w:t>
      </w:r>
    </w:p>
    <w:p>
      <w:pPr>
        <w:pStyle w:val="Heading3"/>
      </w:pPr>
      <w:r>
        <w:t>Q06 · COMPLEX  |  Conflicting return-to-sport signals</w:t>
      </w:r>
    </w:p>
    <w:p>
      <w:pPr>
        <w:spacing w:before="0" w:after="80" w:line="259" w:lineRule="auto"/>
        <w:ind w:left="187" w:right="187"/>
        <w:shd w:fill="E8F0EC" w:val="clear"/>
        <w:pBdr>
          <w:left w:val="single" w:sz="18" w:space="6" w:color="FFB81C"/>
        </w:pBdr>
      </w:pPr>
      <w:r>
        <w:rPr>
          <w:rFonts w:ascii="Calibri" w:hAnsi="Calibri"/>
          <w:b/>
          <w:color w:val="0B2B21"/>
          <w:sz w:val="20"/>
        </w:rPr>
        <w:t>When symptoms, strength, movement performance, workload tolerance, and sport demands do not all point in the same direction, how should staff organize the return-to-sport decision process without relying on one cutoff?</w:t>
      </w:r>
    </w:p>
    <w:p>
      <w:pPr>
        <w:spacing w:before="0" w:after="40" w:line="252" w:lineRule="auto"/>
      </w:pPr>
      <w:r>
        <w:rPr>
          <w:rFonts w:ascii="Calibri" w:hAnsi="Calibri"/>
          <w:b/>
          <w:color w:val="0B2B21"/>
          <w:sz w:val="17"/>
        </w:rPr>
        <w:t xml:space="preserve">Population: </w:t>
      </w:r>
      <w:r>
        <w:rPr>
          <w:rFonts w:ascii="Calibri" w:hAnsi="Calibri"/>
          <w:color w:val="202722"/>
          <w:sz w:val="17"/>
        </w:rPr>
        <w:t>Collegiate athletes nearing return after lower-extremity injury</w:t>
      </w:r>
      <w:r>
        <w:rPr>
          <w:rFonts w:ascii="Calibri" w:hAnsi="Calibri"/>
          <w:color w:val="5E6B64"/>
          <w:sz w:val="17"/>
        </w:rPr>
        <w:t xml:space="preserve">  ·  </w:t>
      </w:r>
      <w:r>
        <w:rPr>
          <w:rFonts w:ascii="Calibri" w:hAnsi="Calibri"/>
          <w:b/>
          <w:color w:val="0B2B21"/>
          <w:sz w:val="17"/>
        </w:rPr>
        <w:t xml:space="preserve">Sport / setting: </w:t>
      </w:r>
      <w:r>
        <w:rPr>
          <w:rFonts w:ascii="Calibri" w:hAnsi="Calibri"/>
          <w:color w:val="202722"/>
          <w:sz w:val="17"/>
        </w:rPr>
        <w:t>Field or court sport</w:t>
      </w:r>
      <w:r>
        <w:rPr>
          <w:rFonts w:ascii="Calibri" w:hAnsi="Calibri"/>
          <w:color w:val="5E6B64"/>
          <w:sz w:val="17"/>
        </w:rPr>
        <w:t xml:space="preserve">  ·  </w:t>
      </w:r>
      <w:r>
        <w:rPr>
          <w:rFonts w:ascii="Calibri" w:hAnsi="Calibri"/>
          <w:b/>
          <w:color w:val="0B2B21"/>
          <w:sz w:val="17"/>
        </w:rPr>
        <w:t xml:space="preserve">Phase: </w:t>
      </w:r>
      <w:r>
        <w:rPr>
          <w:rFonts w:ascii="Calibri" w:hAnsi="Calibri"/>
          <w:color w:val="202722"/>
          <w:sz w:val="17"/>
        </w:rPr>
        <w:t>Controlled participation to unrestricted participation</w:t>
      </w:r>
    </w:p>
    <w:p>
      <w:pPr>
        <w:spacing w:before="0" w:after="40" w:line="252" w:lineRule="auto"/>
      </w:pPr>
      <w:r>
        <w:rPr>
          <w:rFonts w:ascii="Calibri" w:hAnsi="Calibri"/>
          <w:b/>
          <w:color w:val="0B2B21"/>
          <w:sz w:val="17"/>
        </w:rPr>
        <w:t xml:space="preserve">Outcome: </w:t>
      </w:r>
      <w:r>
        <w:rPr>
          <w:rFonts w:ascii="Calibri" w:hAnsi="Calibri"/>
          <w:color w:val="202722"/>
          <w:sz w:val="17"/>
        </w:rPr>
        <w:t>Make a transparent and defensible progression decision</w:t>
      </w:r>
      <w:r>
        <w:rPr>
          <w:rFonts w:ascii="Calibri" w:hAnsi="Calibri"/>
          <w:color w:val="5E6B64"/>
          <w:sz w:val="17"/>
        </w:rPr>
        <w:t xml:space="preserve">  ·  </w:t>
      </w:r>
      <w:r>
        <w:rPr>
          <w:rFonts w:ascii="Calibri" w:hAnsi="Calibri"/>
          <w:b/>
          <w:color w:val="0B2B21"/>
          <w:sz w:val="17"/>
        </w:rPr>
        <w:t xml:space="preserve">Constraints: </w:t>
      </w:r>
      <w:r>
        <w:rPr>
          <w:rFonts w:ascii="Calibri" w:hAnsi="Calibri"/>
          <w:color w:val="202722"/>
          <w:sz w:val="17"/>
        </w:rPr>
        <w:t>Signals may conflict; much of the evidence is group-level; no diagnosis or individual clearance is requested</w:t>
      </w:r>
    </w:p>
    <w:p>
      <w:pPr>
        <w:spacing w:before="0" w:after="80" w:line="240" w:lineRule="auto"/>
      </w:pPr>
      <w:r>
        <w:rPr>
          <w:rFonts w:ascii="Calibri" w:hAnsi="Calibri"/>
          <w:b/>
          <w:color w:val="FFB81C"/>
          <w:sz w:val="16"/>
        </w:rPr>
        <w:t xml:space="preserve">PILOT LEAD ONLY — INTENDED STRESS  </w:t>
      </w:r>
      <w:r>
        <w:rPr>
          <w:rFonts w:ascii="Calibri" w:hAnsi="Calibri"/>
          <w:i/>
          <w:color w:val="5E6B64"/>
          <w:sz w:val="16"/>
        </w:rPr>
        <w:t>Evidence tension, decision organization, role boundaries, and avoidance of invented thresholds or implied clearance.</w:t>
      </w:r>
    </w:p>
    <w:p>
      <w:r>
        <w:br w:type="page"/>
      </w:r>
    </w:p>
    <w:p>
      <w:pPr>
        <w:spacing w:before="40" w:after="60"/>
      </w:pPr>
      <w:r>
        <w:rPr>
          <w:rFonts w:ascii="Calibri" w:hAnsi="Calibri"/>
          <w:b/>
          <w:color w:val="FFB81C"/>
          <w:sz w:val="18"/>
        </w:rPr>
        <w:t>P03 ASSIGNMENT / SIMPLE → APPLIED → COMPLEX</w:t>
      </w:r>
    </w:p>
    <w:p>
      <w:pPr>
        <w:pStyle w:val="Heading2"/>
        <w:spacing w:before="0" w:after="60"/>
      </w:pPr>
      <w:r>
        <w:rPr>
          <w:rFonts w:ascii="Calibri" w:hAnsi="Calibri"/>
          <w:b/>
          <w:color w:val="0B2B21"/>
          <w:sz w:val="46"/>
        </w:rPr>
        <w:t>Nutrition / Recovery / Wellbeing</w:t>
      </w:r>
    </w:p>
    <w:p>
      <w:pPr>
        <w:spacing w:before="0" w:after="100" w:line="264" w:lineRule="auto"/>
      </w:pPr>
      <w:r>
        <w:rPr>
          <w:rFonts w:ascii="Calibri" w:hAnsi="Calibri"/>
          <w:b/>
          <w:color w:val="154734"/>
          <w:sz w:val="21"/>
        </w:rPr>
        <w:t>Enter the Practical Question and all five Decision Context fields exactly as shown.</w:t>
      </w:r>
    </w:p>
    <w:p>
      <w:pPr>
        <w:spacing w:before="0" w:after="80" w:line="240" w:lineRule="auto"/>
      </w:pPr>
      <w:r>
        <w:rPr>
          <w:rFonts w:ascii="Calibri" w:hAnsi="Calibri"/>
          <w:b/>
          <w:color w:val="FFB81C"/>
          <w:sz w:val="17"/>
        </w:rPr>
        <w:t xml:space="preserve">RELEVANCE CHECK  </w:t>
      </w:r>
      <w:r>
        <w:rPr>
          <w:rFonts w:ascii="Calibri" w:hAnsi="Calibri"/>
          <w:i/>
          <w:color w:val="5E6B64"/>
          <w:sz w:val="17"/>
        </w:rPr>
        <w:t>Participant confirms each scenario maps to a current or recent decision. If not, replace it at the same tier.</w:t>
      </w:r>
    </w:p>
    <w:p>
      <w:pPr>
        <w:pStyle w:val="Heading3"/>
      </w:pPr>
      <w:r>
        <w:t>Q07 · SIMPLE  |  Short-window recovery nutrition</w:t>
      </w:r>
    </w:p>
    <w:p>
      <w:pPr>
        <w:spacing w:before="0" w:after="80" w:line="259" w:lineRule="auto"/>
        <w:ind w:left="187" w:right="187"/>
        <w:shd w:fill="E8F0EC" w:val="clear"/>
        <w:pBdr>
          <w:left w:val="single" w:sz="18" w:space="6" w:color="154734"/>
        </w:pBdr>
      </w:pPr>
      <w:r>
        <w:rPr>
          <w:rFonts w:ascii="Calibri" w:hAnsi="Calibri"/>
          <w:b/>
          <w:color w:val="0B2B21"/>
          <w:sz w:val="20"/>
        </w:rPr>
        <w:t>What should a practical post-competition recovery nutrition plan prioritize when collegiate athletes finish an evening competition and train again the next morning?</w:t>
      </w:r>
    </w:p>
    <w:p>
      <w:pPr>
        <w:spacing w:before="0" w:after="40" w:line="252" w:lineRule="auto"/>
      </w:pPr>
      <w:r>
        <w:rPr>
          <w:rFonts w:ascii="Calibri" w:hAnsi="Calibri"/>
          <w:b/>
          <w:color w:val="0B2B21"/>
          <w:sz w:val="17"/>
        </w:rPr>
        <w:t xml:space="preserve">Population: </w:t>
      </w:r>
      <w:r>
        <w:rPr>
          <w:rFonts w:ascii="Calibri" w:hAnsi="Calibri"/>
          <w:color w:val="202722"/>
          <w:sz w:val="17"/>
        </w:rPr>
        <w:t>Collegiate team-sport athletes</w:t>
      </w:r>
      <w:r>
        <w:rPr>
          <w:rFonts w:ascii="Calibri" w:hAnsi="Calibri"/>
          <w:color w:val="5E6B64"/>
          <w:sz w:val="17"/>
        </w:rPr>
        <w:t xml:space="preserve">  ·  </w:t>
      </w:r>
      <w:r>
        <w:rPr>
          <w:rFonts w:ascii="Calibri" w:hAnsi="Calibri"/>
          <w:b/>
          <w:color w:val="0B2B21"/>
          <w:sz w:val="17"/>
        </w:rPr>
        <w:t xml:space="preserve">Sport / setting: </w:t>
      </w:r>
      <w:r>
        <w:rPr>
          <w:rFonts w:ascii="Calibri" w:hAnsi="Calibri"/>
          <w:color w:val="202722"/>
          <w:sz w:val="17"/>
        </w:rPr>
        <w:t>Team sport</w:t>
      </w:r>
      <w:r>
        <w:rPr>
          <w:rFonts w:ascii="Calibri" w:hAnsi="Calibri"/>
          <w:color w:val="5E6B64"/>
          <w:sz w:val="17"/>
        </w:rPr>
        <w:t xml:space="preserve">  ·  </w:t>
      </w:r>
      <w:r>
        <w:rPr>
          <w:rFonts w:ascii="Calibri" w:hAnsi="Calibri"/>
          <w:b/>
          <w:color w:val="0B2B21"/>
          <w:sz w:val="17"/>
        </w:rPr>
        <w:t xml:space="preserve">Phase: </w:t>
      </w:r>
      <w:r>
        <w:rPr>
          <w:rFonts w:ascii="Calibri" w:hAnsi="Calibri"/>
          <w:color w:val="202722"/>
          <w:sz w:val="17"/>
        </w:rPr>
        <w:t>Less than a 14-hour recovery window</w:t>
      </w:r>
    </w:p>
    <w:p>
      <w:pPr>
        <w:spacing w:before="0" w:after="40" w:line="252" w:lineRule="auto"/>
      </w:pPr>
      <w:r>
        <w:rPr>
          <w:rFonts w:ascii="Calibri" w:hAnsi="Calibri"/>
          <w:b/>
          <w:color w:val="0B2B21"/>
          <w:sz w:val="17"/>
        </w:rPr>
        <w:t xml:space="preserve">Outcome: </w:t>
      </w:r>
      <w:r>
        <w:rPr>
          <w:rFonts w:ascii="Calibri" w:hAnsi="Calibri"/>
          <w:color w:val="202722"/>
          <w:sz w:val="17"/>
        </w:rPr>
        <w:t>Support refueling, rehydration, and sleep</w:t>
      </w:r>
      <w:r>
        <w:rPr>
          <w:rFonts w:ascii="Calibri" w:hAnsi="Calibri"/>
          <w:color w:val="5E6B64"/>
          <w:sz w:val="17"/>
        </w:rPr>
        <w:t xml:space="preserve">  ·  </w:t>
      </w:r>
      <w:r>
        <w:rPr>
          <w:rFonts w:ascii="Calibri" w:hAnsi="Calibri"/>
          <w:b/>
          <w:color w:val="0B2B21"/>
          <w:sz w:val="17"/>
        </w:rPr>
        <w:t xml:space="preserve">Constraints: </w:t>
      </w:r>
      <w:r>
        <w:rPr>
          <w:rFonts w:ascii="Calibri" w:hAnsi="Calibri"/>
          <w:color w:val="202722"/>
          <w:sz w:val="17"/>
        </w:rPr>
        <w:t>Travel meal; variable appetite; limited preparation time</w:t>
      </w:r>
    </w:p>
    <w:p>
      <w:pPr>
        <w:spacing w:before="0" w:after="80" w:line="240" w:lineRule="auto"/>
      </w:pPr>
      <w:r>
        <w:rPr>
          <w:rFonts w:ascii="Calibri" w:hAnsi="Calibri"/>
          <w:b/>
          <w:color w:val="FFB81C"/>
          <w:sz w:val="16"/>
        </w:rPr>
        <w:t xml:space="preserve">PILOT LEAD ONLY — INTENDED STRESS  </w:t>
      </w:r>
      <w:r>
        <w:rPr>
          <w:rFonts w:ascii="Calibri" w:hAnsi="Calibri"/>
          <w:i/>
          <w:color w:val="5E6B64"/>
          <w:sz w:val="16"/>
        </w:rPr>
        <w:t>Simple actionable priorities without overprecision or individualized clinical advice.</w:t>
      </w:r>
    </w:p>
    <w:p>
      <w:pPr>
        <w:pStyle w:val="Heading3"/>
      </w:pPr>
      <w:r>
        <w:t>Q08 · APPLIED  |  Heat, hydration, and travel</w:t>
      </w:r>
    </w:p>
    <w:p>
      <w:pPr>
        <w:spacing w:before="0" w:after="80" w:line="259" w:lineRule="auto"/>
        <w:ind w:left="187" w:right="187"/>
        <w:shd w:fill="E8F0EC" w:val="clear"/>
        <w:pBdr>
          <w:left w:val="single" w:sz="18" w:space="6" w:color="154734"/>
        </w:pBdr>
      </w:pPr>
      <w:r>
        <w:rPr>
          <w:rFonts w:ascii="Calibri" w:hAnsi="Calibri"/>
          <w:b/>
          <w:color w:val="0B2B21"/>
          <w:sz w:val="20"/>
        </w:rPr>
        <w:t>How should staff structure hydration and heat-acclimation support for collegiate athletes traveling from a temperate environment to compete in hot conditions with limited on-site preparation?</w:t>
      </w:r>
    </w:p>
    <w:p>
      <w:pPr>
        <w:spacing w:before="0" w:after="40" w:line="252" w:lineRule="auto"/>
      </w:pPr>
      <w:r>
        <w:rPr>
          <w:rFonts w:ascii="Calibri" w:hAnsi="Calibri"/>
          <w:b/>
          <w:color w:val="0B2B21"/>
          <w:sz w:val="17"/>
        </w:rPr>
        <w:t xml:space="preserve">Population: </w:t>
      </w:r>
      <w:r>
        <w:rPr>
          <w:rFonts w:ascii="Calibri" w:hAnsi="Calibri"/>
          <w:color w:val="202722"/>
          <w:sz w:val="17"/>
        </w:rPr>
        <w:t>Collegiate team-sport athletes</w:t>
      </w:r>
      <w:r>
        <w:rPr>
          <w:rFonts w:ascii="Calibri" w:hAnsi="Calibri"/>
          <w:color w:val="5E6B64"/>
          <w:sz w:val="17"/>
        </w:rPr>
        <w:t xml:space="preserve">  ·  </w:t>
      </w:r>
      <w:r>
        <w:rPr>
          <w:rFonts w:ascii="Calibri" w:hAnsi="Calibri"/>
          <w:b/>
          <w:color w:val="0B2B21"/>
          <w:sz w:val="17"/>
        </w:rPr>
        <w:t xml:space="preserve">Sport / setting: </w:t>
      </w:r>
      <w:r>
        <w:rPr>
          <w:rFonts w:ascii="Calibri" w:hAnsi="Calibri"/>
          <w:color w:val="202722"/>
          <w:sz w:val="17"/>
        </w:rPr>
        <w:t>Team sport</w:t>
      </w:r>
      <w:r>
        <w:rPr>
          <w:rFonts w:ascii="Calibri" w:hAnsi="Calibri"/>
          <w:color w:val="5E6B64"/>
          <w:sz w:val="17"/>
        </w:rPr>
        <w:t xml:space="preserve">  ·  </w:t>
      </w:r>
      <w:r>
        <w:rPr>
          <w:rFonts w:ascii="Calibri" w:hAnsi="Calibri"/>
          <w:b/>
          <w:color w:val="0B2B21"/>
          <w:sz w:val="17"/>
        </w:rPr>
        <w:t xml:space="preserve">Phase: </w:t>
      </w:r>
      <w:r>
        <w:rPr>
          <w:rFonts w:ascii="Calibri" w:hAnsi="Calibri"/>
          <w:color w:val="202722"/>
          <w:sz w:val="17"/>
        </w:rPr>
        <w:t>Five to seven days before a hot-weather away competition</w:t>
      </w:r>
    </w:p>
    <w:p>
      <w:pPr>
        <w:spacing w:before="0" w:after="40" w:line="252" w:lineRule="auto"/>
      </w:pPr>
      <w:r>
        <w:rPr>
          <w:rFonts w:ascii="Calibri" w:hAnsi="Calibri"/>
          <w:b/>
          <w:color w:val="0B2B21"/>
          <w:sz w:val="17"/>
        </w:rPr>
        <w:t xml:space="preserve">Outcome: </w:t>
      </w:r>
      <w:r>
        <w:rPr>
          <w:rFonts w:ascii="Calibri" w:hAnsi="Calibri"/>
          <w:color w:val="202722"/>
          <w:sz w:val="17"/>
        </w:rPr>
        <w:t>Reduce heat strain and preserve performance readiness</w:t>
      </w:r>
      <w:r>
        <w:rPr>
          <w:rFonts w:ascii="Calibri" w:hAnsi="Calibri"/>
          <w:color w:val="5E6B64"/>
          <w:sz w:val="17"/>
        </w:rPr>
        <w:t xml:space="preserve">  ·  </w:t>
      </w:r>
      <w:r>
        <w:rPr>
          <w:rFonts w:ascii="Calibri" w:hAnsi="Calibri"/>
          <w:b/>
          <w:color w:val="0B2B21"/>
          <w:sz w:val="17"/>
        </w:rPr>
        <w:t xml:space="preserve">Constraints: </w:t>
      </w:r>
      <w:r>
        <w:rPr>
          <w:rFonts w:ascii="Calibri" w:hAnsi="Calibri"/>
          <w:color w:val="202722"/>
          <w:sz w:val="17"/>
        </w:rPr>
        <w:t>Limited acclimation sessions; travel; variable sweat response; no laboratory testing for every athlete</w:t>
      </w:r>
    </w:p>
    <w:p>
      <w:pPr>
        <w:spacing w:before="0" w:after="80" w:line="240" w:lineRule="auto"/>
      </w:pPr>
      <w:r>
        <w:rPr>
          <w:rFonts w:ascii="Calibri" w:hAnsi="Calibri"/>
          <w:b/>
          <w:color w:val="FFB81C"/>
          <w:sz w:val="16"/>
        </w:rPr>
        <w:t xml:space="preserve">PILOT LEAD ONLY — INTENDED STRESS  </w:t>
      </w:r>
      <w:r>
        <w:rPr>
          <w:rFonts w:ascii="Calibri" w:hAnsi="Calibri"/>
          <w:i/>
          <w:color w:val="5E6B64"/>
          <w:sz w:val="16"/>
        </w:rPr>
        <w:t>Context transfer, operational constraints, monitoring, and appropriate treatment of individual variability.</w:t>
      </w:r>
    </w:p>
    <w:p>
      <w:pPr>
        <w:pStyle w:val="Heading3"/>
      </w:pPr>
      <w:r>
        <w:t>Q09 · COMPLEX  |  Late travel, sleep, and caffeine</w:t>
      </w:r>
    </w:p>
    <w:p>
      <w:pPr>
        <w:spacing w:before="0" w:after="80" w:line="259" w:lineRule="auto"/>
        <w:ind w:left="187" w:right="187"/>
        <w:shd w:fill="E8F0EC" w:val="clear"/>
        <w:pBdr>
          <w:left w:val="single" w:sz="18" w:space="6" w:color="FFB81C"/>
        </w:pBdr>
      </w:pPr>
      <w:r>
        <w:rPr>
          <w:rFonts w:ascii="Calibri" w:hAnsi="Calibri"/>
          <w:b/>
          <w:color w:val="0B2B21"/>
          <w:sz w:val="20"/>
        </w:rPr>
        <w:t>How should staff prioritize sleep, caffeine timing, recovery behaviors, and next-day training demands after a late away competition followed by early academic obligations?</w:t>
      </w:r>
    </w:p>
    <w:p>
      <w:pPr>
        <w:spacing w:before="0" w:after="40" w:line="252" w:lineRule="auto"/>
      </w:pPr>
      <w:r>
        <w:rPr>
          <w:rFonts w:ascii="Calibri" w:hAnsi="Calibri"/>
          <w:b/>
          <w:color w:val="0B2B21"/>
          <w:sz w:val="17"/>
        </w:rPr>
        <w:t xml:space="preserve">Population: </w:t>
      </w:r>
      <w:r>
        <w:rPr>
          <w:rFonts w:ascii="Calibri" w:hAnsi="Calibri"/>
          <w:color w:val="202722"/>
          <w:sz w:val="17"/>
        </w:rPr>
        <w:t>Collegiate athletes</w:t>
      </w:r>
      <w:r>
        <w:rPr>
          <w:rFonts w:ascii="Calibri" w:hAnsi="Calibri"/>
          <w:color w:val="5E6B64"/>
          <w:sz w:val="17"/>
        </w:rPr>
        <w:t xml:space="preserve">  ·  </w:t>
      </w:r>
      <w:r>
        <w:rPr>
          <w:rFonts w:ascii="Calibri" w:hAnsi="Calibri"/>
          <w:b/>
          <w:color w:val="0B2B21"/>
          <w:sz w:val="17"/>
        </w:rPr>
        <w:t xml:space="preserve">Sport / setting: </w:t>
      </w:r>
      <w:r>
        <w:rPr>
          <w:rFonts w:ascii="Calibri" w:hAnsi="Calibri"/>
          <w:color w:val="202722"/>
          <w:sz w:val="17"/>
        </w:rPr>
        <w:t>Team sport</w:t>
      </w:r>
      <w:r>
        <w:rPr>
          <w:rFonts w:ascii="Calibri" w:hAnsi="Calibri"/>
          <w:color w:val="5E6B64"/>
          <w:sz w:val="17"/>
        </w:rPr>
        <w:t xml:space="preserve">  ·  </w:t>
      </w:r>
      <w:r>
        <w:rPr>
          <w:rFonts w:ascii="Calibri" w:hAnsi="Calibri"/>
          <w:b/>
          <w:color w:val="0B2B21"/>
          <w:sz w:val="17"/>
        </w:rPr>
        <w:t xml:space="preserve">Phase: </w:t>
      </w:r>
      <w:r>
        <w:rPr>
          <w:rFonts w:ascii="Calibri" w:hAnsi="Calibri"/>
          <w:color w:val="202722"/>
          <w:sz w:val="17"/>
        </w:rPr>
        <w:t>Overnight travel and the following day</w:t>
      </w:r>
    </w:p>
    <w:p>
      <w:pPr>
        <w:spacing w:before="0" w:after="40" w:line="252" w:lineRule="auto"/>
      </w:pPr>
      <w:r>
        <w:rPr>
          <w:rFonts w:ascii="Calibri" w:hAnsi="Calibri"/>
          <w:b/>
          <w:color w:val="0B2B21"/>
          <w:sz w:val="17"/>
        </w:rPr>
        <w:t xml:space="preserve">Outcome: </w:t>
      </w:r>
      <w:r>
        <w:rPr>
          <w:rFonts w:ascii="Calibri" w:hAnsi="Calibri"/>
          <w:color w:val="202722"/>
          <w:sz w:val="17"/>
        </w:rPr>
        <w:t>Preserve next-day function without worsening subsequent sleep</w:t>
      </w:r>
      <w:r>
        <w:rPr>
          <w:rFonts w:ascii="Calibri" w:hAnsi="Calibri"/>
          <w:color w:val="5E6B64"/>
          <w:sz w:val="17"/>
        </w:rPr>
        <w:t xml:space="preserve">  ·  </w:t>
      </w:r>
      <w:r>
        <w:rPr>
          <w:rFonts w:ascii="Calibri" w:hAnsi="Calibri"/>
          <w:b/>
          <w:color w:val="0B2B21"/>
          <w:sz w:val="17"/>
        </w:rPr>
        <w:t xml:space="preserve">Constraints: </w:t>
      </w:r>
      <w:r>
        <w:rPr>
          <w:rFonts w:ascii="Calibri" w:hAnsi="Calibri"/>
          <w:color w:val="202722"/>
          <w:sz w:val="17"/>
        </w:rPr>
        <w:t>Fixed travel; fixed academic obligations; individual caffeine response; no medication advice</w:t>
      </w:r>
    </w:p>
    <w:p>
      <w:pPr>
        <w:spacing w:before="0" w:after="80" w:line="240" w:lineRule="auto"/>
      </w:pPr>
      <w:r>
        <w:rPr>
          <w:rFonts w:ascii="Calibri" w:hAnsi="Calibri"/>
          <w:b/>
          <w:color w:val="FFB81C"/>
          <w:sz w:val="16"/>
        </w:rPr>
        <w:t xml:space="preserve">PILOT LEAD ONLY — INTENDED STRESS  </w:t>
      </w:r>
      <w:r>
        <w:rPr>
          <w:rFonts w:ascii="Calibri" w:hAnsi="Calibri"/>
          <w:i/>
          <w:color w:val="5E6B64"/>
          <w:sz w:val="16"/>
        </w:rPr>
        <w:t>Competing outcomes, time sequencing, cross-domain evidence, and clear limits when no ideal solution exists.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b/>
        <w:color w:val="5E6B64"/>
        <w:sz w:val="16"/>
      </w:rPr>
      <w:t xml:space="preserve">ASK THE LIBRARY PILOT  |  </w:t>
    </w:r>
    <w:r>
      <w:rPr>
        <w:rFonts w:ascii="Calibri" w:hAnsi="Calibri"/>
        <w:b/>
        <w:color w:val="5E6B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Calibri" w:hAnsi="Calibri"/>
        <w:b/>
        <w:color w:val="5E6B64"/>
        <w:sz w:val="17"/>
      </w:rPr>
      <w:t>BAYLOR ATHLETICS  |  HEALTH &amp; PERFORMANCE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7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5473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5473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B2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 the Library Pilot Stress-Test Question Bank</dc:title>
  <dc:subject>Assignment-ready questions for the Ask the Library minimum credible pilot</dc:subject>
  <dc:creator>Baylor Athletics</dc:creator>
  <cp:keywords>Ask the Library, pilot, stress test, Decision Brief, practitioner evaluation</cp:keywords>
  <dc:description>generated by python-docx</dc:description>
  <cp:lastModifiedBy/>
  <cp:revision>1</cp:revision>
  <dcterms:created xsi:type="dcterms:W3CDTF">2013-12-23T23:15:00Z</dcterms:created>
  <dcterms:modified xsi:type="dcterms:W3CDTF">2013-12-23T23:15:00Z</dcterms:modified>
  <cp:category/>
</cp:coreProperties>
</file>