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맑은 고딕" w:hAnsi="맑은 고딕" w:eastAsia="맑은 고딕"/>
          <w:b/>
          <w:color w:val="1F3B5C"/>
          <w:sz w:val="44"/>
        </w:rPr>
        <w:t>전북 농산물 가격예측 AI</w:t>
      </w:r>
    </w:p>
    <w:p>
      <w:pPr>
        <w:jc w:val="center"/>
      </w:pPr>
      <w:r>
        <w:rPr>
          <w:rFonts w:ascii="맑은 고딕" w:hAnsi="맑은 고딕" w:eastAsia="맑은 고딕"/>
          <w:color w:val="1F3B5C"/>
          <w:sz w:val="28"/>
        </w:rPr>
        <w:t>프로젝트 진행 보고서</w:t>
      </w:r>
    </w:p>
    <w:p>
      <w:pPr>
        <w:spacing w:after="400"/>
        <w:jc w:val="center"/>
      </w:pPr>
      <w:r>
        <w:rPr>
          <w:rFonts w:ascii="맑은 고딕" w:hAnsi="맑은 고딕" w:eastAsia="맑은 고딕"/>
          <w:color w:val="666666"/>
          <w:sz w:val="20"/>
        </w:rPr>
        <w:t>2026. 8. 10. 기준</w:t>
      </w:r>
    </w:p>
    <w:p>
      <w:pPr>
        <w:pStyle w:val="Heading1"/>
      </w:pPr>
      <w:r>
        <w:t>요약</w:t>
      </w:r>
    </w:p>
    <w:p>
      <w:r>
        <w:rPr>
          <w:rFonts w:ascii="맑은 고딕" w:hAnsi="맑은 고딕" w:eastAsia="맑은 고딕"/>
          <w:sz w:val="21"/>
        </w:rPr>
        <w:t>전라북도에서 생산되는 주요 농산물의 가격을 인공지능으로 예측하는 웹 서비스를 만드는 공모전 프로젝트입니다. 3단계 계획 중 2단계까지 완료했습니다. 정부 공공데이터에서 8년치 실거래 기록 61만 건을 수집했고(1단계), 전북 거래량 상위 10개 작물 × 14개 시군에 대해 각각 예측모델을 만들어 연도별 검증까지 마쳤습니다(2단계). 잘 맞는 작물은 평균 오차 15~25% 수준이며, 검증한 조합의 3분의 2에서 단순 예측(작년 이맘때 가격)보다 정확했습니다. 남은 작업은 누구나 쓸 수 있는 웹사이트로 만드는 것(3단계)입니다.</w:t>
      </w:r>
    </w:p>
    <w:p>
      <w:pPr>
        <w:pStyle w:val="Heading1"/>
      </w:pPr>
      <w:r>
        <w:t>1. 프로젝트 개요</w:t>
      </w:r>
    </w:p>
    <w:p>
      <w:r>
        <w:rPr>
          <w:rFonts w:ascii="맑은 고딕" w:hAnsi="맑은 고딕" w:eastAsia="맑은 고딕"/>
          <w:sz w:val="21"/>
        </w:rPr>
        <w:t>농사를 짓는 분들에게 가장 큰 불확실성은 가격입니다. 무엇을 심을지, 언제 출하할지 결정하려면 "앞으로 가격이 오를까 내릴까"를 알아야 합니다. 이 프로젝트는 그 판단을 돕기 위해 데이터로 가격을 예측합니다.</w:t>
      </w:r>
    </w:p>
    <w:p>
      <w:pPr>
        <w:pStyle w:val="ListBullet"/>
        <w:spacing w:after="80"/>
      </w:pPr>
      <w:r>
        <w:rPr>
          <w:rFonts w:ascii="맑은 고딕" w:hAnsi="맑은 고딕" w:eastAsia="맑은 고딕"/>
          <w:b/>
        </w:rPr>
        <w:t xml:space="preserve">대상 작물(10종): </w:t>
      </w:r>
      <w:r>
        <w:rPr>
          <w:rFonts w:ascii="맑은 고딕" w:hAnsi="맑은 고딕" w:eastAsia="맑은 고딕"/>
        </w:rPr>
        <w:t>상추·수박·포도·오이·토마토·복숭아·고구마·방울토마토·멜론·대파 — 전북산 거래량 상위 10개(전체 거래의 79%)</w:t>
      </w:r>
    </w:p>
    <w:p>
      <w:pPr>
        <w:pStyle w:val="ListBullet"/>
        <w:spacing w:after="80"/>
      </w:pPr>
      <w:r>
        <w:rPr>
          <w:rFonts w:ascii="맑은 고딕" w:hAnsi="맑은 고딕" w:eastAsia="맑은 고딕"/>
          <w:b/>
        </w:rPr>
        <w:t xml:space="preserve">대상 지역: </w:t>
      </w:r>
      <w:r>
        <w:rPr>
          <w:rFonts w:ascii="맑은 고딕" w:hAnsi="맑은 고딕" w:eastAsia="맑은 고딕"/>
        </w:rPr>
        <w:t>전북 14개 시군 각각에 대해 따로 예측 (같은 상추라도 완주산과 남원산은 다르게 움직이기 때문)</w:t>
      </w:r>
    </w:p>
    <w:p>
      <w:pPr>
        <w:pStyle w:val="ListBullet"/>
        <w:spacing w:after="80"/>
      </w:pPr>
      <w:r>
        <w:rPr>
          <w:rFonts w:ascii="맑은 고딕" w:hAnsi="맑은 고딕" w:eastAsia="맑은 고딕"/>
          <w:b/>
        </w:rPr>
        <w:t xml:space="preserve">제공 기능: </w:t>
      </w:r>
      <w:r>
        <w:rPr>
          <w:rFonts w:ascii="맑은 고딕" w:hAnsi="맑은 고딕" w:eastAsia="맑은 고딕"/>
        </w:rPr>
        <w:t>월별 가격 예측, 가격 폭등확률 경보, 2027년까지의 미래 전망, 재배 적합 지역 추천</w:t>
      </w:r>
    </w:p>
    <w:p>
      <w:pPr>
        <w:pStyle w:val="Heading1"/>
      </w:pPr>
      <w:r>
        <w:t>2. 전체 구조</w:t>
      </w:r>
    </w:p>
    <w:p>
      <w:pPr>
        <w:jc w:val="center"/>
      </w:pPr>
      <w:r>
        <w:drawing>
          <wp:inline xmlns:a="http://schemas.openxmlformats.org/drawingml/2006/main" xmlns:pic="http://schemas.openxmlformats.org/drawingml/2006/picture">
            <wp:extent cx="5940000" cy="3805685"/>
            <wp:docPr id="1" name="Picture 1"/>
            <wp:cNvGraphicFramePr>
              <a:graphicFrameLocks noChangeAspect="1"/>
            </wp:cNvGraphicFramePr>
            <a:graphic>
              <a:graphicData uri="http://schemas.openxmlformats.org/drawingml/2006/picture">
                <pic:pic>
                  <pic:nvPicPr>
                    <pic:cNvPr id="0" name="diagram_pipeline.png"/>
                    <pic:cNvPicPr/>
                  </pic:nvPicPr>
                  <pic:blipFill>
                    <a:blip r:embed="rId9"/>
                    <a:stretch>
                      <a:fillRect/>
                    </a:stretch>
                  </pic:blipFill>
                  <pic:spPr>
                    <a:xfrm>
                      <a:off x="0" y="0"/>
                      <a:ext cx="5940000" cy="3805685"/>
                    </a:xfrm>
                    <a:prstGeom prst="rect"/>
                  </pic:spPr>
                </pic:pic>
              </a:graphicData>
            </a:graphic>
          </wp:inline>
        </w:drawing>
      </w:r>
    </w:p>
    <w:p>
      <w:pPr>
        <w:spacing w:after="240"/>
        <w:jc w:val="center"/>
      </w:pPr>
      <w:r>
        <w:rPr>
          <w:rFonts w:ascii="맑은 고딕" w:hAnsi="맑은 고딕" w:eastAsia="맑은 고딕"/>
          <w:color w:val="666666"/>
          <w:sz w:val="18"/>
        </w:rPr>
        <w:t>그림 1. 전체 파이프라인 — 3단계 중 2단계까지 완료</w:t>
      </w:r>
    </w:p>
    <w:p>
      <w:pPr>
        <w:pStyle w:val="Heading1"/>
      </w:pPr>
      <w:r>
        <w:t>3. 1단계: 데이터 수집 (완료)</w:t>
      </w:r>
    </w:p>
    <w:p>
      <w:pPr>
        <w:pStyle w:val="Heading2"/>
      </w:pPr>
      <w:r>
        <w:t>3.1 무엇을 모았나</w:t>
      </w:r>
    </w:p>
    <w:p>
      <w:r>
        <w:rPr>
          <w:rFonts w:ascii="맑은 고딕" w:hAnsi="맑은 고딕" w:eastAsia="맑은 고딕"/>
          <w:sz w:val="21"/>
        </w:rPr>
        <w:t>정부가 공개하는 6종의 공공데이터 API를 이용해 2018년부터 현재까지 8년치를 자동 수집하는 프로그램을 만들었습니다. 핵심은 전국 공영도매시장의 실거래 기록(61만 건)이고, 여기에 날씨(강수량·기온), 거래물량, 재배면적, 환율 등 가격에 영향을 줄 수 있는 정보를 더해 140개월 × 783개 지표의 월별 데이터 표를 구축했습니다.</w:t>
      </w:r>
    </w:p>
    <w:p>
      <w:pPr>
        <w:pStyle w:val="Heading2"/>
      </w:pPr>
      <w:r>
        <w:t>3.2 차별점: "산지 추적" 방식</w:t>
      </w:r>
    </w:p>
    <w:p>
      <w:r>
        <w:rPr>
          <w:rFonts w:ascii="맑은 고딕" w:hAnsi="맑은 고딕" w:eastAsia="맑은 고딕"/>
          <w:sz w:val="21"/>
        </w:rPr>
        <w:t>데이터를 분석해 보니 전북에서 키운 상추의 94%는 전북 시장이 아니라 서울·광주·부산 등 전국 각지로 팔려나갑니다. 그래서 "전북 시장의 가격"이 아니라, 거래 기록의 산지 정보를 추적해 "전북 ○○군에서 키운 농산물이 전국 어디서든 얼마에 팔렸는지"를 집계했습니다. 이렇게 해야 진짜 "그 지역 농산물의 가격"이 됩니다.</w:t>
      </w:r>
    </w:p>
    <w:p>
      <w:pPr>
        <w:pStyle w:val="Heading1"/>
        <w:pageBreakBefore/>
      </w:pPr>
      <w:r>
        <w:t>4. 2단계: 예측모델 (완료)</w:t>
      </w:r>
    </w:p>
    <w:p>
      <w:pPr>
        <w:pStyle w:val="Heading2"/>
        <w:keepNext/>
      </w:pPr>
      <w:r>
        <w:t>4.1 모델 구조: 두 예측기의 블렌딩</w:t>
      </w:r>
    </w:p>
    <w:p>
      <w:pPr>
        <w:jc w:val="center"/>
      </w:pPr>
      <w:r>
        <w:drawing>
          <wp:inline xmlns:a="http://schemas.openxmlformats.org/drawingml/2006/main" xmlns:pic="http://schemas.openxmlformats.org/drawingml/2006/picture">
            <wp:extent cx="5940000" cy="4067794"/>
            <wp:docPr id="2" name="Picture 2"/>
            <wp:cNvGraphicFramePr>
              <a:graphicFrameLocks noChangeAspect="1"/>
            </wp:cNvGraphicFramePr>
            <a:graphic>
              <a:graphicData uri="http://schemas.openxmlformats.org/drawingml/2006/picture">
                <pic:pic>
                  <pic:nvPicPr>
                    <pic:cNvPr id="0" name="diagram_model.png"/>
                    <pic:cNvPicPr/>
                  </pic:nvPicPr>
                  <pic:blipFill>
                    <a:blip r:embed="rId10"/>
                    <a:stretch>
                      <a:fillRect/>
                    </a:stretch>
                  </pic:blipFill>
                  <pic:spPr>
                    <a:xfrm>
                      <a:off x="0" y="0"/>
                      <a:ext cx="5940000" cy="4067794"/>
                    </a:xfrm>
                    <a:prstGeom prst="rect"/>
                  </pic:spPr>
                </pic:pic>
              </a:graphicData>
            </a:graphic>
          </wp:inline>
        </w:drawing>
      </w:r>
    </w:p>
    <w:p>
      <w:pPr>
        <w:spacing w:after="240"/>
        <w:jc w:val="center"/>
      </w:pPr>
      <w:r>
        <w:rPr>
          <w:rFonts w:ascii="맑은 고딕" w:hAnsi="맑은 고딕" w:eastAsia="맑은 고딕"/>
          <w:color w:val="666666"/>
          <w:sz w:val="18"/>
        </w:rPr>
        <w:t>그림 2. 예측모델 내부 구조</w:t>
      </w:r>
    </w:p>
    <w:p>
      <w:r>
        <w:rPr>
          <w:rFonts w:ascii="맑은 고딕" w:hAnsi="맑은 고딕" w:eastAsia="맑은 고딕"/>
          <w:sz w:val="21"/>
        </w:rPr>
        <w:t>최종 예측은 하나의 모델이 아니라 두 가지 예측 방법의 가중평균입니다.</w:t>
      </w:r>
    </w:p>
    <w:p>
      <w:pPr>
        <w:spacing w:before="100" w:after="180"/>
        <w:jc w:val="center"/>
        <w:shd w:val="clear" w:fill="F2F6FA"/>
      </w:pPr>
      <w:r>
        <w:rPr>
          <w:rFonts w:ascii="맑은 고딕" w:hAnsi="맑은 고딕" w:eastAsia="맑은 고딕"/>
          <w:i/>
          <w:color w:val="1F3B5C"/>
          <w:sz w:val="22"/>
        </w:rPr>
        <w:t>최종 예측  =  w × 계절평균 베이스라인  +  (1 − w) × Ridge 회귀모델</w:t>
      </w:r>
    </w:p>
    <w:p>
      <w:pPr>
        <w:pStyle w:val="ListBullet"/>
        <w:spacing w:after="80"/>
      </w:pPr>
      <w:r>
        <w:rPr>
          <w:rFonts w:ascii="맑은 고딕" w:hAnsi="맑은 고딕" w:eastAsia="맑은 고딕"/>
          <w:b/>
        </w:rPr>
        <w:t xml:space="preserve">계절평균 베이스라인: </w:t>
      </w:r>
      <w:r>
        <w:rPr>
          <w:rFonts w:ascii="맑은 고딕" w:hAnsi="맑은 고딕" w:eastAsia="맑은 고딕"/>
        </w:rPr>
        <w:t>"그 달의 과거 평균가격"을 그대로 쓰는 단순한 방법. 예: 8월 상추 예측 = 과거 모든 8월 상추 가격의 평균.</w:t>
      </w:r>
    </w:p>
    <w:p>
      <w:pPr>
        <w:pStyle w:val="ListBullet"/>
        <w:spacing w:after="80"/>
      </w:pPr>
      <w:r>
        <w:rPr>
          <w:rFonts w:ascii="맑은 고딕" w:hAnsi="맑은 고딕" w:eastAsia="맑은 고딕"/>
          <w:b/>
        </w:rPr>
        <w:t xml:space="preserve">Ridge 회귀모델: </w:t>
      </w:r>
      <w:r>
        <w:rPr>
          <w:rFonts w:ascii="맑은 고딕" w:hAnsi="맑은 고딕" w:eastAsia="맑은 고딕"/>
        </w:rPr>
        <w:t>계절성·과거 가격·강수량·거래물량 등 8가지 정보로 가격을 계산하는 통계 모델(4.2 참고).</w:t>
      </w:r>
    </w:p>
    <w:p>
      <w:pPr>
        <w:pStyle w:val="ListBullet"/>
        <w:spacing w:after="80"/>
      </w:pPr>
      <w:r>
        <w:rPr>
          <w:rFonts w:ascii="맑은 고딕" w:hAnsi="맑은 고딕" w:eastAsia="맑은 고딕"/>
          <w:b/>
        </w:rPr>
        <w:t xml:space="preserve">왜 섞는가: </w:t>
      </w:r>
      <w:r>
        <w:rPr>
          <w:rFonts w:ascii="맑은 고딕" w:hAnsi="맑은 고딕" w:eastAsia="맑은 고딕"/>
        </w:rPr>
        <w:t>두 방법은 서로 다른 종류의 오차를 내므로, 섞으면 오차가 상쇄됩니다(앙상블 효과). 실측으로 오차가 25.9% → 22.1%로 개선됐습니다.</w:t>
      </w:r>
    </w:p>
    <w:p>
      <w:pPr>
        <w:pStyle w:val="Heading2"/>
      </w:pPr>
      <w:r>
        <w:t>4.2 핵심 기법 세 가지</w:t>
      </w:r>
    </w:p>
    <w:p>
      <w:r>
        <w:rPr>
          <w:rFonts w:ascii="맑은 고딕" w:hAnsi="맑은 고딕" w:eastAsia="맑은 고딕"/>
          <w:b/>
          <w:sz w:val="21"/>
        </w:rPr>
        <w:t xml:space="preserve">① 로그 변환 — </w:t>
      </w:r>
      <w:r>
        <w:rPr>
          <w:rFonts w:ascii="맑은 고딕" w:hAnsi="맑은 고딕" w:eastAsia="맑은 고딕"/>
          <w:sz w:val="21"/>
        </w:rPr>
        <w:t>농산물 가격은 폭염·폭우 때 "2배, 3배"로 뛰는 곱셈적 변동을 합니다. 가격에 로그를 씌워 학습하면 "몇 % 틀렸나"가 균등하게 취급되어 예측이 안정됩니다(실측 오차 23.8% → 20.7% 개선).</w:t>
      </w:r>
    </w:p>
    <w:p>
      <w:pPr>
        <w:spacing w:before="100" w:after="180"/>
        <w:jc w:val="center"/>
        <w:shd w:val="clear" w:fill="F2F6FA"/>
      </w:pPr>
      <w:r>
        <w:rPr>
          <w:rFonts w:ascii="맑은 고딕" w:hAnsi="맑은 고딕" w:eastAsia="맑은 고딕"/>
          <w:i/>
          <w:color w:val="1F3B5C"/>
          <w:sz w:val="22"/>
        </w:rPr>
        <w:t>학습 목표:  log(가격)   →   예측 후 지수함수로 원래 가격 스케일로 복원</w:t>
      </w:r>
    </w:p>
    <w:p>
      <w:r>
        <w:rPr>
          <w:rFonts w:ascii="맑은 고딕" w:hAnsi="맑은 고딕" w:eastAsia="맑은 고딕"/>
          <w:b/>
          <w:sz w:val="21"/>
        </w:rPr>
        <w:t xml:space="preserve">② Ridge 회귀 — </w:t>
      </w:r>
      <w:r>
        <w:rPr>
          <w:rFonts w:ascii="맑은 고딕" w:hAnsi="맑은 고딕" w:eastAsia="맑은 고딕"/>
          <w:sz w:val="21"/>
        </w:rPr>
        <w:t>선형 회귀에 "계수 크기 벌점"을 추가한 모델입니다. 다음 값을 최소화하는 계수 β를 찾습니다.</w:t>
      </w:r>
    </w:p>
    <w:p>
      <w:pPr>
        <w:spacing w:before="100" w:after="180"/>
        <w:jc w:val="center"/>
        <w:shd w:val="clear" w:fill="F2F6FA"/>
      </w:pPr>
      <w:r>
        <w:rPr>
          <w:rFonts w:ascii="맑은 고딕" w:hAnsi="맑은 고딕" w:eastAsia="맑은 고딕"/>
          <w:i/>
          <w:color w:val="1F3B5C"/>
          <w:sz w:val="22"/>
        </w:rPr>
        <w:t>Σ ( log(실제가격) − 예측 )²   +   α × (계수 β 크기의 제곱)</w:t>
      </w:r>
    </w:p>
    <w:p>
      <w:r>
        <w:rPr>
          <w:rFonts w:ascii="맑은 고딕" w:hAnsi="맑은 고딕" w:eastAsia="맑은 고딕"/>
          <w:sz w:val="21"/>
        </w:rPr>
        <w:t>앞부분은 "예측이 실제와 얼마나 다른가"(보통의 최소제곱법), 뒷부분이 "계수가 커지는 것에 대한 벌점"입니다.</w:t>
      </w:r>
    </w:p>
    <w:p>
      <w:r>
        <w:rPr>
          <w:rFonts w:ascii="맑은 고딕" w:hAnsi="맑은 고딕" w:eastAsia="맑은 고딕"/>
          <w:sz w:val="21"/>
        </w:rPr>
        <w:t>입력 변수 중 "지난달 가격, 3개월 평균, 6개월 평균"은 서로 거의 같은 정보라서(다중공선성) 벌점이 없으면 계수가 제멋대로 갈라져 불안정해집니다. 벌점 강도 α는 조합마다 교차검증으로 선택합니다. 딥러닝·부스팅(GBM)도 시험했지만, 조합당 학습 데이터가 40~100개월뿐인 상황에서는 단순한 Ridge가 실측으로 더 정확했습니다.</w:t>
      </w:r>
    </w:p>
    <w:p>
      <w:pPr>
        <w:keepNext/>
      </w:pPr>
      <w:r>
        <w:rPr>
          <w:rFonts w:ascii="맑은 고딕" w:hAnsi="맑은 고딕" w:eastAsia="맑은 고딕"/>
          <w:b/>
          <w:sz w:val="21"/>
        </w:rPr>
        <w:t>③ 입력 변수(피처) 8가지</w:t>
      </w:r>
      <w:r>
        <w:rPr>
          <w:rFonts w:ascii="맑은 고딕" w:hAnsi="맑은 고딕" w:eastAsia="맑은 고딕"/>
          <w:sz w:val="21"/>
        </w:rPr>
      </w:r>
    </w:p>
    <w:tbl>
      <w:tblPr>
        <w:tblStyle w:val="TableGrid"/>
        <w:tblW w:type="auto" w:w="0"/>
        <w:jc w:val="center"/>
        <w:tblLook w:firstColumn="1" w:firstRow="1" w:lastColumn="0" w:lastRow="0" w:noHBand="0" w:noVBand="1" w:val="04A0"/>
      </w:tblPr>
      <w:tblGrid>
        <w:gridCol w:w="3249"/>
        <w:gridCol w:w="3249"/>
        <w:gridCol w:w="3249"/>
      </w:tblGrid>
      <w:tr>
        <w:trPr>
          <w:cantSplit/>
          <w:tblHeader w:val="true"/>
        </w:trPr>
        <w:tc>
          <w:tcPr>
            <w:tcW w:type="dxa" w:w="2268"/>
            <w:shd w:val="clear" w:fill="E8EEF5"/>
          </w:tcPr>
          <w:p>
            <w:pPr>
              <w:jc w:val="center"/>
            </w:pPr>
            <w:r/>
            <w:r>
              <w:rPr>
                <w:rFonts w:ascii="맑은 고딕" w:hAnsi="맑은 고딕" w:eastAsia="맑은 고딕"/>
                <w:b/>
                <w:sz w:val="19"/>
              </w:rPr>
              <w:t>변수</w:t>
            </w:r>
          </w:p>
        </w:tc>
        <w:tc>
          <w:tcPr>
            <w:tcW w:type="dxa" w:w="2835"/>
            <w:shd w:val="clear" w:fill="E8EEF5"/>
          </w:tcPr>
          <w:p>
            <w:pPr>
              <w:jc w:val="center"/>
            </w:pPr>
            <w:r/>
            <w:r>
              <w:rPr>
                <w:rFonts w:ascii="맑은 고딕" w:hAnsi="맑은 고딕" w:eastAsia="맑은 고딕"/>
                <w:b/>
                <w:sz w:val="19"/>
              </w:rPr>
              <w:t>정의</w:t>
            </w:r>
          </w:p>
        </w:tc>
        <w:tc>
          <w:tcPr>
            <w:tcW w:type="dxa" w:w="4252"/>
            <w:shd w:val="clear" w:fill="E8EEF5"/>
          </w:tcPr>
          <w:p>
            <w:pPr>
              <w:jc w:val="center"/>
            </w:pPr>
            <w:r/>
            <w:r>
              <w:rPr>
                <w:rFonts w:ascii="맑은 고딕" w:hAnsi="맑은 고딕" w:eastAsia="맑은 고딕"/>
                <w:b/>
                <w:sz w:val="19"/>
              </w:rPr>
              <w:t>의미</w:t>
            </w:r>
          </w:p>
        </w:tc>
      </w:tr>
      <w:tr>
        <w:trPr>
          <w:cantSplit/>
        </w:trPr>
        <w:tc>
          <w:tcPr>
            <w:tcW w:type="dxa" w:w="2268"/>
          </w:tcPr>
          <w:p>
            <w:r/>
            <w:r>
              <w:rPr>
                <w:rFonts w:ascii="맑은 고딕" w:hAnsi="맑은 고딕" w:eastAsia="맑은 고딕"/>
                <w:sz w:val="19"/>
              </w:rPr>
              <w:t>계절성 (2개)</w:t>
            </w:r>
          </w:p>
        </w:tc>
        <w:tc>
          <w:tcPr>
            <w:tcW w:type="dxa" w:w="2835"/>
          </w:tcPr>
          <w:p>
            <w:pPr>
              <w:jc w:val="center"/>
            </w:pPr>
            <w:r/>
            <w:r>
              <w:rPr>
                <w:rFonts w:ascii="맑은 고딕" w:hAnsi="맑은 고딕" w:eastAsia="맑은 고딕"/>
                <w:sz w:val="19"/>
              </w:rPr>
              <w:t>sin·cos(2πm/12)</w:t>
            </w:r>
          </w:p>
        </w:tc>
        <w:tc>
          <w:tcPr>
            <w:tcW w:type="dxa" w:w="4252"/>
          </w:tcPr>
          <w:p>
            <w:pPr>
              <w:jc w:val="center"/>
            </w:pPr>
            <w:r/>
            <w:r>
              <w:rPr>
                <w:rFonts w:ascii="맑은 고딕" w:hAnsi="맑은 고딕" w:eastAsia="맑은 고딕"/>
                <w:sz w:val="19"/>
              </w:rPr>
              <w:t>월을 원형 좌표로 — 12월과 1월이 이웃임을 표현</w:t>
            </w:r>
          </w:p>
        </w:tc>
      </w:tr>
      <w:tr>
        <w:trPr>
          <w:cantSplit/>
        </w:trPr>
        <w:tc>
          <w:tcPr>
            <w:tcW w:type="dxa" w:w="2268"/>
          </w:tcPr>
          <w:p>
            <w:r/>
            <w:r>
              <w:rPr>
                <w:rFonts w:ascii="맑은 고딕" w:hAnsi="맑은 고딕" w:eastAsia="맑은 고딕"/>
                <w:sz w:val="19"/>
              </w:rPr>
              <w:t>지난달 가격</w:t>
            </w:r>
          </w:p>
        </w:tc>
        <w:tc>
          <w:tcPr>
            <w:tcW w:type="dxa" w:w="2835"/>
          </w:tcPr>
          <w:p>
            <w:pPr>
              <w:jc w:val="center"/>
            </w:pPr>
            <w:r/>
            <w:r>
              <w:rPr>
                <w:rFonts w:ascii="맑은 고딕" w:hAnsi="맑은 고딕" w:eastAsia="맑은 고딕"/>
                <w:sz w:val="19"/>
              </w:rPr>
              <w:t>lag1</w:t>
            </w:r>
          </w:p>
        </w:tc>
        <w:tc>
          <w:tcPr>
            <w:tcW w:type="dxa" w:w="4252"/>
          </w:tcPr>
          <w:p>
            <w:pPr>
              <w:jc w:val="center"/>
            </w:pPr>
            <w:r/>
            <w:r>
              <w:rPr>
                <w:rFonts w:ascii="맑은 고딕" w:hAnsi="맑은 고딕" w:eastAsia="맑은 고딕"/>
                <w:sz w:val="19"/>
              </w:rPr>
              <w:t>가격 관성</w:t>
            </w:r>
          </w:p>
        </w:tc>
      </w:tr>
      <w:tr>
        <w:trPr>
          <w:cantSplit/>
        </w:trPr>
        <w:tc>
          <w:tcPr>
            <w:tcW w:type="dxa" w:w="2268"/>
          </w:tcPr>
          <w:p>
            <w:r/>
            <w:r>
              <w:rPr>
                <w:rFonts w:ascii="맑은 고딕" w:hAnsi="맑은 고딕" w:eastAsia="맑은 고딕"/>
                <w:sz w:val="19"/>
              </w:rPr>
              <w:t>작년 같은 달</w:t>
            </w:r>
          </w:p>
        </w:tc>
        <w:tc>
          <w:tcPr>
            <w:tcW w:type="dxa" w:w="2835"/>
          </w:tcPr>
          <w:p>
            <w:pPr>
              <w:jc w:val="center"/>
            </w:pPr>
            <w:r/>
            <w:r>
              <w:rPr>
                <w:rFonts w:ascii="맑은 고딕" w:hAnsi="맑은 고딕" w:eastAsia="맑은 고딕"/>
                <w:sz w:val="19"/>
              </w:rPr>
              <w:t>lag12</w:t>
            </w:r>
          </w:p>
        </w:tc>
        <w:tc>
          <w:tcPr>
            <w:tcW w:type="dxa" w:w="4252"/>
          </w:tcPr>
          <w:p>
            <w:pPr>
              <w:jc w:val="center"/>
            </w:pPr>
            <w:r/>
            <w:r>
              <w:rPr>
                <w:rFonts w:ascii="맑은 고딕" w:hAnsi="맑은 고딕" w:eastAsia="맑은 고딕"/>
                <w:sz w:val="19"/>
              </w:rPr>
              <w:t>연간 주기</w:t>
            </w:r>
          </w:p>
        </w:tc>
      </w:tr>
      <w:tr>
        <w:trPr>
          <w:cantSplit/>
        </w:trPr>
        <w:tc>
          <w:tcPr>
            <w:tcW w:type="dxa" w:w="2268"/>
          </w:tcPr>
          <w:p>
            <w:r/>
            <w:r>
              <w:rPr>
                <w:rFonts w:ascii="맑은 고딕" w:hAnsi="맑은 고딕" w:eastAsia="맑은 고딕"/>
                <w:sz w:val="19"/>
              </w:rPr>
              <w:t>3·6개월 평균</w:t>
            </w:r>
          </w:p>
        </w:tc>
        <w:tc>
          <w:tcPr>
            <w:tcW w:type="dxa" w:w="2835"/>
          </w:tcPr>
          <w:p>
            <w:pPr>
              <w:jc w:val="center"/>
            </w:pPr>
            <w:r/>
            <w:r>
              <w:rPr>
                <w:rFonts w:ascii="맑은 고딕" w:hAnsi="맑은 고딕" w:eastAsia="맑은 고딕"/>
                <w:sz w:val="19"/>
              </w:rPr>
              <w:t>roll3 / roll6</w:t>
            </w:r>
          </w:p>
        </w:tc>
        <w:tc>
          <w:tcPr>
            <w:tcW w:type="dxa" w:w="4252"/>
          </w:tcPr>
          <w:p>
            <w:pPr>
              <w:jc w:val="center"/>
            </w:pPr>
            <w:r/>
            <w:r>
              <w:rPr>
                <w:rFonts w:ascii="맑은 고딕" w:hAnsi="맑은 고딕" w:eastAsia="맑은 고딕"/>
                <w:sz w:val="19"/>
              </w:rPr>
              <w:t>중기 추세</w:t>
            </w:r>
          </w:p>
        </w:tc>
      </w:tr>
      <w:tr>
        <w:trPr>
          <w:cantSplit/>
        </w:trPr>
        <w:tc>
          <w:tcPr>
            <w:tcW w:type="dxa" w:w="2268"/>
          </w:tcPr>
          <w:p>
            <w:r/>
            <w:r>
              <w:rPr>
                <w:rFonts w:ascii="맑은 고딕" w:hAnsi="맑은 고딕" w:eastAsia="맑은 고딕"/>
                <w:sz w:val="19"/>
              </w:rPr>
              <w:t>당월 강수량</w:t>
            </w:r>
          </w:p>
        </w:tc>
        <w:tc>
          <w:tcPr>
            <w:tcW w:type="dxa" w:w="2835"/>
          </w:tcPr>
          <w:p>
            <w:pPr>
              <w:jc w:val="center"/>
            </w:pPr>
            <w:r/>
            <w:r>
              <w:rPr>
                <w:rFonts w:ascii="맑은 고딕" w:hAnsi="맑은 고딕" w:eastAsia="맑은 고딕"/>
                <w:sz w:val="19"/>
              </w:rPr>
              <w:t>rain_sum</w:t>
            </w:r>
          </w:p>
        </w:tc>
        <w:tc>
          <w:tcPr>
            <w:tcW w:type="dxa" w:w="4252"/>
          </w:tcPr>
          <w:p>
            <w:pPr>
              <w:jc w:val="center"/>
            </w:pPr>
            <w:r/>
            <w:r>
              <w:rPr>
                <w:rFonts w:ascii="맑은 고딕" w:hAnsi="맑은 고딕" w:eastAsia="맑은 고딕"/>
                <w:sz w:val="19"/>
              </w:rPr>
              <w:t>공급 충격 (폭우 → 출하 감소 → 상승)</w:t>
            </w:r>
          </w:p>
        </w:tc>
      </w:tr>
      <w:tr>
        <w:trPr>
          <w:cantSplit/>
        </w:trPr>
        <w:tc>
          <w:tcPr>
            <w:tcW w:type="dxa" w:w="2268"/>
          </w:tcPr>
          <w:p>
            <w:r/>
            <w:r>
              <w:rPr>
                <w:rFonts w:ascii="맑은 고딕" w:hAnsi="맑은 고딕" w:eastAsia="맑은 고딕"/>
                <w:sz w:val="19"/>
              </w:rPr>
              <w:t>거래물량</w:t>
            </w:r>
          </w:p>
        </w:tc>
        <w:tc>
          <w:tcPr>
            <w:tcW w:type="dxa" w:w="2835"/>
          </w:tcPr>
          <w:p>
            <w:pPr>
              <w:jc w:val="center"/>
            </w:pPr>
            <w:r/>
            <w:r>
              <w:rPr>
                <w:rFonts w:ascii="맑은 고딕" w:hAnsi="맑은 고딕" w:eastAsia="맑은 고딕"/>
                <w:sz w:val="19"/>
              </w:rPr>
              <w:t>log(1+물량)</w:t>
            </w:r>
          </w:p>
        </w:tc>
        <w:tc>
          <w:tcPr>
            <w:tcW w:type="dxa" w:w="4252"/>
          </w:tcPr>
          <w:p>
            <w:pPr>
              <w:jc w:val="center"/>
            </w:pPr>
            <w:r/>
            <w:r>
              <w:rPr>
                <w:rFonts w:ascii="맑은 고딕" w:hAnsi="맑은 고딕" w:eastAsia="맑은 고딕"/>
                <w:sz w:val="19"/>
              </w:rPr>
              <w:t>거래가 적은 달은 평균가가 튄다는 점 반영</w:t>
            </w:r>
          </w:p>
        </w:tc>
      </w:tr>
    </w:tbl>
    <w:p>
      <w:pPr>
        <w:spacing w:after="40"/>
      </w:pPr>
    </w:p>
    <w:p>
      <w:r>
        <w:rPr>
          <w:rFonts w:ascii="맑은 고딕" w:hAnsi="맑은 고딕" w:eastAsia="맑은 고딕"/>
          <w:sz w:val="21"/>
        </w:rPr>
        <w:t>여기에 작물 유형별 변형(저장성 작물 고구마는 12개월 장기평균, 엽채류는 당월 기온 추가)을 연구 문헌 근거로 실험하되, 조합별로 검증 성적이 좋아질 때만 채택했습니다(84개 중 8개 조합만 채택).</w:t>
      </w:r>
    </w:p>
    <w:p>
      <w:pPr>
        <w:pStyle w:val="Heading2"/>
      </w:pPr>
      <w:r>
        <w:t>4.3 검증 방법: 연도별 "모의고사" (Walk-forward 교차검증)</w:t>
      </w:r>
    </w:p>
    <w:p>
      <w:r>
        <w:rPr>
          <w:rFonts w:ascii="맑은 고딕" w:hAnsi="맑은 고딕" w:eastAsia="맑은 고딕"/>
          <w:sz w:val="21"/>
        </w:rPr>
        <w:t>"2019년까지만 배우고 2020년을 맞혀봐"라는 시험을 2025년까지 6번 반복해, 6개 연도 성적의 평균으로 모든 결정(변수 채택, α, w)을 내렸습니다. 항상 과거로만 학습해 미래를 맞히게 하는 것이 핵심입니다. 평가지표는 MAPE(평균 절대 백분율 오차)로, "평균적으로 몇 % 틀렸나"입니다.</w:t>
      </w:r>
    </w:p>
    <w:p>
      <w:r>
        <w:rPr>
          <w:rFonts w:ascii="맑은 고딕" w:hAnsi="맑은 고딕" w:eastAsia="맑은 고딕"/>
          <w:sz w:val="21"/>
        </w:rPr>
        <w:t>한 해만으로 검증하면 안 되는 이유를 실제로 겪었습니다: 2025년 한 해로만 검증했을 때 "최적"으로 보였던 변수가, 6개 연도로 다시 검증하니 특정 연도에 오차가 87%까지 폭발하는 불안정한 변수였습니다. 한 해짜리 시험은 그 해에 우연히 맞는 답을 정답으로 오판하게 만듭니다.</w:t>
      </w:r>
    </w:p>
    <w:p>
      <w:pPr>
        <w:pStyle w:val="Heading2"/>
        <w:keepNext/>
      </w:pPr>
      <w:r>
        <w:t>4.4 성적표 (2025년 검증, 작물별 평균 오차)</w:t>
      </w:r>
    </w:p>
    <w:tbl>
      <w:tblPr>
        <w:tblStyle w:val="TableGrid"/>
        <w:tblW w:type="auto" w:w="0"/>
        <w:jc w:val="center"/>
        <w:tblLook w:firstColumn="1" w:firstRow="1" w:lastColumn="0" w:lastRow="0" w:noHBand="0" w:noVBand="1" w:val="04A0"/>
      </w:tblPr>
      <w:tblGrid>
        <w:gridCol w:w="2436"/>
        <w:gridCol w:w="2436"/>
        <w:gridCol w:w="2436"/>
        <w:gridCol w:w="2436"/>
      </w:tblGrid>
      <w:tr>
        <w:trPr>
          <w:cantSplit/>
          <w:tblHeader w:val="true"/>
        </w:trPr>
        <w:tc>
          <w:tcPr>
            <w:tcW w:type="dxa" w:w="1701"/>
            <w:shd w:val="clear" w:fill="E8EEF5"/>
          </w:tcPr>
          <w:p>
            <w:pPr>
              <w:jc w:val="center"/>
            </w:pPr>
            <w:r/>
            <w:r>
              <w:rPr>
                <w:rFonts w:ascii="맑은 고딕" w:hAnsi="맑은 고딕" w:eastAsia="맑은 고딕"/>
                <w:b/>
                <w:sz w:val="19"/>
              </w:rPr>
              <w:t>작물</w:t>
            </w:r>
          </w:p>
        </w:tc>
        <w:tc>
          <w:tcPr>
            <w:tcW w:type="dxa" w:w="1814"/>
            <w:shd w:val="clear" w:fill="E8EEF5"/>
          </w:tcPr>
          <w:p>
            <w:pPr>
              <w:jc w:val="center"/>
            </w:pPr>
            <w:r/>
            <w:r>
              <w:rPr>
                <w:rFonts w:ascii="맑은 고딕" w:hAnsi="맑은 고딕" w:eastAsia="맑은 고딕"/>
                <w:b/>
                <w:sz w:val="19"/>
              </w:rPr>
              <w:t>단순 예측 오차</w:t>
            </w:r>
          </w:p>
        </w:tc>
        <w:tc>
          <w:tcPr>
            <w:tcW w:type="dxa" w:w="1814"/>
            <w:shd w:val="clear" w:fill="E8EEF5"/>
          </w:tcPr>
          <w:p>
            <w:pPr>
              <w:jc w:val="center"/>
            </w:pPr>
            <w:r/>
            <w:r>
              <w:rPr>
                <w:rFonts w:ascii="맑은 고딕" w:hAnsi="맑은 고딕" w:eastAsia="맑은 고딕"/>
                <w:b/>
                <w:sz w:val="19"/>
              </w:rPr>
              <w:t>AI 모델 오차</w:t>
            </w:r>
          </w:p>
        </w:tc>
        <w:tc>
          <w:tcPr>
            <w:tcW w:type="dxa" w:w="4025"/>
            <w:shd w:val="clear" w:fill="E8EEF5"/>
          </w:tcPr>
          <w:p>
            <w:pPr>
              <w:jc w:val="center"/>
            </w:pPr>
            <w:r/>
            <w:r>
              <w:rPr>
                <w:rFonts w:ascii="맑은 고딕" w:hAnsi="맑은 고딕" w:eastAsia="맑은 고딕"/>
                <w:b/>
                <w:sz w:val="19"/>
              </w:rPr>
              <w:t>평가</w:t>
            </w:r>
          </w:p>
        </w:tc>
      </w:tr>
      <w:tr>
        <w:trPr>
          <w:cantSplit/>
        </w:trPr>
        <w:tc>
          <w:tcPr>
            <w:tcW w:type="dxa" w:w="1701"/>
          </w:tcPr>
          <w:p>
            <w:r/>
            <w:r>
              <w:rPr>
                <w:rFonts w:ascii="맑은 고딕" w:hAnsi="맑은 고딕" w:eastAsia="맑은 고딕"/>
                <w:sz w:val="19"/>
              </w:rPr>
              <w:t>고구마</w:t>
            </w:r>
          </w:p>
        </w:tc>
        <w:tc>
          <w:tcPr>
            <w:tcW w:type="dxa" w:w="1814"/>
          </w:tcPr>
          <w:p>
            <w:pPr>
              <w:jc w:val="center"/>
            </w:pPr>
            <w:r/>
            <w:r>
              <w:rPr>
                <w:rFonts w:ascii="맑은 고딕" w:hAnsi="맑은 고딕" w:eastAsia="맑은 고딕"/>
                <w:sz w:val="19"/>
              </w:rPr>
              <w:t>18.2%</w:t>
            </w:r>
          </w:p>
        </w:tc>
        <w:tc>
          <w:tcPr>
            <w:tcW w:type="dxa" w:w="1814"/>
          </w:tcPr>
          <w:p>
            <w:pPr>
              <w:jc w:val="center"/>
            </w:pPr>
            <w:r/>
            <w:r>
              <w:rPr>
                <w:rFonts w:ascii="맑은 고딕" w:hAnsi="맑은 고딕" w:eastAsia="맑은 고딕"/>
                <w:sz w:val="19"/>
              </w:rPr>
              <w:t>14.5%</w:t>
            </w:r>
          </w:p>
        </w:tc>
        <w:tc>
          <w:tcPr>
            <w:tcW w:type="dxa" w:w="4025"/>
          </w:tcPr>
          <w:p>
            <w:pPr>
              <w:jc w:val="center"/>
            </w:pPr>
            <w:r/>
            <w:r>
              <w:rPr>
                <w:rFonts w:ascii="맑은 고딕" w:hAnsi="맑은 고딕" w:eastAsia="맑은 고딕"/>
                <w:sz w:val="19"/>
              </w:rPr>
              <w:t>매우 우수</w:t>
            </w:r>
          </w:p>
        </w:tc>
      </w:tr>
      <w:tr>
        <w:trPr>
          <w:cantSplit/>
        </w:trPr>
        <w:tc>
          <w:tcPr>
            <w:tcW w:type="dxa" w:w="1701"/>
          </w:tcPr>
          <w:p>
            <w:r/>
            <w:r>
              <w:rPr>
                <w:rFonts w:ascii="맑은 고딕" w:hAnsi="맑은 고딕" w:eastAsia="맑은 고딕"/>
                <w:sz w:val="19"/>
              </w:rPr>
              <w:t>토마토</w:t>
            </w:r>
          </w:p>
        </w:tc>
        <w:tc>
          <w:tcPr>
            <w:tcW w:type="dxa" w:w="1814"/>
          </w:tcPr>
          <w:p>
            <w:pPr>
              <w:jc w:val="center"/>
            </w:pPr>
            <w:r/>
            <w:r>
              <w:rPr>
                <w:rFonts w:ascii="맑은 고딕" w:hAnsi="맑은 고딕" w:eastAsia="맑은 고딕"/>
                <w:sz w:val="19"/>
              </w:rPr>
              <w:t>23.1%</w:t>
            </w:r>
          </w:p>
        </w:tc>
        <w:tc>
          <w:tcPr>
            <w:tcW w:type="dxa" w:w="1814"/>
          </w:tcPr>
          <w:p>
            <w:pPr>
              <w:jc w:val="center"/>
            </w:pPr>
            <w:r/>
            <w:r>
              <w:rPr>
                <w:rFonts w:ascii="맑은 고딕" w:hAnsi="맑은 고딕" w:eastAsia="맑은 고딕"/>
                <w:sz w:val="19"/>
              </w:rPr>
              <w:t>20.3%</w:t>
            </w:r>
          </w:p>
        </w:tc>
        <w:tc>
          <w:tcPr>
            <w:tcW w:type="dxa" w:w="4025"/>
          </w:tcPr>
          <w:p>
            <w:pPr>
              <w:jc w:val="center"/>
            </w:pPr>
            <w:r/>
            <w:r>
              <w:rPr>
                <w:rFonts w:ascii="맑은 고딕" w:hAnsi="맑은 고딕" w:eastAsia="맑은 고딕"/>
                <w:sz w:val="19"/>
              </w:rPr>
              <w:t>우수</w:t>
            </w:r>
          </w:p>
        </w:tc>
      </w:tr>
      <w:tr>
        <w:trPr>
          <w:cantSplit/>
        </w:trPr>
        <w:tc>
          <w:tcPr>
            <w:tcW w:type="dxa" w:w="1701"/>
          </w:tcPr>
          <w:p>
            <w:r/>
            <w:r>
              <w:rPr>
                <w:rFonts w:ascii="맑은 고딕" w:hAnsi="맑은 고딕" w:eastAsia="맑은 고딕"/>
                <w:sz w:val="19"/>
              </w:rPr>
              <w:t>복숭아</w:t>
            </w:r>
          </w:p>
        </w:tc>
        <w:tc>
          <w:tcPr>
            <w:tcW w:type="dxa" w:w="1814"/>
          </w:tcPr>
          <w:p>
            <w:pPr>
              <w:jc w:val="center"/>
            </w:pPr>
            <w:r/>
            <w:r>
              <w:rPr>
                <w:rFonts w:ascii="맑은 고딕" w:hAnsi="맑은 고딕" w:eastAsia="맑은 고딕"/>
                <w:sz w:val="19"/>
              </w:rPr>
              <w:t>25.7%</w:t>
            </w:r>
          </w:p>
        </w:tc>
        <w:tc>
          <w:tcPr>
            <w:tcW w:type="dxa" w:w="1814"/>
          </w:tcPr>
          <w:p>
            <w:pPr>
              <w:jc w:val="center"/>
            </w:pPr>
            <w:r/>
            <w:r>
              <w:rPr>
                <w:rFonts w:ascii="맑은 고딕" w:hAnsi="맑은 고딕" w:eastAsia="맑은 고딕"/>
                <w:sz w:val="19"/>
              </w:rPr>
              <w:t>24.3%</w:t>
            </w:r>
          </w:p>
        </w:tc>
        <w:tc>
          <w:tcPr>
            <w:tcW w:type="dxa" w:w="4025"/>
          </w:tcPr>
          <w:p>
            <w:pPr>
              <w:jc w:val="center"/>
            </w:pPr>
            <w:r/>
            <w:r>
              <w:rPr>
                <w:rFonts w:ascii="맑은 고딕" w:hAnsi="맑은 고딕" w:eastAsia="맑은 고딕"/>
                <w:sz w:val="19"/>
              </w:rPr>
              <w:t>양호</w:t>
            </w:r>
          </w:p>
        </w:tc>
      </w:tr>
      <w:tr>
        <w:trPr>
          <w:cantSplit/>
        </w:trPr>
        <w:tc>
          <w:tcPr>
            <w:tcW w:type="dxa" w:w="1701"/>
          </w:tcPr>
          <w:p>
            <w:r/>
            <w:r>
              <w:rPr>
                <w:rFonts w:ascii="맑은 고딕" w:hAnsi="맑은 고딕" w:eastAsia="맑은 고딕"/>
                <w:sz w:val="19"/>
              </w:rPr>
              <w:t>방울토마토</w:t>
            </w:r>
          </w:p>
        </w:tc>
        <w:tc>
          <w:tcPr>
            <w:tcW w:type="dxa" w:w="1814"/>
          </w:tcPr>
          <w:p>
            <w:pPr>
              <w:jc w:val="center"/>
            </w:pPr>
            <w:r/>
            <w:r>
              <w:rPr>
                <w:rFonts w:ascii="맑은 고딕" w:hAnsi="맑은 고딕" w:eastAsia="맑은 고딕"/>
                <w:sz w:val="19"/>
              </w:rPr>
              <w:t>22.8%</w:t>
            </w:r>
          </w:p>
        </w:tc>
        <w:tc>
          <w:tcPr>
            <w:tcW w:type="dxa" w:w="1814"/>
          </w:tcPr>
          <w:p>
            <w:pPr>
              <w:jc w:val="center"/>
            </w:pPr>
            <w:r/>
            <w:r>
              <w:rPr>
                <w:rFonts w:ascii="맑은 고딕" w:hAnsi="맑은 고딕" w:eastAsia="맑은 고딕"/>
                <w:sz w:val="19"/>
              </w:rPr>
              <w:t>24.1%</w:t>
            </w:r>
          </w:p>
        </w:tc>
        <w:tc>
          <w:tcPr>
            <w:tcW w:type="dxa" w:w="4025"/>
          </w:tcPr>
          <w:p>
            <w:pPr>
              <w:jc w:val="center"/>
            </w:pPr>
            <w:r/>
            <w:r>
              <w:rPr>
                <w:rFonts w:ascii="맑은 고딕" w:hAnsi="맑은 고딕" w:eastAsia="맑은 고딕"/>
                <w:sz w:val="19"/>
              </w:rPr>
              <w:t>양호</w:t>
            </w:r>
          </w:p>
        </w:tc>
      </w:tr>
      <w:tr>
        <w:trPr>
          <w:cantSplit/>
        </w:trPr>
        <w:tc>
          <w:tcPr>
            <w:tcW w:type="dxa" w:w="1701"/>
          </w:tcPr>
          <w:p>
            <w:r/>
            <w:r>
              <w:rPr>
                <w:rFonts w:ascii="맑은 고딕" w:hAnsi="맑은 고딕" w:eastAsia="맑은 고딕"/>
                <w:sz w:val="19"/>
              </w:rPr>
              <w:t>상추</w:t>
            </w:r>
          </w:p>
        </w:tc>
        <w:tc>
          <w:tcPr>
            <w:tcW w:type="dxa" w:w="1814"/>
          </w:tcPr>
          <w:p>
            <w:pPr>
              <w:jc w:val="center"/>
            </w:pPr>
            <w:r/>
            <w:r>
              <w:rPr>
                <w:rFonts w:ascii="맑은 고딕" w:hAnsi="맑은 고딕" w:eastAsia="맑은 고딕"/>
                <w:sz w:val="19"/>
              </w:rPr>
              <w:t>29.4%</w:t>
            </w:r>
          </w:p>
        </w:tc>
        <w:tc>
          <w:tcPr>
            <w:tcW w:type="dxa" w:w="1814"/>
          </w:tcPr>
          <w:p>
            <w:pPr>
              <w:jc w:val="center"/>
            </w:pPr>
            <w:r/>
            <w:r>
              <w:rPr>
                <w:rFonts w:ascii="맑은 고딕" w:hAnsi="맑은 고딕" w:eastAsia="맑은 고딕"/>
                <w:sz w:val="19"/>
              </w:rPr>
              <w:t>25.9%</w:t>
            </w:r>
          </w:p>
        </w:tc>
        <w:tc>
          <w:tcPr>
            <w:tcW w:type="dxa" w:w="4025"/>
          </w:tcPr>
          <w:p>
            <w:pPr>
              <w:jc w:val="center"/>
            </w:pPr>
            <w:r/>
            <w:r>
              <w:rPr>
                <w:rFonts w:ascii="맑은 고딕" w:hAnsi="맑은 고딕" w:eastAsia="맑은 고딕"/>
                <w:sz w:val="19"/>
              </w:rPr>
              <w:t>양호</w:t>
            </w:r>
          </w:p>
        </w:tc>
      </w:tr>
      <w:tr>
        <w:trPr>
          <w:cantSplit/>
        </w:trPr>
        <w:tc>
          <w:tcPr>
            <w:tcW w:type="dxa" w:w="1701"/>
          </w:tcPr>
          <w:p>
            <w:r/>
            <w:r>
              <w:rPr>
                <w:rFonts w:ascii="맑은 고딕" w:hAnsi="맑은 고딕" w:eastAsia="맑은 고딕"/>
                <w:sz w:val="19"/>
              </w:rPr>
              <w:t>오이</w:t>
            </w:r>
          </w:p>
        </w:tc>
        <w:tc>
          <w:tcPr>
            <w:tcW w:type="dxa" w:w="1814"/>
          </w:tcPr>
          <w:p>
            <w:pPr>
              <w:jc w:val="center"/>
            </w:pPr>
            <w:r/>
            <w:r>
              <w:rPr>
                <w:rFonts w:ascii="맑은 고딕" w:hAnsi="맑은 고딕" w:eastAsia="맑은 고딕"/>
                <w:sz w:val="19"/>
              </w:rPr>
              <w:t>30.5%</w:t>
            </w:r>
          </w:p>
        </w:tc>
        <w:tc>
          <w:tcPr>
            <w:tcW w:type="dxa" w:w="1814"/>
          </w:tcPr>
          <w:p>
            <w:pPr>
              <w:jc w:val="center"/>
            </w:pPr>
            <w:r/>
            <w:r>
              <w:rPr>
                <w:rFonts w:ascii="맑은 고딕" w:hAnsi="맑은 고딕" w:eastAsia="맑은 고딕"/>
                <w:sz w:val="19"/>
              </w:rPr>
              <w:t>30.1%</w:t>
            </w:r>
          </w:p>
        </w:tc>
        <w:tc>
          <w:tcPr>
            <w:tcW w:type="dxa" w:w="4025"/>
          </w:tcPr>
          <w:p>
            <w:pPr>
              <w:jc w:val="center"/>
            </w:pPr>
            <w:r/>
            <w:r>
              <w:rPr>
                <w:rFonts w:ascii="맑은 고딕" w:hAnsi="맑은 고딕" w:eastAsia="맑은 고딕"/>
                <w:sz w:val="19"/>
              </w:rPr>
              <w:t>보통</w:t>
            </w:r>
          </w:p>
        </w:tc>
      </w:tr>
      <w:tr>
        <w:trPr>
          <w:cantSplit/>
        </w:trPr>
        <w:tc>
          <w:tcPr>
            <w:tcW w:type="dxa" w:w="1701"/>
          </w:tcPr>
          <w:p>
            <w:r/>
            <w:r>
              <w:rPr>
                <w:rFonts w:ascii="맑은 고딕" w:hAnsi="맑은 고딕" w:eastAsia="맑은 고딕"/>
                <w:sz w:val="19"/>
              </w:rPr>
              <w:t>멜론</w:t>
            </w:r>
          </w:p>
        </w:tc>
        <w:tc>
          <w:tcPr>
            <w:tcW w:type="dxa" w:w="1814"/>
          </w:tcPr>
          <w:p>
            <w:pPr>
              <w:jc w:val="center"/>
            </w:pPr>
            <w:r/>
            <w:r>
              <w:rPr>
                <w:rFonts w:ascii="맑은 고딕" w:hAnsi="맑은 고딕" w:eastAsia="맑은 고딕"/>
                <w:sz w:val="19"/>
              </w:rPr>
              <w:t>32.2%</w:t>
            </w:r>
          </w:p>
        </w:tc>
        <w:tc>
          <w:tcPr>
            <w:tcW w:type="dxa" w:w="1814"/>
          </w:tcPr>
          <w:p>
            <w:pPr>
              <w:jc w:val="center"/>
            </w:pPr>
            <w:r/>
            <w:r>
              <w:rPr>
                <w:rFonts w:ascii="맑은 고딕" w:hAnsi="맑은 고딕" w:eastAsia="맑은 고딕"/>
                <w:sz w:val="19"/>
              </w:rPr>
              <w:t>32.1%</w:t>
            </w:r>
          </w:p>
        </w:tc>
        <w:tc>
          <w:tcPr>
            <w:tcW w:type="dxa" w:w="4025"/>
          </w:tcPr>
          <w:p>
            <w:pPr>
              <w:jc w:val="center"/>
            </w:pPr>
            <w:r/>
            <w:r>
              <w:rPr>
                <w:rFonts w:ascii="맑은 고딕" w:hAnsi="맑은 고딕" w:eastAsia="맑은 고딕"/>
                <w:sz w:val="19"/>
              </w:rPr>
              <w:t>보통</w:t>
            </w:r>
          </w:p>
        </w:tc>
      </w:tr>
      <w:tr>
        <w:trPr>
          <w:cantSplit/>
        </w:trPr>
        <w:tc>
          <w:tcPr>
            <w:tcW w:type="dxa" w:w="1701"/>
          </w:tcPr>
          <w:p>
            <w:r/>
            <w:r>
              <w:rPr>
                <w:rFonts w:ascii="맑은 고딕" w:hAnsi="맑은 고딕" w:eastAsia="맑은 고딕"/>
                <w:sz w:val="19"/>
              </w:rPr>
              <w:t>대파</w:t>
            </w:r>
          </w:p>
        </w:tc>
        <w:tc>
          <w:tcPr>
            <w:tcW w:type="dxa" w:w="1814"/>
          </w:tcPr>
          <w:p>
            <w:pPr>
              <w:jc w:val="center"/>
            </w:pPr>
            <w:r/>
            <w:r>
              <w:rPr>
                <w:rFonts w:ascii="맑은 고딕" w:hAnsi="맑은 고딕" w:eastAsia="맑은 고딕"/>
                <w:sz w:val="19"/>
              </w:rPr>
              <w:t>46.3%</w:t>
            </w:r>
          </w:p>
        </w:tc>
        <w:tc>
          <w:tcPr>
            <w:tcW w:type="dxa" w:w="1814"/>
          </w:tcPr>
          <w:p>
            <w:pPr>
              <w:jc w:val="center"/>
            </w:pPr>
            <w:r/>
            <w:r>
              <w:rPr>
                <w:rFonts w:ascii="맑은 고딕" w:hAnsi="맑은 고딕" w:eastAsia="맑은 고딕"/>
                <w:sz w:val="19"/>
              </w:rPr>
              <w:t>36.6%</w:t>
            </w:r>
          </w:p>
        </w:tc>
        <w:tc>
          <w:tcPr>
            <w:tcW w:type="dxa" w:w="4025"/>
          </w:tcPr>
          <w:p>
            <w:pPr>
              <w:jc w:val="center"/>
            </w:pPr>
            <w:r/>
            <w:r>
              <w:rPr>
                <w:rFonts w:ascii="맑은 고딕" w:hAnsi="맑은 고딕" w:eastAsia="맑은 고딕"/>
                <w:sz w:val="19"/>
              </w:rPr>
              <w:t>어려움 (원래 불안정 품목)</w:t>
            </w:r>
          </w:p>
        </w:tc>
      </w:tr>
      <w:tr>
        <w:trPr>
          <w:cantSplit/>
        </w:trPr>
        <w:tc>
          <w:tcPr>
            <w:tcW w:type="dxa" w:w="1701"/>
          </w:tcPr>
          <w:p>
            <w:r/>
            <w:r>
              <w:rPr>
                <w:rFonts w:ascii="맑은 고딕" w:hAnsi="맑은 고딕" w:eastAsia="맑은 고딕"/>
                <w:sz w:val="19"/>
              </w:rPr>
              <w:t>포도</w:t>
            </w:r>
          </w:p>
        </w:tc>
        <w:tc>
          <w:tcPr>
            <w:tcW w:type="dxa" w:w="1814"/>
          </w:tcPr>
          <w:p>
            <w:pPr>
              <w:jc w:val="center"/>
            </w:pPr>
            <w:r/>
            <w:r>
              <w:rPr>
                <w:rFonts w:ascii="맑은 고딕" w:hAnsi="맑은 고딕" w:eastAsia="맑은 고딕"/>
                <w:sz w:val="19"/>
              </w:rPr>
              <w:t>71.5%</w:t>
            </w:r>
          </w:p>
        </w:tc>
        <w:tc>
          <w:tcPr>
            <w:tcW w:type="dxa" w:w="1814"/>
          </w:tcPr>
          <w:p>
            <w:pPr>
              <w:jc w:val="center"/>
            </w:pPr>
            <w:r/>
            <w:r>
              <w:rPr>
                <w:rFonts w:ascii="맑은 고딕" w:hAnsi="맑은 고딕" w:eastAsia="맑은 고딕"/>
                <w:sz w:val="19"/>
              </w:rPr>
              <w:t>45.0%</w:t>
            </w:r>
          </w:p>
        </w:tc>
        <w:tc>
          <w:tcPr>
            <w:tcW w:type="dxa" w:w="4025"/>
          </w:tcPr>
          <w:p>
            <w:pPr>
              <w:jc w:val="center"/>
            </w:pPr>
            <w:r/>
            <w:r>
              <w:rPr>
                <w:rFonts w:ascii="맑은 고딕" w:hAnsi="맑은 고딕" w:eastAsia="맑은 고딕"/>
                <w:sz w:val="19"/>
              </w:rPr>
              <w:t>어려움 (개선 폭은 큼)</w:t>
            </w:r>
          </w:p>
        </w:tc>
      </w:tr>
      <w:tr>
        <w:trPr>
          <w:cantSplit/>
        </w:trPr>
        <w:tc>
          <w:tcPr>
            <w:tcW w:type="dxa" w:w="1701"/>
          </w:tcPr>
          <w:p>
            <w:r/>
            <w:r>
              <w:rPr>
                <w:rFonts w:ascii="맑은 고딕" w:hAnsi="맑은 고딕" w:eastAsia="맑은 고딕"/>
                <w:sz w:val="19"/>
              </w:rPr>
              <w:t>수박</w:t>
            </w:r>
          </w:p>
        </w:tc>
        <w:tc>
          <w:tcPr>
            <w:tcW w:type="dxa" w:w="1814"/>
          </w:tcPr>
          <w:p>
            <w:pPr>
              <w:jc w:val="center"/>
            </w:pPr>
            <w:r/>
            <w:r>
              <w:rPr>
                <w:rFonts w:ascii="맑은 고딕" w:hAnsi="맑은 고딕" w:eastAsia="맑은 고딕"/>
                <w:sz w:val="19"/>
              </w:rPr>
              <w:t>29.9%</w:t>
            </w:r>
          </w:p>
        </w:tc>
        <w:tc>
          <w:tcPr>
            <w:tcW w:type="dxa" w:w="1814"/>
          </w:tcPr>
          <w:p>
            <w:pPr>
              <w:jc w:val="center"/>
            </w:pPr>
            <w:r/>
            <w:r>
              <w:rPr>
                <w:rFonts w:ascii="맑은 고딕" w:hAnsi="맑은 고딕" w:eastAsia="맑은 고딕"/>
                <w:sz w:val="19"/>
              </w:rPr>
              <w:t>60.0%</w:t>
            </w:r>
          </w:p>
        </w:tc>
        <w:tc>
          <w:tcPr>
            <w:tcW w:type="dxa" w:w="4025"/>
          </w:tcPr>
          <w:p>
            <w:pPr>
              <w:jc w:val="center"/>
            </w:pPr>
            <w:r/>
            <w:r>
              <w:rPr>
                <w:rFonts w:ascii="맑은 고딕" w:hAnsi="맑은 고딕" w:eastAsia="맑은 고딕"/>
                <w:sz w:val="19"/>
              </w:rPr>
              <w:t>데이터 품질 문제 조사 중</w:t>
            </w:r>
          </w:p>
        </w:tc>
      </w:tr>
    </w:tbl>
    <w:p>
      <w:pPr>
        <w:spacing w:after="40"/>
      </w:pPr>
    </w:p>
    <w:p>
      <w:r>
        <w:rPr>
          <w:rFonts w:ascii="맑은 고딕" w:hAnsi="맑은 고딕" w:eastAsia="맑은 고딕"/>
          <w:sz w:val="21"/>
        </w:rPr>
        <w:t>90개 조합 중 60개(67%)에서 AI 모델이 단순 예측을 이겼습니다. 대파처럼 가격이 몇 배씩 널뛰는 품목은 연구 문헌에서도 예측이 어려운 품목으로 알려져 있습니다. 성적이 나쁜 조합은 원인을 추적해, 모델 문제가 아니라 데이터 문제(수박의 통 단위/kg 단위 혼입 등)로 확인된 2개 조합은 예측 대상에서 제외했습니다.</w:t>
      </w:r>
    </w:p>
    <w:p>
      <w:pPr>
        <w:pStyle w:val="Heading2"/>
      </w:pPr>
      <w:r>
        <w:t>4.5 부가 기능</w:t>
      </w:r>
    </w:p>
    <w:p>
      <w:r>
        <w:rPr>
          <w:rFonts w:ascii="맑은 고딕" w:hAnsi="맑은 고딕" w:eastAsia="맑은 고딕"/>
          <w:b/>
          <w:sz w:val="21"/>
        </w:rPr>
        <w:t xml:space="preserve">폭등확률 — </w:t>
      </w:r>
      <w:r>
        <w:rPr>
          <w:rFonts w:ascii="맑은 고딕" w:hAnsi="맑은 고딕" w:eastAsia="맑은 고딕"/>
          <w:sz w:val="21"/>
        </w:rPr>
        <w:t>"다음 달 가격이 폭등(과거 상위 20% 문턱 초과)할 확률 73%" 같은 신호를 제공합니다. 모델 예측오차의 분포(로그공간 정규분포 가정)를 이용해 정규분포 누적확률로 계산합니다.</w:t>
      </w:r>
    </w:p>
    <w:p>
      <w:pPr>
        <w:spacing w:before="100" w:after="180"/>
        <w:jc w:val="center"/>
        <w:shd w:val="clear" w:fill="F2F6FA"/>
      </w:pPr>
      <w:r>
        <w:rPr>
          <w:rFonts w:ascii="맑은 고딕" w:hAnsi="맑은 고딕" w:eastAsia="맑은 고딕"/>
          <w:i/>
          <w:color w:val="1F3B5C"/>
          <w:sz w:val="22"/>
        </w:rPr>
        <w:t>P(폭등)  =  1 − Φ( (log 문턱 − log 예측가) / σ )</w:t>
      </w:r>
    </w:p>
    <w:p>
      <w:r>
        <w:rPr>
          <w:rFonts w:ascii="맑은 고딕" w:hAnsi="맑은 고딕" w:eastAsia="맑은 고딕"/>
          <w:sz w:val="21"/>
        </w:rPr>
        <w:t>확률 예측의 채점법인 Brier 점수로 검증한 결과, 단순한 방법보다 약 3배 잘 보정되어 있습니다(0.058 vs 0.155).</w:t>
      </w:r>
    </w:p>
    <w:p>
      <w:r>
        <w:rPr>
          <w:rFonts w:ascii="맑은 고딕" w:hAnsi="맑은 고딕" w:eastAsia="맑은 고딕"/>
          <w:b/>
          <w:sz w:val="21"/>
        </w:rPr>
        <w:t xml:space="preserve">미래 전망(~2027년 12월) — </w:t>
      </w:r>
      <w:r>
        <w:rPr>
          <w:rFonts w:ascii="맑은 고딕" w:hAnsi="맑은 고딕" w:eastAsia="맑은 고딕"/>
          <w:sz w:val="21"/>
        </w:rPr>
        <w:t>미래에는 실측이 없으므로 날씨·물량은 평년값으로 대체하고, 지난달 가격 자리에는 지난달 예측값을 재귀적으로 넣습니다. 멀리 갈수록 예측이 예측 위에 쌓여 불확실해지므로, 그만큼 넓어지는 90% 신뢰구간을 함께 제공합니다.</w:t>
      </w:r>
    </w:p>
    <w:p>
      <w:pPr>
        <w:spacing w:before="100" w:after="180"/>
        <w:jc w:val="center"/>
        <w:shd w:val="clear" w:fill="F2F6FA"/>
      </w:pPr>
      <w:r>
        <w:rPr>
          <w:rFonts w:ascii="맑은 고딕" w:hAnsi="맑은 고딕" w:eastAsia="맑은 고딕"/>
          <w:i/>
          <w:color w:val="1F3B5C"/>
          <w:sz w:val="22"/>
        </w:rPr>
        <w:t>신뢰구간  =  예측가 × exp( ±1.645 σ √h )      (h = 몇 개월 앞인가)</w:t>
      </w:r>
    </w:p>
    <w:p>
      <w:r>
        <w:rPr>
          <w:rFonts w:ascii="맑은 고딕" w:hAnsi="맑은 고딕" w:eastAsia="맑은 고딕"/>
          <w:sz w:val="21"/>
        </w:rPr>
        <w:t>3~6개월 이내는 쓸 만한 구간이 나오고, 12개월을 넘으면 구간이 크게 벌어집니다 — 오류가 아니라 "그만큼 모른다"를 정직하게 수치로 보여주는 것입니다.</w:t>
      </w:r>
    </w:p>
    <w:p>
      <w:r>
        <w:rPr>
          <w:rFonts w:ascii="맑은 고딕" w:hAnsi="맑은 고딕" w:eastAsia="맑은 고딕"/>
          <w:b/>
          <w:sz w:val="21"/>
        </w:rPr>
        <w:t xml:space="preserve">지역 추천 — </w:t>
      </w:r>
      <w:r>
        <w:rPr>
          <w:rFonts w:ascii="맑은 고딕" w:hAnsi="맑은 고딕" w:eastAsia="맑은 고딕"/>
          <w:sz w:val="21"/>
        </w:rPr>
        <w:t>토양 적성 공공데이터를 이용해 "이 작물은 어느 시군에서 재배하기 적합한가" 리포트를 제공합니다.</w:t>
      </w:r>
    </w:p>
    <w:p>
      <w:pPr>
        <w:pStyle w:val="Heading1"/>
      </w:pPr>
      <w:r>
        <w:t>5. 방법론적 엄밀성: 시도했지만 데이터가 기각한 것들</w:t>
      </w:r>
    </w:p>
    <w:p>
      <w:pPr>
        <w:keepNext/>
      </w:pPr>
      <w:r>
        <w:rPr>
          <w:rFonts w:ascii="맑은 고딕" w:hAnsi="맑은 고딕" w:eastAsia="맑은 고딕"/>
          <w:sz w:val="21"/>
        </w:rPr>
        <w:t>모든 선택은 사람의 감이 아니라 교차검증 성적으로 결정했습니다. 아래는 시도했으나 성적이 나빠져 채택하지 않은 것들로, "무엇을 썼나"만큼 중요한 결과입니다.</w:t>
      </w:r>
    </w:p>
    <w:tbl>
      <w:tblPr>
        <w:tblStyle w:val="TableGrid"/>
        <w:tblW w:type="auto" w:w="0"/>
        <w:jc w:val="center"/>
        <w:tblLook w:firstColumn="1" w:firstRow="1" w:lastColumn="0" w:lastRow="0" w:noHBand="0" w:noVBand="1" w:val="04A0"/>
      </w:tblPr>
      <w:tblGrid>
        <w:gridCol w:w="4873"/>
        <w:gridCol w:w="4873"/>
      </w:tblGrid>
      <w:tr>
        <w:trPr>
          <w:cantSplit/>
          <w:tblHeader w:val="true"/>
        </w:trPr>
        <w:tc>
          <w:tcPr>
            <w:tcW w:type="dxa" w:w="3685"/>
            <w:shd w:val="clear" w:fill="E8EEF5"/>
          </w:tcPr>
          <w:p>
            <w:pPr>
              <w:jc w:val="center"/>
            </w:pPr>
            <w:r/>
            <w:r>
              <w:rPr>
                <w:rFonts w:ascii="맑은 고딕" w:hAnsi="맑은 고딕" w:eastAsia="맑은 고딕"/>
                <w:b/>
                <w:sz w:val="19"/>
              </w:rPr>
              <w:t>시도</w:t>
            </w:r>
          </w:p>
        </w:tc>
        <w:tc>
          <w:tcPr>
            <w:tcW w:type="dxa" w:w="5669"/>
            <w:shd w:val="clear" w:fill="E8EEF5"/>
          </w:tcPr>
          <w:p>
            <w:pPr>
              <w:jc w:val="center"/>
            </w:pPr>
            <w:r/>
            <w:r>
              <w:rPr>
                <w:rFonts w:ascii="맑은 고딕" w:hAnsi="맑은 고딕" w:eastAsia="맑은 고딕"/>
                <w:b/>
                <w:sz w:val="19"/>
              </w:rPr>
              <w:t>결과</w:t>
            </w:r>
          </w:p>
        </w:tc>
      </w:tr>
      <w:tr>
        <w:trPr>
          <w:cantSplit/>
        </w:trPr>
        <w:tc>
          <w:tcPr>
            <w:tcW w:type="dxa" w:w="3685"/>
          </w:tcPr>
          <w:p>
            <w:r/>
            <w:r>
              <w:rPr>
                <w:rFonts w:ascii="맑은 고딕" w:hAnsi="맑은 고딕" w:eastAsia="맑은 고딕"/>
                <w:sz w:val="19"/>
              </w:rPr>
              <w:t>GBM (그래디언트 부스팅)</w:t>
            </w:r>
          </w:p>
        </w:tc>
        <w:tc>
          <w:tcPr>
            <w:tcW w:type="dxa" w:w="5669"/>
          </w:tcPr>
          <w:p>
            <w:pPr>
              <w:jc w:val="center"/>
            </w:pPr>
            <w:r/>
            <w:r>
              <w:rPr>
                <w:rFonts w:ascii="맑은 고딕" w:hAnsi="맑은 고딕" w:eastAsia="맑은 고딕"/>
                <w:sz w:val="19"/>
              </w:rPr>
              <w:t>데이터 부족으로 Ridge보다 부정확 → 기각</w:t>
            </w:r>
          </w:p>
        </w:tc>
      </w:tr>
      <w:tr>
        <w:trPr>
          <w:cantSplit/>
        </w:trPr>
        <w:tc>
          <w:tcPr>
            <w:tcW w:type="dxa" w:w="3685"/>
          </w:tcPr>
          <w:p>
            <w:r/>
            <w:r>
              <w:rPr>
                <w:rFonts w:ascii="맑은 고딕" w:hAnsi="맑은 고딕" w:eastAsia="맑은 고딕"/>
                <w:sz w:val="19"/>
              </w:rPr>
              <w:t>Lasso / ElasticNet / Huber 회귀</w:t>
            </w:r>
          </w:p>
        </w:tc>
        <w:tc>
          <w:tcPr>
            <w:tcW w:type="dxa" w:w="5669"/>
          </w:tcPr>
          <w:p>
            <w:pPr>
              <w:jc w:val="center"/>
            </w:pPr>
            <w:r/>
            <w:r>
              <w:rPr>
                <w:rFonts w:ascii="맑은 고딕" w:hAnsi="맑은 고딕" w:eastAsia="맑은 고딕"/>
                <w:sz w:val="19"/>
              </w:rPr>
              <w:t>전부 Ridge에 패배 → 기각</w:t>
            </w:r>
          </w:p>
        </w:tc>
      </w:tr>
      <w:tr>
        <w:trPr>
          <w:cantSplit/>
        </w:trPr>
        <w:tc>
          <w:tcPr>
            <w:tcW w:type="dxa" w:w="3685"/>
          </w:tcPr>
          <w:p>
            <w:r/>
            <w:r>
              <w:rPr>
                <w:rFonts w:ascii="맑은 고딕" w:hAnsi="맑은 고딕" w:eastAsia="맑은 고딕"/>
                <w:sz w:val="19"/>
              </w:rPr>
              <w:t>GARCH 시변 변동성 (계량경제 기법)</w:t>
            </w:r>
          </w:p>
        </w:tc>
        <w:tc>
          <w:tcPr>
            <w:tcW w:type="dxa" w:w="5669"/>
          </w:tcPr>
          <w:p>
            <w:pPr>
              <w:jc w:val="center"/>
            </w:pPr>
            <w:r/>
            <w:r>
              <w:rPr>
                <w:rFonts w:ascii="맑은 고딕" w:hAnsi="맑은 고딕" w:eastAsia="맑은 고딕"/>
                <w:sz w:val="19"/>
              </w:rPr>
              <w:t>폭등확률 개선 ±0.002로 무의미 → 기각</w:t>
            </w:r>
          </w:p>
        </w:tc>
      </w:tr>
      <w:tr>
        <w:trPr>
          <w:cantSplit/>
        </w:trPr>
        <w:tc>
          <w:tcPr>
            <w:tcW w:type="dxa" w:w="3685"/>
          </w:tcPr>
          <w:p>
            <w:r/>
            <w:r>
              <w:rPr>
                <w:rFonts w:ascii="맑은 고딕" w:hAnsi="맑은 고딕" w:eastAsia="맑은 고딕"/>
                <w:sz w:val="19"/>
              </w:rPr>
              <w:t>교차작물 피처 (상추 가격으로 오이 예측 등)</w:t>
            </w:r>
          </w:p>
        </w:tc>
        <w:tc>
          <w:tcPr>
            <w:tcW w:type="dxa" w:w="5669"/>
          </w:tcPr>
          <w:p>
            <w:pPr>
              <w:jc w:val="center"/>
            </w:pPr>
            <w:r/>
            <w:r>
              <w:rPr>
                <w:rFonts w:ascii="맑은 고딕" w:hAnsi="맑은 고딕" w:eastAsia="맑은 고딕"/>
                <w:sz w:val="19"/>
              </w:rPr>
              <w:t>90개 조합 평균 +0.96%p 악화 → 기각</w:t>
            </w:r>
          </w:p>
        </w:tc>
      </w:tr>
      <w:tr>
        <w:trPr>
          <w:cantSplit/>
        </w:trPr>
        <w:tc>
          <w:tcPr>
            <w:tcW w:type="dxa" w:w="3685"/>
          </w:tcPr>
          <w:p>
            <w:r/>
            <w:r>
              <w:rPr>
                <w:rFonts w:ascii="맑은 고딕" w:hAnsi="맑은 고딕" w:eastAsia="맑은 고딕"/>
                <w:sz w:val="19"/>
              </w:rPr>
              <w:t>온난화 연도추세 변수</w:t>
            </w:r>
          </w:p>
        </w:tc>
        <w:tc>
          <w:tcPr>
            <w:tcW w:type="dxa" w:w="5669"/>
          </w:tcPr>
          <w:p>
            <w:pPr>
              <w:jc w:val="center"/>
            </w:pPr>
            <w:r/>
            <w:r>
              <w:rPr>
                <w:rFonts w:ascii="맑은 고딕" w:hAnsi="맑은 고딕" w:eastAsia="맑은 고딕"/>
                <w:sz w:val="19"/>
              </w:rPr>
              <w:t>온난화 자체는 통계적으로 실재하나(+0.11℃/년, p=0.034) 5년치 데이터로는 노이즈 학습 위험 → 보류</w:t>
            </w:r>
          </w:p>
        </w:tc>
      </w:tr>
      <w:tr>
        <w:trPr>
          <w:cantSplit/>
        </w:trPr>
        <w:tc>
          <w:tcPr>
            <w:tcW w:type="dxa" w:w="3685"/>
          </w:tcPr>
          <w:p>
            <w:r/>
            <w:r>
              <w:rPr>
                <w:rFonts w:ascii="맑은 고딕" w:hAnsi="맑은 고딕" w:eastAsia="맑은 고딕"/>
                <w:sz w:val="19"/>
              </w:rPr>
              <w:t>환율·소비자심리지수</w:t>
            </w:r>
          </w:p>
        </w:tc>
        <w:tc>
          <w:tcPr>
            <w:tcW w:type="dxa" w:w="5669"/>
          </w:tcPr>
          <w:p>
            <w:pPr>
              <w:jc w:val="center"/>
            </w:pPr>
            <w:r/>
            <w:r>
              <w:rPr>
                <w:rFonts w:ascii="맑은 고딕" w:hAnsi="맑은 고딕" w:eastAsia="맑은 고딕"/>
                <w:sz w:val="19"/>
              </w:rPr>
              <w:t>계수가 사실상 0 (정보 없음) → 기각</w:t>
            </w:r>
          </w:p>
        </w:tc>
      </w:tr>
    </w:tbl>
    <w:p>
      <w:pPr>
        <w:spacing w:after="40"/>
      </w:pPr>
    </w:p>
    <w:p>
      <w:pPr>
        <w:pStyle w:val="Heading1"/>
      </w:pPr>
      <w:r>
        <w:t>6. 현재 상태와 남은 일</w:t>
      </w:r>
    </w:p>
    <w:p>
      <w:pPr>
        <w:pStyle w:val="ListBullet"/>
        <w:spacing w:after="80"/>
      </w:pPr>
      <w:r>
        <w:rPr>
          <w:rFonts w:ascii="맑은 고딕" w:hAnsi="맑은 고딕" w:eastAsia="맑은 고딕"/>
          <w:b/>
        </w:rPr>
        <w:t xml:space="preserve">1단계 데이터 수집 — </w:t>
      </w:r>
      <w:r>
        <w:rPr>
          <w:rFonts w:ascii="맑은 고딕" w:hAnsi="맑은 고딕" w:eastAsia="맑은 고딕"/>
        </w:rPr>
        <w:t>완료 (2026-08-10 최신 데이터까지 반영, 월 1회 갱신 루틴 마련)</w:t>
      </w:r>
    </w:p>
    <w:p>
      <w:pPr>
        <w:pStyle w:val="ListBullet"/>
        <w:spacing w:after="80"/>
      </w:pPr>
      <w:r>
        <w:rPr>
          <w:rFonts w:ascii="맑은 고딕" w:hAnsi="맑은 고딕" w:eastAsia="맑은 고딕"/>
          <w:b/>
        </w:rPr>
        <w:t xml:space="preserve">2단계 예측모델 — </w:t>
      </w:r>
      <w:r>
        <w:rPr>
          <w:rFonts w:ascii="맑은 고딕" w:hAnsi="맑은 고딕" w:eastAsia="맑은 고딕"/>
        </w:rPr>
        <w:t>완료 (93개 유효 조합 검증, 91개 조합의 예측·폭등확률·미래전망 산출물 생성)</w:t>
      </w:r>
    </w:p>
    <w:p>
      <w:pPr>
        <w:pStyle w:val="ListBullet"/>
        <w:spacing w:after="80"/>
      </w:pPr>
      <w:r>
        <w:rPr>
          <w:rFonts w:ascii="맑은 고딕" w:hAnsi="맑은 고딕" w:eastAsia="맑은 고딕"/>
          <w:b/>
        </w:rPr>
        <w:t xml:space="preserve">3단계 웹앱 — </w:t>
      </w:r>
      <w:r>
        <w:rPr>
          <w:rFonts w:ascii="맑은 고딕" w:hAnsi="맑은 고딕" w:eastAsia="맑은 고딕"/>
        </w:rPr>
        <w:t>예정. 산출물 데이터가 준비되어 있어 바로 착수 가능</w:t>
      </w:r>
    </w:p>
    <w:p>
      <w:pPr>
        <w:spacing w:before="320"/>
      </w:pPr>
      <w:r>
        <w:rPr>
          <w:rFonts w:ascii="맑은 고딕" w:hAnsi="맑은 고딕" w:eastAsia="맑은 고딕"/>
          <w:color w:val="666666"/>
          <w:sz w:val="18"/>
        </w:rPr>
        <w:t>본 보고서의 수치는 2026-08-10 기준 최신 데이터 재수집 후 재검증한 결과입니다. 상세 방법론과 실험 기록은 프로젝트 저장소의 HANDOFF.md / README.md / 소스코드 주석에 있습니다.</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맑은 고딕" w:hAnsi="맑은 고딕" w:eastAsia="맑은 고딕"/>
      <w:b/>
      <w:bCs/>
      <w:color w:val="1F3B5C"/>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맑은 고딕" w:hAnsi="맑은 고딕" w:eastAsia="맑은 고딕"/>
      <w:b/>
      <w:bCs/>
      <w:color w:val="1F3B5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