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How to implement a Secure Production-Grade RAG architecture end-to-end in 2026 ?</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By implementing a RAG system architecture, you can build something powerful that does more than pull random text from a public search index. But each step in the process depends on the quality of data, consistent retrieval, and components that scale without breaking. These steps outline the core workflow.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4"/>
        </w:numPr>
        <w:ind w:left="720" w:hanging="360"/>
        <w:rPr>
          <w:sz w:val="30"/>
          <w:szCs w:val="30"/>
          <w:u w:val="none"/>
        </w:rPr>
      </w:pPr>
      <w:r w:rsidDel="00000000" w:rsidR="00000000" w:rsidRPr="00000000">
        <w:rPr>
          <w:sz w:val="30"/>
          <w:szCs w:val="30"/>
          <w:rtl w:val="0"/>
        </w:rPr>
        <w:t xml:space="preserve">Define the retrieval contract: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Before writing the code, set clear rules for metadata and relevant thresholds to prevent retrieval mismatch. This ensures the retriever only passes high-quality chunks to the LLM and minimizes the risk of GenAI hallucinations and other output inaccuracies.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4"/>
        </w:numPr>
        <w:ind w:left="720" w:hanging="360"/>
        <w:rPr>
          <w:sz w:val="28"/>
          <w:szCs w:val="28"/>
          <w:u w:val="none"/>
        </w:rPr>
      </w:pPr>
      <w:r w:rsidDel="00000000" w:rsidR="00000000" w:rsidRPr="00000000">
        <w:rPr>
          <w:sz w:val="28"/>
          <w:szCs w:val="28"/>
          <w:rtl w:val="0"/>
        </w:rPr>
        <w:t xml:space="preserve">Design the ingestion pipeline for scale: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Ingestion pipelines take raw data, break it down into manageable chunks, add extra metadata and convert it into searchable embeddings. If the raw data changes (i.e. the documentation website is updated) the ingestion process repeats for the updated parts to preserve freshness and integrity.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n8n is a workflow automation platform that lets you build the RAG pipeline end-to-end: fetch documents from external sources (APIs, databases, Google Drive), chunk them according to various rules, generate embeddings via OpenAI, Google or other providers, and load them into your vector database. All in one visual canvas with built-in scheduling, error handling, and monitoring.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4"/>
        </w:numPr>
        <w:ind w:left="720" w:hanging="360"/>
        <w:rPr>
          <w:sz w:val="28"/>
          <w:szCs w:val="28"/>
          <w:u w:val="none"/>
        </w:rPr>
      </w:pPr>
      <w:r w:rsidDel="00000000" w:rsidR="00000000" w:rsidRPr="00000000">
        <w:rPr>
          <w:sz w:val="28"/>
          <w:szCs w:val="28"/>
          <w:rtl w:val="0"/>
        </w:rPr>
        <w:t xml:space="preserve">Lock down the embedding model: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Your chosen vector type and embedding model become a long-term commitment.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you’re using dense vectors, switching models later requires re-indexing the entire vector database, which is expensive and slows development.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When working with sparse vectors, you’d need to rebuild the index if you change the keyword extraction method (e.g., BM25 → SPLADE).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 hybrid systems (with dense + sparse vectors), you commit to maintaining two parallel indexes, doubling the migration effort.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can reduce this risk by adding a versioning layer. Create separate indexes for testing new models or approaches, then gradually migrate traffic once validated. This way, you can A/B test new embedding models without disrupting your production knowledge base.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can reduce this risk by adding a versioning layer. It lets you A/B test new embedding models without disrupting your production knowledge base.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4"/>
        </w:numPr>
        <w:ind w:left="720" w:hanging="360"/>
        <w:rPr>
          <w:sz w:val="28"/>
          <w:szCs w:val="28"/>
          <w:u w:val="none"/>
        </w:rPr>
      </w:pPr>
      <w:r w:rsidDel="00000000" w:rsidR="00000000" w:rsidRPr="00000000">
        <w:rPr>
          <w:sz w:val="28"/>
          <w:szCs w:val="28"/>
          <w:rtl w:val="0"/>
        </w:rPr>
        <w:t xml:space="preserve"> Implement multi-stage retrieval: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Standard semantic search often returns high-similarity results that don’t match the user’s intent. Developers add a re-ranking step to double-check the results. This extra layer evaluates the context of the retrieved chunks to make sure it improves relevance. The two-stage information retrieval process is the most effective way to ensure accurate answers and to reduce hallucinations in complex RAG applications.</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numPr>
          <w:ilvl w:val="0"/>
          <w:numId w:val="4"/>
        </w:numPr>
        <w:ind w:left="720" w:hanging="360"/>
        <w:rPr>
          <w:sz w:val="28"/>
          <w:szCs w:val="28"/>
        </w:rPr>
      </w:pPr>
      <w:r w:rsidDel="00000000" w:rsidR="00000000" w:rsidRPr="00000000">
        <w:rPr>
          <w:sz w:val="28"/>
          <w:szCs w:val="28"/>
          <w:rtl w:val="0"/>
        </w:rPr>
        <w:t xml:space="preserve">Monitor and iterate on retrieval quality: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RAG performance can degrade over time as your project expands. Implement logging to track retrieval quality: are the right chunks being retrieved?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Monitor what percentage of retrieved chunks are actually relevant, whether you're missing important information, and user feedback signals (thumbs up/down, query reformulations). Use this data to tune chunk sizes, adjust embedding models, or add reranking layers.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10 Best Practices to Secure RAG.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Discover Every Data Source Feeding RAG: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Inventory the databases, file systems, collaboration platforms, SaaS applications, cloud storage, knowledge bases, vector stores, and external sources that feed retrieval.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Teams cannot govern RAG data they cannot see.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Classify Data Before Indexing: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Identify sensitive, regulated, confidential, proprietary, credential, financial, healthcare, personal, and other high-risk information before it enters the retrieval layer.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Use classification to determine what data AI may use, what needs additional controls, and what should remain outside the RAG pipeline.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 Minimize RAG Data: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Do not index information simply because it exists.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Ask whether the AI use case actually requires the data.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Data minimization reduces the volume of unnecessary or inappropriate information available to retrieval systems.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4. Preserve Authorization Through Retrieval: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Do not discard source permissions when content enters an index.</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Apply identity and access context so retrieval respects legitimate business need.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Where possible, evaluate access at query time rather than assuming every authenticated RAG user should search the entire corpus.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5. Apply Least Privilege to RAG Identities: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Limit service accounts, applications, APIs, machine identities, copilots, and agents to the information required for their approved purpose.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compromised or manipulated AI system cannot retrieve data its identity cannot reach.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6. Treat Retrieved Content as Untrusted: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Separate external content from trusted system and application instructions.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Test documents, web content, emails, and other RAG sources for indirect prompt-injection scenarios.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7. Protect Prompts and Responses: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Monitor AI interactions for sensitive information entering prompts or appearing in responses.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Apply policies, access controls, redaction, and investigation workflows where appropriate.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8. Map RAG Data Lineage: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Connect indexed and retrieved information back to authoritative sources.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Lineage helps teams investigate problematic responses, establish ownership, validate data provenance, and determine where corrective action belongs.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9. Monitor Access and Activity: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Understand which identities access sensitive data and how that behavior changes over time.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Data Activity Monitoring adds usage context that can help teams identify risky or unexpected access to sensitive information.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10. Build Remediation Into the RAG Lifecycle: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RAG findings should lead to action.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Teams may need to: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Remove data from an index</w:t>
      </w:r>
    </w:p>
    <w:p w:rsidR="00000000" w:rsidDel="00000000" w:rsidP="00000000" w:rsidRDefault="00000000" w:rsidRPr="00000000" w14:paraId="0000006B">
      <w:pPr>
        <w:rPr/>
      </w:pPr>
      <w:r w:rsidDel="00000000" w:rsidR="00000000" w:rsidRPr="00000000">
        <w:rPr>
          <w:rtl w:val="0"/>
        </w:rPr>
        <w:t xml:space="preserve">Reduce excessive access</w:t>
      </w:r>
    </w:p>
    <w:p w:rsidR="00000000" w:rsidDel="00000000" w:rsidP="00000000" w:rsidRDefault="00000000" w:rsidRPr="00000000" w14:paraId="0000006C">
      <w:pPr>
        <w:rPr/>
      </w:pPr>
      <w:r w:rsidDel="00000000" w:rsidR="00000000" w:rsidRPr="00000000">
        <w:rPr>
          <w:rtl w:val="0"/>
        </w:rPr>
        <w:t xml:space="preserve">Correct source permissions</w:t>
      </w:r>
    </w:p>
    <w:p w:rsidR="00000000" w:rsidDel="00000000" w:rsidP="00000000" w:rsidRDefault="00000000" w:rsidRPr="00000000" w14:paraId="0000006D">
      <w:pPr>
        <w:rPr/>
      </w:pPr>
      <w:r w:rsidDel="00000000" w:rsidR="00000000" w:rsidRPr="00000000">
        <w:rPr>
          <w:rtl w:val="0"/>
        </w:rPr>
        <w:t xml:space="preserve">Redact sensitive information</w:t>
      </w:r>
    </w:p>
    <w:p w:rsidR="00000000" w:rsidDel="00000000" w:rsidP="00000000" w:rsidRDefault="00000000" w:rsidRPr="00000000" w14:paraId="0000006E">
      <w:pPr>
        <w:rPr/>
      </w:pPr>
      <w:r w:rsidDel="00000000" w:rsidR="00000000" w:rsidRPr="00000000">
        <w:rPr>
          <w:rtl w:val="0"/>
        </w:rPr>
        <w:t xml:space="preserve">Quarantine inappropriate content</w:t>
      </w:r>
    </w:p>
    <w:p w:rsidR="00000000" w:rsidDel="00000000" w:rsidP="00000000" w:rsidRDefault="00000000" w:rsidRPr="00000000" w14:paraId="0000006F">
      <w:pPr>
        <w:rPr/>
      </w:pPr>
      <w:r w:rsidDel="00000000" w:rsidR="00000000" w:rsidRPr="00000000">
        <w:rPr>
          <w:rtl w:val="0"/>
        </w:rPr>
        <w:t xml:space="preserve">Change retention</w:t>
      </w:r>
    </w:p>
    <w:p w:rsidR="00000000" w:rsidDel="00000000" w:rsidP="00000000" w:rsidRDefault="00000000" w:rsidRPr="00000000" w14:paraId="00000070">
      <w:pPr>
        <w:rPr/>
      </w:pPr>
      <w:r w:rsidDel="00000000" w:rsidR="00000000" w:rsidRPr="00000000">
        <w:rPr>
          <w:rtl w:val="0"/>
        </w:rPr>
        <w:t xml:space="preserve">Revoke agent access</w:t>
      </w:r>
    </w:p>
    <w:p w:rsidR="00000000" w:rsidDel="00000000" w:rsidP="00000000" w:rsidRDefault="00000000" w:rsidRPr="00000000" w14:paraId="00000071">
      <w:pPr>
        <w:rPr/>
      </w:pPr>
      <w:r w:rsidDel="00000000" w:rsidR="00000000" w:rsidRPr="00000000">
        <w:rPr>
          <w:rtl w:val="0"/>
        </w:rPr>
        <w:t xml:space="preserve">Disable a data source</w:t>
      </w:r>
    </w:p>
    <w:p w:rsidR="00000000" w:rsidDel="00000000" w:rsidP="00000000" w:rsidRDefault="00000000" w:rsidRPr="00000000" w14:paraId="00000072">
      <w:pPr>
        <w:rPr/>
      </w:pPr>
      <w:r w:rsidDel="00000000" w:rsidR="00000000" w:rsidRPr="00000000">
        <w:rPr>
          <w:rtl w:val="0"/>
        </w:rPr>
        <w:t xml:space="preserve">Assign an owner</w:t>
      </w:r>
    </w:p>
    <w:p w:rsidR="00000000" w:rsidDel="00000000" w:rsidP="00000000" w:rsidRDefault="00000000" w:rsidRPr="00000000" w14:paraId="00000073">
      <w:pPr>
        <w:rPr/>
      </w:pPr>
      <w:r w:rsidDel="00000000" w:rsidR="00000000" w:rsidRPr="00000000">
        <w:rPr>
          <w:rtl w:val="0"/>
        </w:rPr>
        <w:t xml:space="preserve">Update policy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sz w:val="28"/>
          <w:szCs w:val="28"/>
          <w:rtl w:val="0"/>
        </w:rPr>
        <w:t xml:space="preserve">Design Principles for Production-Grade RAG Systems: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Architects building a real-time knowledge management system must adhere to these enterprise design principles:</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Decoupled Ingestion Pipelines</w:t>
      </w:r>
      <w:r w:rsidDel="00000000" w:rsidR="00000000" w:rsidRPr="00000000">
        <w:rPr>
          <w:rtl w:val="0"/>
        </w:rPr>
        <w:t xml:space="preserve">: Use an event streaming platform to isolate knowledge sources from the embedding models, ensuring horizontal scalability.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Exactly-Once Processing:</w:t>
      </w:r>
      <w:r w:rsidDel="00000000" w:rsidR="00000000" w:rsidRPr="00000000">
        <w:rPr>
          <w:rtl w:val="0"/>
        </w:rPr>
        <w:t xml:space="preserve"> Leverage robust stream processing guarantees to prevent duplicate document chunks from polluting the vector index.</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Schema Enforcement</w:t>
      </w:r>
      <w:r w:rsidDel="00000000" w:rsidR="00000000" w:rsidRPr="00000000">
        <w:rPr>
          <w:rtl w:val="0"/>
        </w:rPr>
        <w:t xml:space="preserve">: Apply strict data contracts (e.g., via Confluent Schema Registry) to metadata so the retrieval layer can confidently apply role-based access control.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Data Lineage Tracking</w:t>
      </w:r>
      <w:r w:rsidDel="00000000" w:rsidR="00000000" w:rsidRPr="00000000">
        <w:rPr>
          <w:rtl w:val="0"/>
        </w:rPr>
        <w:t xml:space="preserve">: Maintain a verifiable trail from the source system update, through the streaming topic, down to the augmented prompt.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Zero-Trust Retrieval</w:t>
      </w:r>
      <w:r w:rsidDel="00000000" w:rsidR="00000000" w:rsidRPr="00000000">
        <w:rPr>
          <w:rtl w:val="0"/>
        </w:rPr>
        <w:t xml:space="preserve">: Enforce access control at both the data source layer and the vector database query layer.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Here is the layer-by-layer breakdown of a production-grade enterprise RAG architecture: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2"/>
        </w:numPr>
        <w:ind w:left="720" w:hanging="360"/>
        <w:rPr>
          <w:u w:val="none"/>
        </w:rPr>
      </w:pPr>
      <w:r w:rsidDel="00000000" w:rsidR="00000000" w:rsidRPr="00000000">
        <w:rPr>
          <w:b w:val="1"/>
          <w:bCs w:val="1"/>
          <w:rtl w:val="0"/>
        </w:rPr>
        <w:t xml:space="preserve">Knowledge Sources (The Origin State)</w:t>
      </w:r>
      <w:r w:rsidDel="00000000" w:rsidR="00000000" w:rsidRPr="00000000">
        <w:rPr>
          <w:rtl w:val="0"/>
        </w:rPr>
        <w:t xml:space="preserve">: Enterprise intelligence is rarely centralized; it is fragmented across operational systems of record. This layer includes unstructured data (engineering wikis in Notion/Confluence, secure SharePoint documents) and structured operational state (GitHub pull requests, Jira ticketing instances, Salesforce records).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7"/>
        </w:numPr>
        <w:ind w:left="720" w:hanging="360"/>
        <w:rPr>
          <w:u w:val="none"/>
        </w:rPr>
      </w:pPr>
      <w:r w:rsidDel="00000000" w:rsidR="00000000" w:rsidRPr="00000000">
        <w:rPr>
          <w:b w:val="1"/>
          <w:bCs w:val="1"/>
          <w:rtl w:val="0"/>
        </w:rPr>
        <w:t xml:space="preserve">Event Streaming Ingestion Layer - Confluent (The Backbone):</w:t>
      </w:r>
      <w:r w:rsidDel="00000000" w:rsidR="00000000" w:rsidRPr="00000000">
        <w:rPr>
          <w:rtl w:val="0"/>
        </w:rPr>
        <w:t xml:space="preserve"> This is where batch processing is abandoned. Instead of heavy, nightly database queries, this layer uses Change Data Capture (CDC) connectors to detect changes at the source database log level. Document updates, ticket closures, and wiki edits are instantly captured and published as immutable event streams, completely decoupling the ingestion load from the source systems.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8"/>
        </w:numPr>
        <w:ind w:left="720" w:hanging="360"/>
        <w:rPr>
          <w:u w:val="none"/>
        </w:rPr>
      </w:pPr>
      <w:r w:rsidDel="00000000" w:rsidR="00000000" w:rsidRPr="00000000">
        <w:rPr>
          <w:b w:val="1"/>
          <w:bCs w:val="1"/>
          <w:rtl w:val="0"/>
        </w:rPr>
        <w:t xml:space="preserve">Real-Time Processing Layer - Flink (The Shaping Engine):</w:t>
      </w:r>
      <w:r w:rsidDel="00000000" w:rsidR="00000000" w:rsidRPr="00000000">
        <w:rPr>
          <w:rtl w:val="0"/>
        </w:rPr>
        <w:t xml:space="preserve"> Raw documents cannot be dumped into an LLM. Apache Flink acts as the in-flight processing engine, consuming streams directly from Confluent. It performs critical operations on the fly: semantic chunking (breaking massive runbooks into digestible paragraphs), PII redaction, and metadata extraction (tagging chunks with author, department, and access level) before the data ever reaches the embedding model.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5"/>
        </w:numPr>
        <w:ind w:left="720" w:hanging="360"/>
        <w:rPr>
          <w:u w:val="none"/>
        </w:rPr>
      </w:pPr>
      <w:r w:rsidDel="00000000" w:rsidR="00000000" w:rsidRPr="00000000">
        <w:rPr>
          <w:b w:val="1"/>
          <w:bCs w:val="1"/>
          <w:rtl w:val="0"/>
        </w:rPr>
        <w:t xml:space="preserve">Embedding Generation Service (The Vectorization Pipeline):</w:t>
      </w:r>
      <w:r w:rsidDel="00000000" w:rsidR="00000000" w:rsidRPr="00000000">
        <w:rPr>
          <w:rtl w:val="0"/>
        </w:rPr>
        <w:t xml:space="preserve"> Rather than running scheduled batch jobs to vectorize new documents, this is a streaming inference layer. It catches the freshly chunked, cleansed text from Flink and continuously converts it into high-dimensional vectors. This ensures embedding updates happen in near real-time, keeping the AI's semantic understanding perfectly aligned with the current state of the business.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1"/>
        </w:numPr>
        <w:ind w:left="720" w:hanging="360"/>
        <w:rPr>
          <w:u w:val="none"/>
        </w:rPr>
      </w:pPr>
      <w:r w:rsidDel="00000000" w:rsidR="00000000" w:rsidRPr="00000000">
        <w:rPr>
          <w:b w:val="1"/>
          <w:bCs w:val="1"/>
          <w:rtl w:val="0"/>
        </w:rPr>
        <w:t xml:space="preserve">Vector Store / Index Layer (The Semantic Memory):</w:t>
      </w:r>
      <w:r w:rsidDel="00000000" w:rsidR="00000000" w:rsidRPr="00000000">
        <w:rPr>
          <w:rtl w:val="0"/>
        </w:rPr>
        <w:t xml:space="preserve"> A specialized, horizontally scalable database (such as Pinecone, Milvus, or Qdrant) that ingests the streaming vectors. Crucially, in a real-time knowledge management system, this layer doesn't just add data—it performs real-time upserts and instantly deprecates old embeddings. If an engineer updates a deprecated API endpoint in a runbook, the old vector is overwritten instantly, eliminating the "stale brain" problem.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6"/>
        </w:numPr>
        <w:ind w:left="720" w:hanging="360"/>
        <w:rPr>
          <w:u w:val="none"/>
        </w:rPr>
      </w:pPr>
      <w:r w:rsidDel="00000000" w:rsidR="00000000" w:rsidRPr="00000000">
        <w:rPr>
          <w:b w:val="1"/>
          <w:bCs w:val="1"/>
          <w:rtl w:val="0"/>
        </w:rPr>
        <w:t xml:space="preserve">Retrieval Layer (The Context Orchestrator):</w:t>
      </w:r>
      <w:r w:rsidDel="00000000" w:rsidR="00000000" w:rsidRPr="00000000">
        <w:rPr>
          <w:rtl w:val="0"/>
        </w:rPr>
        <w:t xml:space="preserve"> The query execution engine where semantic search takes place. In the enterprise, this layer is heavily governed. Before assembling the context, it applies strict metadata filtering to enforce Role-Based Access Control (RBAC)—ensuring a user only retrieves chunks they have permission to see. Advanced architectures also apply re-ranking algorithms here to surface the most hyper-relevant context.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9"/>
        </w:numPr>
        <w:ind w:left="720" w:hanging="360"/>
        <w:rPr>
          <w:u w:val="none"/>
        </w:rPr>
      </w:pPr>
      <w:r w:rsidDel="00000000" w:rsidR="00000000" w:rsidRPr="00000000">
        <w:rPr>
          <w:b w:val="1"/>
          <w:bCs w:val="1"/>
          <w:rtl w:val="0"/>
        </w:rPr>
        <w:t xml:space="preserve">LLM Generation Layer (The Synthesis Engine):</w:t>
      </w:r>
      <w:r w:rsidDel="00000000" w:rsidR="00000000" w:rsidRPr="00000000">
        <w:rPr>
          <w:rtl w:val="0"/>
        </w:rPr>
        <w:t xml:space="preserve"> The enterprise-grade foundation model (e.g., GPT-4, Claude, or a fine-tuned open-source model). Because the retrieval layer has already done the heavy lifting of finding the absolute latest, strictly filtered facts, the LLM’s only job is to synthesize this real-time context and generate a highly accurate, grounded response that adheres to corporate guardrails.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3"/>
        </w:numPr>
        <w:ind w:left="720" w:hanging="360"/>
        <w:rPr>
          <w:u w:val="none"/>
        </w:rPr>
      </w:pPr>
      <w:r w:rsidDel="00000000" w:rsidR="00000000" w:rsidRPr="00000000">
        <w:rPr>
          <w:b w:val="1"/>
          <w:bCs w:val="1"/>
          <w:rtl w:val="0"/>
        </w:rPr>
        <w:t xml:space="preserve">Observability and Governance Layer (The Audit Trail):</w:t>
      </w:r>
      <w:r w:rsidDel="00000000" w:rsidR="00000000" w:rsidRPr="00000000">
        <w:rPr>
          <w:rtl w:val="0"/>
        </w:rPr>
        <w:t xml:space="preserve"> Enterprises require absolute transparency. This layer tracks data lineage from the source system update, through the Confluent topics, into the vector store, and finally to the LLM prompt. If an AI generates a specific recommendation during a live incident, architects can trace the exact event stream and document chunks that informed that output.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