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36"/>
          <w:szCs w:val="36"/>
          <w:rtl w:val="0"/>
        </w:rPr>
        <w:t xml:space="preserve">How to implement a RAG architecture:</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By implementing a RAG system architecture, you can build something powerful that does more than pull random text from a public search index. But each step in the process depends on the quality of data, consistent retrieval, and components that scale without breaking. These steps outline the core workflow.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30"/>
          <w:szCs w:val="30"/>
          <w:u w:val="none"/>
        </w:rPr>
      </w:pPr>
      <w:r w:rsidDel="00000000" w:rsidR="00000000" w:rsidRPr="00000000">
        <w:rPr>
          <w:sz w:val="30"/>
          <w:szCs w:val="30"/>
          <w:rtl w:val="0"/>
        </w:rPr>
        <w:t xml:space="preserve">Define the retrieval contract: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Before writing the code, set clear rules for metadata and relevant thresholds to prevent retrieval mismatch. This ensures the retriever only passes high-quality chunks to the LLM and minimizes the risk of GenAI hallucinations and other output inaccuracies.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sz w:val="28"/>
          <w:szCs w:val="28"/>
          <w:u w:val="none"/>
        </w:rPr>
      </w:pPr>
      <w:r w:rsidDel="00000000" w:rsidR="00000000" w:rsidRPr="00000000">
        <w:rPr>
          <w:sz w:val="28"/>
          <w:szCs w:val="28"/>
          <w:rtl w:val="0"/>
        </w:rPr>
        <w:t xml:space="preserve">Design the ingestion pipeline for scale: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Ingestion pipelines take raw data, break it down into manageable chunks, add extra metadata and convert it into searchable embeddings. If the raw data changes (i.e. the documentation website is updated) the ingestion process repeats for the updated parts to preserve freshness and integrity.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n8n is a workflow automation platform that lets you build the RAG pipeline end-to-end: fetch documents from external sources (APIs, databases, Google Drive), chunk them according to various rules, generate embeddings via OpenAI, Google or other providers, and load them into your vector database. All in one visual canvas with built-in scheduling, error handling, and monitoring.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8"/>
          <w:szCs w:val="28"/>
          <w:u w:val="none"/>
        </w:rPr>
      </w:pPr>
      <w:r w:rsidDel="00000000" w:rsidR="00000000" w:rsidRPr="00000000">
        <w:rPr>
          <w:sz w:val="28"/>
          <w:szCs w:val="28"/>
          <w:rtl w:val="0"/>
        </w:rPr>
        <w:t xml:space="preserve">Lock down the embedding model: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Your chosen vector type and embedding model become a long-term commitment.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If you’re using dense vectors, switching models later requires re-indexing the entire vector database, which is expensive and slows development.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When working with sparse vectors, you’d need to rebuild the index if you change the keyword extraction method (e.g., BM25 → SPLADE).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For hybrid systems (with dense + sparse vectors), you commit to maintaining two parallel indexes, doubling the migration effort.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 can reduce this risk by adding a versioning layer. Create separate indexes for testing new models or approaches, then gradually migrate traffic once validated. This way, you can A/B test new embedding models without disrupting your production knowledge base.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can reduce this risk by adding a versioning layer. It lets you A/B test new embedding models without disrupting your production knowledge base.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8"/>
          <w:szCs w:val="28"/>
          <w:u w:val="none"/>
        </w:rPr>
      </w:pPr>
      <w:r w:rsidDel="00000000" w:rsidR="00000000" w:rsidRPr="00000000">
        <w:rPr>
          <w:sz w:val="28"/>
          <w:szCs w:val="28"/>
          <w:rtl w:val="0"/>
        </w:rPr>
        <w:t xml:space="preserve"> Implement multi-stage retrieval: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Standard semantic search often returns high-similarity results that don’t match the user’s intent. Developers add a re-ranking step to double-check the results. This extra layer evaluates the context of the retrieved chunks to make sure it improves relevance. The two-stage information retrieval process is the most effective way to ensure accurate answers and to reduce hallucinations in complex RAG applications.</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8"/>
          <w:szCs w:val="28"/>
        </w:rPr>
      </w:pPr>
      <w:r w:rsidDel="00000000" w:rsidR="00000000" w:rsidRPr="00000000">
        <w:rPr>
          <w:sz w:val="28"/>
          <w:szCs w:val="28"/>
          <w:rtl w:val="0"/>
        </w:rPr>
        <w:t xml:space="preserve">Monitor and iterate on retrieval quality: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RAG performance can degrade over time as your project expands. Implement logging to track retrieval quality: are the right chunks being retrieved?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Monitor what percentage of retrieved chunks are actually relevant, whether you're missing important information, and user feedback signals (thumbs up/down, query reformulations). Use this data to tune chunk sizes, adjust embedding models, or add reranking layers.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