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A6543"/>
          <w:sz w:val="44"/>
          <w:szCs w:val="44"/>
        </w:rPr>
        <w:t xml:space="preserve">LASTENHEFT</w:t>
      </w:r>
    </w:p>
    <w:p>
      <w:pPr>
        <w:spacing w:after="300"/>
      </w:pPr>
      <w:r>
        <w:rPr>
          <w:b/>
          <w:bCs/>
          <w:color w:val="0F744E"/>
          <w:sz w:val="28"/>
          <w:szCs w:val="28"/>
        </w:rPr>
        <w:t xml:space="preserve">Digitales Projekt- und Kundenmanagementsystem für Eneffplan</w:t>
      </w:r>
    </w:p>
    <w:p>
      <w:pPr>
        <w:spacing w:after="40"/>
      </w:pPr>
      <w:r>
        <w:rPr>
          <w:i/>
          <w:iCs/>
          <w:color w:val="595959"/>
          <w:sz w:val="20"/>
          <w:szCs w:val="20"/>
        </w:rPr>
        <w:t xml:space="preserve">Stand: 21. September 2026 · Entwurf zur Abstimmung, Version 0.1</w:t>
      </w:r>
    </w:p>
    <w:p>
      <w:pPr>
        <w:spacing w:after="400"/>
      </w:pPr>
      <w:r>
        <w:rPr>
          <w:color w:val="595959"/>
          <w:sz w:val="20"/>
          <w:szCs w:val="20"/>
        </w:rPr>
        <w:t xml:space="preserve">Erstellt auf Basis des gemeinsamen Kickoff-Gesprächs. Bitte gegenlesen, ergänzen und Rückmeldungen direkt vor dem Folgetermin am 27. Oktober 2026 mitteilen.</w:t>
      </w:r>
    </w:p>
    <w:p>
      <w:pPr>
        <w:pStyle w:val="Heading1"/>
      </w:pPr>
      <w:r>
        <w:t xml:space="preserve">1. Ausgangssituation</w:t>
      </w:r>
    </w:p>
    <w:p>
      <w:pPr>
        <w:spacing w:after="160"/>
      </w:pPr>
      <w:r>
        <w:t xml:space="preserve">Eneffplan ist ein Ingenieurbüro für Bauphysik, Energieberatung und nachhaltige Gebäudekonzepte mit Standorten in Stuttgart, Ulm und Zürich. Das Team betreut jährlich ca. 80–100 Projekte, aktuell befinden sich rund 450 Projekte im Bestand (aktiv, ruhend oder abgeschlossen), mit Laufzeiten von wenigen Wochen bis zu mehreren Jahren.</w:t>
      </w:r>
    </w:p>
    <w:p>
      <w:pPr>
        <w:spacing w:after="160"/>
      </w:pPr>
      <w:r>
        <w:t xml:space="preserve">Für die tägliche Arbeit werden aktuell vier getrennte Werkzeuge eingesetzt, die nicht miteinander verbunden sind: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CCCCCC" w:sz="2"/>
              <w:left w:val="single" w:color="CCCCCC" w:sz="2"/>
              <w:bottom w:val="single" w:color="CCCCCC" w:sz="2"/>
              <w:right w:val="single" w:color="CCCCCC" w:sz="2"/>
            </w:tcBorders>
            <w:shd w:fill="EAF5EF" w:val="clear"/>
            <w:tcMar>
              <w:top w:type="dxa" w:w="100"/>
              <w:left w:type="dxa" w:w="140"/>
              <w:bottom w:type="dxa" w:w="100"/>
              <w:right w:type="dxa" w:w="140"/>
            </w:tcMar>
          </w:tcPr>
          <w:p>
            <w:r>
              <w:rPr>
                <w:b/>
                <w:bCs/>
              </w:rPr>
              <w:t xml:space="preserve">Tool</w:t>
            </w:r>
          </w:p>
        </w:tc>
        <w:tc>
          <w:tcPr>
            <w:tcW w:type="dxa" w:w="3300"/>
            <w:tcBorders>
              <w:top w:val="single" w:color="CCCCCC" w:sz="2"/>
              <w:left w:val="single" w:color="CCCCCC" w:sz="2"/>
              <w:bottom w:val="single" w:color="CCCCCC" w:sz="2"/>
              <w:right w:val="single" w:color="CCCCCC" w:sz="2"/>
            </w:tcBorders>
            <w:shd w:fill="EAF5EF" w:val="clear"/>
            <w:tcMar>
              <w:top w:type="dxa" w:w="100"/>
              <w:left w:type="dxa" w:w="140"/>
              <w:bottom w:type="dxa" w:w="100"/>
              <w:right w:type="dxa" w:w="140"/>
            </w:tcMar>
          </w:tcPr>
          <w:p>
            <w:r>
              <w:rPr>
                <w:b/>
                <w:bCs/>
              </w:rPr>
              <w:t xml:space="preserve">Funktion heute</w:t>
            </w:r>
          </w:p>
        </w:tc>
        <w:tc>
          <w:tcPr>
            <w:tcW w:type="dxa" w:w="3460"/>
            <w:tcBorders>
              <w:top w:val="single" w:color="CCCCCC" w:sz="2"/>
              <w:left w:val="single" w:color="CCCCCC" w:sz="2"/>
              <w:bottom w:val="single" w:color="CCCCCC" w:sz="2"/>
              <w:right w:val="single" w:color="CCCCCC" w:sz="2"/>
            </w:tcBorders>
            <w:shd w:fill="EAF5EF" w:val="clear"/>
            <w:tcMar>
              <w:top w:type="dxa" w:w="100"/>
              <w:left w:type="dxa" w:w="140"/>
              <w:bottom w:type="dxa" w:w="100"/>
              <w:right w:type="dxa" w:w="140"/>
            </w:tcMar>
          </w:tcPr>
          <w:p>
            <w:r>
              <w:rPr>
                <w:b/>
                <w:bCs/>
              </w:rPr>
              <w:t xml:space="preserve">Zukunft im neuen System</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Crewmeister</w:t>
            </w:r>
          </w:p>
        </w:tc>
        <w:tc>
          <w:tcPr>
            <w:tcW w:type="dxa" w:w="33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Zeiterfassung</w:t>
            </w:r>
          </w:p>
        </w:tc>
        <w:tc>
          <w:tcPr>
            <w:tcW w:type="dxa" w:w="3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Wird vollständig abgelöst (Fragmentierung, nicht Funktionsmangel)</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Microsoft Planner</w:t>
            </w:r>
          </w:p>
        </w:tc>
        <w:tc>
          <w:tcPr>
            <w:tcW w:type="dxa" w:w="33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Aufgabenverteilung</w:t>
            </w:r>
          </w:p>
        </w:tc>
        <w:tc>
          <w:tcPr>
            <w:tcW w:type="dxa" w:w="3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Bereits in der Praxis aufgegeben; Fehler werden nicht wiederholt</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Excel (2 Tabellen)</w:t>
            </w:r>
          </w:p>
        </w:tc>
        <w:tc>
          <w:tcPr>
            <w:tcW w:type="dxa" w:w="33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Projektübersicht &amp; Controlling</w:t>
            </w:r>
          </w:p>
        </w:tc>
        <w:tc>
          <w:tcPr>
            <w:tcW w:type="dxa" w:w="3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Wird durch Dashboard mit Filtern/Export ersetzt</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Lexware</w:t>
            </w:r>
          </w:p>
        </w:tc>
        <w:tc>
          <w:tcPr>
            <w:tcW w:type="dxa" w:w="33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Angebote &amp; Rechnungen</w:t>
            </w:r>
          </w:p>
        </w:tc>
        <w:tc>
          <w:tcPr>
            <w:tcW w:type="dxa" w:w="3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Wird abgelöst (keine bestehende Steuerberater-Schnittstelle)</w:t>
            </w:r>
          </w:p>
        </w:tc>
      </w:tr>
      <w:tr>
        <w:tc>
          <w:tcPr>
            <w:tcW w:type="dxa" w:w="26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OneDrive</w:t>
            </w:r>
          </w:p>
        </w:tc>
        <w:tc>
          <w:tcPr>
            <w:tcW w:type="dxa" w:w="33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Dokumentenablage</w:t>
            </w:r>
          </w:p>
        </w:tc>
        <w:tc>
          <w:tcPr>
            <w:tcW w:type="dxa" w:w="3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Migration in das neue System, eigenes DSGVO-konformes Hosting</w:t>
            </w:r>
          </w:p>
        </w:tc>
      </w:tr>
    </w:tbl>
    <w:p>
      <w:pPr>
        <w:spacing w:after="160" w:before="200"/>
      </w:pPr>
      <w:r>
        <w:t xml:space="preserve">Die daraus entstehenden Probleme im Tagesgeschäft:</w:t>
      </w:r>
    </w:p>
    <w:p>
      <w:pPr>
        <w:pStyle w:val="ListParagraph"/>
        <w:numPr>
          <w:ilvl w:val="0"/>
          <w:numId w:val="2"/>
        </w:numPr>
        <w:spacing w:after="80"/>
      </w:pPr>
      <w:r>
        <w:t xml:space="preserve">Rechnungsstellung nach Meilenstein erfolgt manuell und ist fehleranfällig — so wurde in der Vergangenheit bereits eine fällige Rechnung übersehen.</w:t>
      </w:r>
    </w:p>
    <w:p>
      <w:pPr>
        <w:pStyle w:val="ListParagraph"/>
        <w:numPr>
          <w:ilvl w:val="0"/>
          <w:numId w:val="2"/>
        </w:numPr>
        <w:spacing w:after="80"/>
      </w:pPr>
      <w:r>
        <w:t xml:space="preserve">Es fehlt ein zentraler Überblick, welche Projekte auf eine Kundenrückmeldung warten und nachgefasst werden müssen.</w:t>
      </w:r>
    </w:p>
    <w:p>
      <w:pPr>
        <w:pStyle w:val="ListParagraph"/>
        <w:numPr>
          <w:ilvl w:val="0"/>
          <w:numId w:val="2"/>
        </w:numPr>
        <w:spacing w:after="80"/>
      </w:pPr>
      <w:r>
        <w:t xml:space="preserve">Die Aufgabenverteilung an Mitarbeitende im Homeoffice funktioniert seit der Abkehr von Microsoft Planner nicht mehr zuverlässig.</w:t>
      </w:r>
    </w:p>
    <w:p>
      <w:pPr>
        <w:pStyle w:val="ListParagraph"/>
        <w:numPr>
          <w:ilvl w:val="0"/>
          <w:numId w:val="2"/>
        </w:numPr>
        <w:spacing w:after="80"/>
      </w:pPr>
      <w:r>
        <w:t xml:space="preserve">Zwei getrennte Excel-Tabellen für Projektstatus und Kosten/Marge sind redundant, bieten keine Filter- oder Dashboard-Funktion.</w:t>
      </w:r>
    </w:p>
    <w:p>
      <w:pPr>
        <w:pStyle w:val="ListParagraph"/>
        <w:numPr>
          <w:ilvl w:val="0"/>
          <w:numId w:val="2"/>
        </w:numPr>
        <w:spacing w:after="80"/>
      </w:pPr>
      <w:r>
        <w:t xml:space="preserve">Es existiert kein automatisiertes Mahnwesen und keine Pipeline-/Kapazitätsübersicht für neue Projektanfragen.</w:t>
      </w:r>
    </w:p>
    <w:p>
      <w:pPr>
        <w:pStyle w:val="Heading1"/>
      </w:pPr>
      <w:r>
        <w:t xml:space="preserve">2. Zielsetzung</w:t>
      </w:r>
    </w:p>
    <w:p>
      <w:pPr>
        <w:spacing w:after="160"/>
      </w:pPr>
      <w:r>
        <w:t xml:space="preserve">Ziel ist ein einziges System, das alle vier oben genannten Werkzeuge vollständig ersetzt — nicht nur ergänzt. Die Ablösung von Crewmeister erfolgt dabei nicht wegen funktionaler Mängel, sondern um die Werkzeug-Fragmentierung zu beenden.</w:t>
      </w:r>
    </w:p>
    <w:p>
      <w:pPr>
        <w:pStyle w:val="Heading1"/>
      </w:pPr>
      <w:r>
        <w:t xml:space="preserve">3. Funktionale Anforderungen</w:t>
      </w:r>
    </w:p>
    <w:p>
      <w:pPr>
        <w:pStyle w:val="Heading2"/>
      </w:pPr>
      <w:r>
        <w:t xml:space="preserve">3.1 Kunden- und Projektstruktur</w:t>
      </w:r>
    </w:p>
    <w:p>
      <w:pPr>
        <w:pStyle w:val="ListParagraph"/>
        <w:numPr>
          <w:ilvl w:val="0"/>
          <w:numId w:val="2"/>
        </w:numPr>
        <w:spacing w:after="80"/>
      </w:pPr>
      <w:r>
        <w:t xml:space="preserve">Neuanlage eines Kunden legt automatisch ein neues Projekt mit fortlaufender Nummer/Kostenstelle an.</w:t>
      </w:r>
    </w:p>
    <w:p>
      <w:pPr>
        <w:pStyle w:val="ListParagraph"/>
        <w:numPr>
          <w:ilvl w:val="0"/>
          <w:numId w:val="2"/>
        </w:numPr>
        <w:spacing w:after="80"/>
      </w:pPr>
      <w:r>
        <w:t xml:space="preserve">Hierarchie: Kunde → Projekt → Teilaufgaben → Meilensteine.</w:t>
      </w:r>
    </w:p>
    <w:p>
      <w:pPr>
        <w:pStyle w:val="ListParagraph"/>
        <w:numPr>
          <w:ilvl w:val="0"/>
          <w:numId w:val="2"/>
        </w:numPr>
        <w:spacing w:after="80"/>
      </w:pPr>
      <w:r>
        <w:t xml:space="preserve">Ein Standard-Aufgabenkatalog (ca. 30 Positionen) wird bei jedem neuen Projekt automatisch vorbelegt und lässt sich über Vorlagen-Varianten je Kundentyp anpassen (Ziel: 80–90 % der Fälle über die Standardvorlage abdecken).</w:t>
      </w:r>
    </w:p>
    <w:p>
      <w:pPr>
        <w:pStyle w:val="ListParagraph"/>
        <w:numPr>
          <w:ilvl w:val="0"/>
          <w:numId w:val="2"/>
        </w:numPr>
        <w:spacing w:after="80"/>
      </w:pPr>
      <w:r>
        <w:t xml:space="preserve">Jede Aufgabe ist mit einer Angebotsposition verknüpft; die Stundenschätzung dient gleichzeitig als Stundenbudget der zugewiesenen Person.</w:t>
      </w:r>
    </w:p>
    <w:p>
      <w:pPr>
        <w:pStyle w:val="Heading2"/>
      </w:pPr>
      <w:r>
        <w:t xml:space="preserve">3.2 Angebotserstellung</w:t>
      </w:r>
    </w:p>
    <w:p>
      <w:pPr>
        <w:pStyle w:val="ListParagraph"/>
        <w:numPr>
          <w:ilvl w:val="0"/>
          <w:numId w:val="2"/>
        </w:numPr>
        <w:spacing w:after="80"/>
      </w:pPr>
      <w:r>
        <w:t xml:space="preserve">Kalkulation auf Basis interner Stundenschätzungen je Position, dem Kunden gegenüber jedoch nur als Pauschalpreis ausgewiesen.</w:t>
      </w:r>
    </w:p>
    <w:p>
      <w:pPr>
        <w:pStyle w:val="ListParagraph"/>
        <w:numPr>
          <w:ilvl w:val="0"/>
          <w:numId w:val="2"/>
        </w:numPr>
        <w:spacing w:after="80"/>
      </w:pPr>
      <w:r>
        <w:t xml:space="preserve">Angebotsfreigabe legt automatisch die zugehörigen Aufgaben inklusive Stundenbudget an.</w:t>
      </w:r>
    </w:p>
    <w:p>
      <w:pPr>
        <w:pStyle w:val="ListParagraph"/>
        <w:numPr>
          <w:ilvl w:val="0"/>
          <w:numId w:val="2"/>
        </w:numPr>
        <w:spacing w:after="80"/>
      </w:pPr>
      <w:r>
        <w:t xml:space="preserve">Einheitliche Briefvorlage für Angebote, Rechnungen und Mahnungen.</w:t>
      </w:r>
    </w:p>
    <w:p>
      <w:pPr>
        <w:pStyle w:val="ListParagraph"/>
        <w:numPr>
          <w:ilvl w:val="0"/>
          <w:numId w:val="2"/>
        </w:numPr>
        <w:spacing w:after="80"/>
      </w:pPr>
      <w:r>
        <w:t xml:space="preserve">Digitale Unterschrift von Vollmachten per Link (z. B. für BAFA-Anträge), signierbar direkt auf dem Smartphone.</w:t>
      </w:r>
    </w:p>
    <w:p>
      <w:pPr>
        <w:pStyle w:val="Heading2"/>
      </w:pPr>
      <w:r>
        <w:t xml:space="preserve">3.3 Zeiterfassung</w:t>
      </w:r>
    </w:p>
    <w:p>
      <w:pPr>
        <w:pStyle w:val="ListParagraph"/>
        <w:numPr>
          <w:ilvl w:val="0"/>
          <w:numId w:val="2"/>
        </w:numPr>
        <w:spacing w:after="80"/>
      </w:pPr>
      <w:r>
        <w:t xml:space="preserve">Ein- und Ausstempeln inklusive Pausenfunktion.</w:t>
      </w:r>
    </w:p>
    <w:p>
      <w:pPr>
        <w:pStyle w:val="ListParagraph"/>
        <w:numPr>
          <w:ilvl w:val="0"/>
          <w:numId w:val="2"/>
        </w:numPr>
        <w:spacing w:after="80"/>
      </w:pPr>
      <w:r>
        <w:rPr>
          <w:b/>
          <w:bCs/>
        </w:rPr>
        <w:t xml:space="preserve">Offener Punkt: </w:t>
      </w:r>
      <w:r>
        <w:t xml:space="preserve">Detailmodell noch abzustimmen — Tagesstempel mit pauschaler Zuordnung oder minutengenaue Live-Zuordnung je Aufgabe.</w:t>
      </w:r>
    </w:p>
    <w:p>
      <w:pPr>
        <w:pStyle w:val="ListParagraph"/>
        <w:numPr>
          <w:ilvl w:val="0"/>
          <w:numId w:val="2"/>
        </w:numPr>
        <w:spacing w:after="80"/>
      </w:pPr>
      <w:r>
        <w:t xml:space="preserve">Zeit wird nach dem Einstempeln zunächst auf „Intern“ gebucht, bis eine Aufgabe aktiv übernommen wird — die Zuordnung von Minder-/Überstunden zur internen Kostenstelle erfolgt bewusst nicht automatisch, sondern durch die Projektleitung.</w:t>
      </w:r>
    </w:p>
    <w:p>
      <w:pPr>
        <w:pStyle w:val="ListParagraph"/>
        <w:numPr>
          <w:ilvl w:val="0"/>
          <w:numId w:val="2"/>
        </w:numPr>
        <w:spacing w:after="80"/>
      </w:pPr>
      <w:r>
        <w:t xml:space="preserve">Mitarbeitende sehen ausschließlich ihr eigenes Stundenbudget je Aufgabe — keine Stundensätze, Kosten oder Margen.</w:t>
      </w:r>
    </w:p>
    <w:p>
      <w:pPr>
        <w:pStyle w:val="ListParagraph"/>
        <w:numPr>
          <w:ilvl w:val="0"/>
          <w:numId w:val="2"/>
        </w:numPr>
        <w:spacing w:after="80"/>
      </w:pPr>
      <w:r>
        <w:t xml:space="preserve">Geschäftsführung und Buchhaltung sehen zusätzlich individuelle, zeitlich versionierte Stundensätze sowie Verkaufspreis und Marge je Projekt.</w:t>
      </w:r>
    </w:p>
    <w:p>
      <w:pPr>
        <w:pStyle w:val="ListParagraph"/>
        <w:numPr>
          <w:ilvl w:val="0"/>
          <w:numId w:val="2"/>
        </w:numPr>
        <w:spacing w:after="80"/>
      </w:pPr>
      <w:r>
        <w:t xml:space="preserve">Zugewiesene Aufgaben erscheinen mit ihrem Stundenbudget automatisch im persönlichen Kalender.</w:t>
      </w:r>
    </w:p>
    <w:p>
      <w:pPr>
        <w:pStyle w:val="Heading2"/>
      </w:pPr>
      <w:r>
        <w:t xml:space="preserve">3.4 Meilenstein- und Rechnungsautomatisierung</w:t>
      </w:r>
    </w:p>
    <w:p>
      <w:pPr>
        <w:pStyle w:val="ListParagraph"/>
        <w:numPr>
          <w:ilvl w:val="0"/>
          <w:numId w:val="2"/>
        </w:numPr>
        <w:spacing w:after="80"/>
      </w:pPr>
      <w:r>
        <w:t xml:space="preserve">Sind alle Aufgaben eines Meilensteins abgeschlossen, wird automatisch die fällige Teilrechnung zur Freigabe vorgeschlagen.</w:t>
      </w:r>
    </w:p>
    <w:p>
      <w:pPr>
        <w:pStyle w:val="ListParagraph"/>
        <w:numPr>
          <w:ilvl w:val="0"/>
          <w:numId w:val="2"/>
        </w:numPr>
        <w:spacing w:after="80"/>
      </w:pPr>
      <w:r>
        <w:t xml:space="preserve">Automatisches Mahnwesen mit Eskalationsstufen, gekoppelt an einen Bankkonto-Abgleich.</w:t>
      </w:r>
    </w:p>
    <w:p>
      <w:pPr>
        <w:pStyle w:val="Heading2"/>
      </w:pPr>
      <w:r>
        <w:t xml:space="preserve">3.5 Projekt-Tracking, Controlling &amp; Kapazitätsplanung</w:t>
      </w:r>
    </w:p>
    <w:p>
      <w:pPr>
        <w:pStyle w:val="ListParagraph"/>
        <w:numPr>
          <w:ilvl w:val="0"/>
          <w:numId w:val="2"/>
        </w:numPr>
        <w:spacing w:after="80"/>
      </w:pPr>
      <w:r>
        <w:t xml:space="preserve">Filterbare Übersicht: Projekte mit offener Kundenrückmeldung, ohne Aktivität seit definierter Zeit, oder mit fälliger, aber nicht gestellter Rechnung.</w:t>
      </w:r>
    </w:p>
    <w:p>
      <w:pPr>
        <w:pStyle w:val="ListParagraph"/>
        <w:numPr>
          <w:ilvl w:val="0"/>
          <w:numId w:val="2"/>
        </w:numPr>
        <w:spacing w:after="80"/>
      </w:pPr>
      <w:r>
        <w:t xml:space="preserve">Dashboard mit Kosten-, Umsatz- und Margenübersicht je Projekt, Mitarbeiter:in und Zeitraum inklusive Export.</w:t>
      </w:r>
    </w:p>
    <w:p>
      <w:pPr>
        <w:pStyle w:val="ListParagraph"/>
        <w:numPr>
          <w:ilvl w:val="0"/>
          <w:numId w:val="2"/>
        </w:numPr>
        <w:spacing w:after="80"/>
      </w:pPr>
      <w:r>
        <w:t xml:space="preserve">Pipeline-Prognose erwarteter Einnahmen anhand geplanter Meilenstein-Termine für die Liquiditätsplanung.</w:t>
      </w:r>
    </w:p>
    <w:p>
      <w:pPr>
        <w:pStyle w:val="ListParagraph"/>
        <w:numPr>
          <w:ilvl w:val="0"/>
          <w:numId w:val="2"/>
        </w:numPr>
        <w:spacing w:after="80"/>
      </w:pPr>
      <w:r>
        <w:t xml:space="preserve">Kapazitätsübersicht: aktuelle Auslastung je Mitarbeiter:in gegenüber neuen Projektanfragen.</w:t>
      </w:r>
    </w:p>
    <w:p>
      <w:pPr>
        <w:pStyle w:val="Heading2"/>
      </w:pPr>
      <w:r>
        <w:t xml:space="preserve">3.6 Rollen, Dokumente &amp; Sonstiges</w:t>
      </w:r>
    </w:p>
    <w:p>
      <w:pPr>
        <w:pStyle w:val="ListParagraph"/>
        <w:numPr>
          <w:ilvl w:val="0"/>
          <w:numId w:val="2"/>
        </w:numPr>
        <w:spacing w:after="80"/>
      </w:pPr>
      <w:r>
        <w:t xml:space="preserve">Rollenbasierte Ansichten für Mitarbeitende, Geschäftsführung/Buchhaltung und Administration.</w:t>
      </w:r>
    </w:p>
    <w:p>
      <w:pPr>
        <w:pStyle w:val="ListParagraph"/>
        <w:numPr>
          <w:ilvl w:val="0"/>
          <w:numId w:val="2"/>
        </w:numPr>
        <w:spacing w:after="80"/>
      </w:pPr>
      <w:r>
        <w:t xml:space="preserve">Migration der bestehenden OneDrive-Ordnerstruktur je Kunde/Projekt in das neue System.</w:t>
      </w:r>
    </w:p>
    <w:p>
      <w:pPr>
        <w:pStyle w:val="ListParagraph"/>
        <w:numPr>
          <w:ilvl w:val="0"/>
          <w:numId w:val="2"/>
        </w:numPr>
        <w:spacing w:after="80"/>
      </w:pPr>
      <w:r>
        <w:t xml:space="preserve">Mobile Nutzung, Hilfebereich für neue Mitarbeitende, DSGVO-konformes Hosting (z. B. Hetzner, Nürnberg).</w:t>
      </w:r>
    </w:p>
    <w:p>
      <w:pPr>
        <w:pStyle w:val="Heading2"/>
      </w:pPr>
      <w:r>
        <w:t xml:space="preserve">3.7 Explizit nicht Teil dieses Bauabschnitts</w:t>
      </w:r>
    </w:p>
    <w:p>
      <w:pPr>
        <w:pStyle w:val="ListParagraph"/>
        <w:numPr>
          <w:ilvl w:val="0"/>
          <w:numId w:val="2"/>
        </w:numPr>
        <w:spacing w:after="80"/>
      </w:pPr>
      <w:r>
        <w:t xml:space="preserve">Keine KI, die Telefonate, Meetings oder E-Mails automatisch mitschneidet oder zusammenfasst — bewusste Entscheidung zugunsten eigener Notizen.</w:t>
      </w:r>
    </w:p>
    <w:p>
      <w:pPr>
        <w:pStyle w:val="ListParagraph"/>
        <w:numPr>
          <w:ilvl w:val="0"/>
          <w:numId w:val="2"/>
        </w:numPr>
        <w:spacing w:after="80"/>
      </w:pPr>
      <w:r>
        <w:rPr>
          <w:b/>
          <w:bCs/>
        </w:rPr>
        <w:t xml:space="preserve">Sprachassistent </w:t>
      </w:r>
      <w:r>
        <w:t xml:space="preserve">(Projektstatus/Aufgaben per Sprache) — wird ausschließlich als optionaler Zusatzposten im Angebot ausgewiesen, nicht Teil der Kernkalkulation.</w:t>
      </w:r>
    </w:p>
    <w:p>
      <w:pPr>
        <w:pStyle w:val="ListParagraph"/>
        <w:numPr>
          <w:ilvl w:val="0"/>
          <w:numId w:val="2"/>
        </w:numPr>
        <w:spacing w:after="80"/>
      </w:pPr>
      <w:r>
        <w:t xml:space="preserve">Kein Leistungsverzeichnis-Modul, da individuelle Angebote je Bauvorhaben statt klassischer LVs erstellt werden.</w:t>
      </w:r>
    </w:p>
    <w:p>
      <w:pPr>
        <w:pStyle w:val="ListParagraph"/>
        <w:numPr>
          <w:ilvl w:val="0"/>
          <w:numId w:val="2"/>
        </w:numPr>
        <w:spacing w:after="80"/>
      </w:pPr>
      <w:r>
        <w:t xml:space="preserve">Keine automatische Stundenschätzung/Konfiguration nach Gebäudetyp — die Schätzung bleibt bewusst manuell je Projekt.</w:t>
      </w:r>
    </w:p>
    <w:p>
      <w:pPr>
        <w:pStyle w:val="Heading1"/>
      </w:pPr>
      <w:r>
        <w:t xml:space="preserve">4. Priorisierung</w:t>
      </w:r>
    </w:p>
    <w:p>
      <w:pPr>
        <w:spacing w:after="160"/>
      </w:pPr>
      <w:r>
        <w:t xml:space="preserve">Alle vier Themen wurden im Kickoff als etwa gleich wichtig eingestuft: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2"/>
              <w:left w:val="single" w:color="CCCCCC" w:sz="2"/>
              <w:bottom w:val="single" w:color="CCCCCC" w:sz="2"/>
              <w:right w:val="single" w:color="CCCCCC" w:sz="2"/>
            </w:tcBorders>
            <w:shd w:fill="EAF5EF" w:val="clear"/>
            <w:tcMar>
              <w:top w:type="dxa" w:w="100"/>
              <w:left w:type="dxa" w:w="140"/>
              <w:bottom w:type="dxa" w:w="100"/>
              <w:right w:type="dxa" w:w="140"/>
            </w:tcMar>
          </w:tcPr>
          <w:p>
            <w:r>
              <w:rPr>
                <w:b/>
                <w:bCs/>
              </w:rPr>
              <w:t xml:space="preserve">Prio</w:t>
            </w:r>
          </w:p>
        </w:tc>
        <w:tc>
          <w:tcPr>
            <w:tcW w:type="dxa" w:w="8460"/>
            <w:tcBorders>
              <w:top w:val="single" w:color="CCCCCC" w:sz="2"/>
              <w:left w:val="single" w:color="CCCCCC" w:sz="2"/>
              <w:bottom w:val="single" w:color="CCCCCC" w:sz="2"/>
              <w:right w:val="single" w:color="CCCCCC" w:sz="2"/>
            </w:tcBorders>
            <w:shd w:fill="EAF5EF" w:val="clear"/>
            <w:tcMar>
              <w:top w:type="dxa" w:w="100"/>
              <w:left w:type="dxa" w:w="140"/>
              <w:bottom w:type="dxa" w:w="100"/>
              <w:right w:type="dxa" w:w="140"/>
            </w:tcMar>
          </w:tcPr>
          <w:p>
            <w:r>
              <w:rPr>
                <w:b/>
                <w:bCs/>
              </w:rPr>
              <w:t xml:space="preserve">Thema</w:t>
            </w:r>
          </w:p>
        </w:tc>
      </w:tr>
      <w:tr>
        <w:tc>
          <w:tcPr>
            <w:tcW w:type="dxa" w:w="9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1</w:t>
            </w:r>
          </w:p>
        </w:tc>
        <w:tc>
          <w:tcPr>
            <w:tcW w:type="dxa" w:w="8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Automatisierte Meilenstein-→-Rechnungs-Pipeline — aktuell größter Schmerzpunkt, da manuell und fehleranfällig.</w:t>
            </w:r>
          </w:p>
        </w:tc>
      </w:tr>
      <w:tr>
        <w:tc>
          <w:tcPr>
            <w:tcW w:type="dxa" w:w="9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2</w:t>
            </w:r>
          </w:p>
        </w:tc>
        <w:tc>
          <w:tcPr>
            <w:tcW w:type="dxa" w:w="8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Projekt-Tracking-Übersicht — auf einen Blick erkennen, welche Projekte auf Kundenrückmeldung warten oder nachgefasst werden müssen.</w:t>
            </w:r>
          </w:p>
        </w:tc>
      </w:tr>
      <w:tr>
        <w:tc>
          <w:tcPr>
            <w:tcW w:type="dxa" w:w="9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3</w:t>
            </w:r>
          </w:p>
        </w:tc>
        <w:tc>
          <w:tcPr>
            <w:tcW w:type="dxa" w:w="8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Aufgaben- und Ressourcenverteilung — Ersatz für den nicht mehr funktionierenden Planner-Ansatz.</w:t>
            </w:r>
          </w:p>
        </w:tc>
      </w:tr>
      <w:tr>
        <w:tc>
          <w:tcPr>
            <w:tcW w:type="dxa" w:w="90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4</w:t>
            </w:r>
          </w:p>
        </w:tc>
        <w:tc>
          <w:tcPr>
            <w:tcW w:type="dxa" w:w="8460"/>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b w:val="false"/>
                <w:bCs w:val="false"/>
              </w:rPr>
              <w:t xml:space="preserve">Zusammenführung der Controlling-Excel-Tabellen in ein Dashboard.</w:t>
            </w:r>
          </w:p>
        </w:tc>
      </w:tr>
    </w:tbl>
    <w:p>
      <w:pPr>
        <w:pStyle w:val="Heading1"/>
      </w:pPr>
      <w:r>
        <w:t xml:space="preserve">5. Liefergegenstand der aktuellen Phase</w:t>
      </w:r>
    </w:p>
    <w:p>
      <w:pPr>
        <w:spacing w:after="160"/>
      </w:pPr>
      <w:r>
        <w:t xml:space="preserve">In dieser Phase entsteht noch kein produktives System, sondern die Entscheidungsgrundlage für den Bau-Auftrag:</w:t>
      </w:r>
    </w:p>
    <w:p>
      <w:pPr>
        <w:pStyle w:val="ListParagraph"/>
        <w:numPr>
          <w:ilvl w:val="0"/>
          <w:numId w:val="2"/>
        </w:numPr>
        <w:spacing w:after="80"/>
      </w:pPr>
      <w:r>
        <w:t xml:space="preserve">Klickbares Mockup (Look &amp; Feel) der Kernbereiche ohne echte Backend-Funktionalität.</w:t>
      </w:r>
    </w:p>
    <w:p>
      <w:pPr>
        <w:pStyle w:val="ListParagraph"/>
        <w:numPr>
          <w:ilvl w:val="0"/>
          <w:numId w:val="2"/>
        </w:numPr>
        <w:spacing w:after="80"/>
      </w:pPr>
      <w:r>
        <w:t xml:space="preserve">Aufwandsabschätzung / Angebot für den einmaligen Bau des Systems.</w:t>
      </w:r>
    </w:p>
    <w:p>
      <w:pPr>
        <w:pStyle w:val="ListParagraph"/>
        <w:numPr>
          <w:ilvl w:val="0"/>
          <w:numId w:val="2"/>
        </w:numPr>
        <w:spacing w:after="80"/>
      </w:pPr>
      <w:r>
        <w:t xml:space="preserve">Laufende monatliche Kosten (Hosting/Betrieb).</w:t>
      </w:r>
    </w:p>
    <w:p>
      <w:pPr>
        <w:pStyle w:val="ListParagraph"/>
        <w:numPr>
          <w:ilvl w:val="0"/>
          <w:numId w:val="2"/>
        </w:numPr>
        <w:spacing w:after="80"/>
      </w:pPr>
      <w:r>
        <w:t xml:space="preserve">ROI-Betrachtung: Gegenüberstellung von Kosten und Nutzen, z. B. eingesparter manueller Aufwand und vermiedene verpasste Rechnungen.</w:t>
      </w:r>
    </w:p>
    <w:p>
      <w:pPr>
        <w:pStyle w:val="Heading1"/>
      </w:pPr>
      <w:r>
        <w:t xml:space="preserve">6. Offene Punkte</w:t>
      </w:r>
    </w:p>
    <w:p>
      <w:pPr>
        <w:pStyle w:val="ListParagraph"/>
        <w:numPr>
          <w:ilvl w:val="0"/>
          <w:numId w:val="2"/>
        </w:numPr>
        <w:spacing w:after="80"/>
      </w:pPr>
      <w:r>
        <w:t xml:space="preserve">Exaktes Zeiterfassungsmodell (Tagesstempel vs. granulare Live-Zuordnung).</w:t>
      </w:r>
    </w:p>
    <w:p>
      <w:pPr>
        <w:pStyle w:val="ListParagraph"/>
        <w:numPr>
          <w:ilvl w:val="0"/>
          <w:numId w:val="2"/>
        </w:numPr>
        <w:spacing w:after="80"/>
      </w:pPr>
      <w:r>
        <w:t xml:space="preserve">Umgang mit Minder-/Überstunden und deren Zuordnung zur internen Kostenstelle.</w:t>
      </w:r>
    </w:p>
    <w:p>
      <w:pPr>
        <w:pStyle w:val="ListParagraph"/>
        <w:numPr>
          <w:ilvl w:val="0"/>
          <w:numId w:val="2"/>
        </w:numPr>
        <w:spacing w:after="80"/>
      </w:pPr>
      <w:r>
        <w:t xml:space="preserve">Umfang der Lexware-Ablösung gegenüber einer reinen Anbindung (Bankkonto-Sync, ggf. spätere Steuerberater-Schnittstelle).</w:t>
      </w:r>
    </w:p>
    <w:p>
      <w:pPr>
        <w:pStyle w:val="ListParagraph"/>
        <w:numPr>
          <w:ilvl w:val="0"/>
          <w:numId w:val="2"/>
        </w:numPr>
        <w:spacing w:after="80"/>
      </w:pPr>
      <w:r>
        <w:t xml:space="preserve">Detailausgestaltung der Vorlagen-Varianten je Kundentyp (Einfamilienhaus, Mehrfamilienhaus, Sonderfälle).</w:t>
      </w:r>
    </w:p>
    <w:p>
      <w:pPr>
        <w:pStyle w:val="Heading1"/>
      </w:pPr>
      <w:r>
        <w:t xml:space="preserve">7. Nächste Schritte</w:t>
      </w:r>
    </w:p>
    <w:p>
      <w:pPr>
        <w:pStyle w:val="ListParagraph"/>
        <w:numPr>
          <w:ilvl w:val="0"/>
          <w:numId w:val="2"/>
        </w:numPr>
        <w:spacing w:after="80"/>
      </w:pPr>
      <w:r>
        <w:t xml:space="preserve">Eneffplan liefert die zwei bestehenden Excel-Vorlagen (Controlling, Projektübersicht) mit Spaltenstruktur.</w:t>
      </w:r>
    </w:p>
    <w:p>
      <w:pPr>
        <w:pStyle w:val="ListParagraph"/>
        <w:numPr>
          <w:ilvl w:val="0"/>
          <w:numId w:val="2"/>
        </w:numPr>
        <w:spacing w:after="80"/>
      </w:pPr>
      <w:r>
        <w:t xml:space="preserve">Rückmeldung zu diesem Lastenheft, insbesondere zu Abschnitt 6.</w:t>
      </w:r>
    </w:p>
    <w:p>
      <w:pPr>
        <w:pStyle w:val="ListParagraph"/>
        <w:numPr>
          <w:ilvl w:val="0"/>
          <w:numId w:val="2"/>
        </w:numPr>
        <w:spacing w:after="80"/>
      </w:pPr>
      <w:r>
        <w:rPr>
          <w:b/>
          <w:bCs/>
        </w:rPr>
        <w:t xml:space="preserve">Folgetermin: </w:t>
      </w:r>
      <w:r>
        <w:t xml:space="preserve">27. Oktober 2026, 8:30 Uhr — Vorstellung von Mockup, Aufwandsschätzung, laufenden Kosten und ROI-Betrachtung.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Entwurf zur Abstimmung — v0.1</w:t>
    </w:r>
    <w:r>
      <w:rPr>
        <w:color w:val="595959"/>
        <w:sz w:val="16"/>
        <w:szCs w:val="16"/>
      </w:rPr>
      <w:t xml:space="preserve">	Seite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Lastenheft — Digitales Projekt- &amp; Kundenmanagementsystem</w:t>
    </w:r>
    <w:r>
      <w:rPr>
        <w:b/>
        <w:bCs/>
        <w:color w:val="595959"/>
        <w:sz w:val="16"/>
        <w:szCs w:val="16"/>
      </w:rPr>
      <w:t xml:space="preserve">	Eneffplan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44E" w:sz="6" w:space="4"/>
      </w:pBdr>
      <w:spacing w:after="200" w:before="360"/>
      <w:outlineLvl w:val="0"/>
    </w:pPr>
    <w:rPr>
      <w:rFonts w:ascii="Calibri" w:cs="Calibri" w:eastAsia="Calibri" w:hAnsi="Calibri"/>
      <w:b/>
      <w:bCs/>
      <w:color w:val="0A6543"/>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6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2026-09-21T10:36:59.680Z</dcterms:created>
  <dcterms:modified xsi:type="dcterms:W3CDTF">2026-09-21T10:36:59.681Z</dcterms:modified>
</cp:coreProperties>
</file>

<file path=docProps/custom.xml><?xml version="1.0" encoding="utf-8"?>
<Properties xmlns="http://schemas.openxmlformats.org/officeDocument/2006/custom-properties" xmlns:vt="http://schemas.openxmlformats.org/officeDocument/2006/docPropsVTypes"/>
</file>