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Longitudinal PhantomX CT’de Organ Radyomik Ölçümlerinin</w:t>
        <w:br/>
        <w:t>Registration-Based Spatial Standardization’ı</w:t>
      </w:r>
    </w:p>
    <w:p>
      <w:pPr>
        <w:jc w:val="center"/>
      </w:pPr>
      <w:r>
        <w:rPr>
          <w:i/>
        </w:rPr>
        <w:t>V6 analiz raporu | 6 Ekim 2026</w:t>
      </w:r>
    </w:p>
    <w:p/>
    <w:p>
      <w:pPr>
        <w:pStyle w:val="Heading1"/>
      </w:pPr>
      <w:r>
        <w:t>Özet</w:t>
      </w:r>
    </w:p>
    <w:p>
      <w:r>
        <w:t>Bu çalışmada PhantomX longitudinal PCCT görüntülerinde spleen ve aorta maskelerinin fiziksel koordinat farklılıkları ve registration’ın radyomik tekrarlanabilirliğe etkisi incelendi. Toplam 88 moving seri, 20260805 take1 referansına karşı değerlendirildi. Registration sonrası ortalama Dice spleen için 0.257’ten 0.955’e, aorta için 0.260’ten 0.923’e yükseldi. En güvenilir fallback, vertebra/kaburga/sternum centroid’lerinden türetilen landmark rigid dönüşümü oldu. Bununla birlikte, radiomic feature tekrarlanabilirliği feature ailesine göre değişti; registration bütün feature’ları iyileştirmedi.</w:t>
      </w:r>
    </w:p>
    <w:p>
      <w:pPr>
        <w:pStyle w:val="Heading1"/>
      </w:pPr>
      <w:r>
        <w:t>Araştırma Sorusu</w:t>
      </w:r>
    </w:p>
    <w:p>
      <w:r>
        <w:t>Longitudinal CT’de explicit rigid registration, registration-free DICOM world-space yaklaşımına kıyasla organ maskesi hizasını ve organ-level radiomic feature tekrarlanabilirliğini iyileştiriyor mu?</w:t>
      </w:r>
    </w:p>
    <w:p>
      <w:pPr>
        <w:pStyle w:val="Heading1"/>
      </w:pPr>
      <w:r>
        <w:t>Veri ve Değerlendirme Tasarımı</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Öğe</w:t>
            </w:r>
          </w:p>
        </w:tc>
        <w:tc>
          <w:tcPr>
            <w:tcW w:type="dxa" w:w="4968"/>
            <w:vAlign w:val="center"/>
          </w:tcPr>
          <w:p>
            <w:r>
              <w:rPr>
                <w:b/>
              </w:rPr>
              <w:t>Açıklama</w:t>
            </w:r>
          </w:p>
        </w:tc>
      </w:tr>
      <w:tr>
        <w:tc>
          <w:tcPr>
            <w:tcW w:type="dxa" w:w="4968"/>
            <w:vAlign w:val="center"/>
          </w:tcPr>
          <w:p>
            <w:r>
              <w:t>Veri</w:t>
            </w:r>
          </w:p>
        </w:tc>
        <w:tc>
          <w:tcPr>
            <w:tcW w:type="dxa" w:w="4968"/>
            <w:vAlign w:val="center"/>
          </w:tcPr>
          <w:p>
            <w:r>
              <w:t>22 PhantomX oturumu; 89 seri</w:t>
            </w:r>
          </w:p>
        </w:tc>
      </w:tr>
      <w:tr>
        <w:tc>
          <w:tcPr>
            <w:tcW w:type="dxa" w:w="4968"/>
            <w:vAlign w:val="center"/>
          </w:tcPr>
          <w:p>
            <w:r>
              <w:t>Analiz pair’i</w:t>
            </w:r>
          </w:p>
        </w:tc>
        <w:tc>
          <w:tcPr>
            <w:tcW w:type="dxa" w:w="4968"/>
            <w:vAlign w:val="center"/>
          </w:tcPr>
          <w:p>
            <w:r>
              <w:t>1 fixed referans (20260805 take1) + 88 moving seri</w:t>
            </w:r>
          </w:p>
        </w:tc>
      </w:tr>
      <w:tr>
        <w:tc>
          <w:tcPr>
            <w:tcW w:type="dxa" w:w="4968"/>
            <w:vAlign w:val="center"/>
          </w:tcPr>
          <w:p>
            <w:r>
              <w:t>Protokol</w:t>
            </w:r>
          </w:p>
        </w:tc>
        <w:tc>
          <w:tcPr>
            <w:tcW w:type="dxa" w:w="4968"/>
            <w:vAlign w:val="center"/>
          </w:tcPr>
          <w:p>
            <w:r>
              <w:t>NAEOTOM Alpha PCCT, Q3/Qr40f, 120 kV, 100 mAs, 300 mm FOV, 1 mm</w:t>
            </w:r>
          </w:p>
        </w:tc>
      </w:tr>
      <w:tr>
        <w:tc>
          <w:tcPr>
            <w:tcW w:type="dxa" w:w="4968"/>
            <w:vAlign w:val="center"/>
          </w:tcPr>
          <w:p>
            <w:r>
              <w:t>Hedef organlar</w:t>
            </w:r>
          </w:p>
        </w:tc>
        <w:tc>
          <w:tcPr>
            <w:tcW w:type="dxa" w:w="4968"/>
            <w:vAlign w:val="center"/>
          </w:tcPr>
          <w:p>
            <w:r>
              <w:t>Spleen (label 1), aorta (label 52)</w:t>
            </w:r>
          </w:p>
        </w:tc>
      </w:tr>
      <w:tr>
        <w:tc>
          <w:tcPr>
            <w:tcW w:type="dxa" w:w="4968"/>
            <w:vAlign w:val="center"/>
          </w:tcPr>
          <w:p>
            <w:r>
              <w:t>Geometrik metrikler</w:t>
            </w:r>
          </w:p>
        </w:tc>
        <w:tc>
          <w:tcPr>
            <w:tcW w:type="dxa" w:w="4968"/>
            <w:vAlign w:val="center"/>
          </w:tcPr>
          <w:p>
            <w:r>
              <w:t>Dice, centroid displacement, HD95, ASSD</w:t>
            </w:r>
          </w:p>
        </w:tc>
      </w:tr>
      <w:tr>
        <w:tc>
          <w:tcPr>
            <w:tcW w:type="dxa" w:w="4968"/>
            <w:vAlign w:val="center"/>
          </w:tcPr>
          <w:p>
            <w:r>
              <w:t>Radiomics</w:t>
            </w:r>
          </w:p>
        </w:tc>
        <w:tc>
          <w:tcPr>
            <w:tcW w:type="dxa" w:w="4968"/>
            <w:vAlign w:val="center"/>
          </w:tcPr>
          <w:p>
            <w:r>
              <w:t>MIRP 2.5.0, IBSI ayarları; ayrı 2D ve 3D</w:t>
            </w:r>
          </w:p>
        </w:tc>
      </w:tr>
    </w:tbl>
    <w:p/>
    <w:p>
      <w:pPr>
        <w:pStyle w:val="Heading1"/>
      </w:pPr>
      <w:r>
        <w:t>Kullanılan Yöntem</w:t>
      </w:r>
    </w:p>
    <w:p>
      <w:r>
        <w:t>DICOM geometri bilgisi korunarak CT ve multi-label maskeler fiziksel/world koordinatlarda karşılaştırıldı. Hedef organ centroid displacement’ı 5 mm veya altındaysa identity/world-space sonuç korundu. Büyük farklarda önce correlation tabanlı rigid registration denendi. Registration QC’si, hedef organ Dice’ına göre değil bağımsız vertebra, kaburga ve sternum maskeleri üzerinden yapıldı. Rigid sonuç QC’yi geçmediğinde landmark centroid’lerinden Kabsch/SVD rigid dönüşümü; bu da geçmezse translation fallback denendi. Hiçbir aday QC’yi geçmezse identity dönüşümü korundu. CT linear, label maskeler nearest-neighbor interpolation ile fixed grid’e taşındı.</w:t>
      </w:r>
    </w:p>
    <w:p>
      <w:r>
        <w:t>Aday dönüşümün kabulünde stabil Dice’ın artması ve centroid displacement, HD95, ASSD değerlerinin tanımlı toleranslarda kalması şart koşuldu. Böylece hedef organ maskeleri registration’ı seçmek için kullanılmadı.</w:t>
      </w:r>
    </w:p>
    <w:p>
      <w:pPr>
        <w:pStyle w:val="Heading1"/>
      </w:pPr>
      <w:r>
        <w:t>Dice Eşiği ve Yorum</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Organ</w:t>
            </w:r>
          </w:p>
        </w:tc>
        <w:tc>
          <w:tcPr>
            <w:tcW w:type="dxa" w:w="2484"/>
            <w:vAlign w:val="center"/>
          </w:tcPr>
          <w:p>
            <w:r>
              <w:rPr>
                <w:b/>
              </w:rPr>
              <w:t>Aynı oturum median Dice</w:t>
            </w:r>
          </w:p>
        </w:tc>
        <w:tc>
          <w:tcPr>
            <w:tcW w:type="dxa" w:w="2484"/>
            <w:vAlign w:val="center"/>
          </w:tcPr>
          <w:p>
            <w:r>
              <w:rPr>
                <w:b/>
              </w:rPr>
              <w:t>Gözlenen maksimum Dice</w:t>
            </w:r>
          </w:p>
        </w:tc>
        <w:tc>
          <w:tcPr>
            <w:tcW w:type="dxa" w:w="2484"/>
            <w:vAlign w:val="center"/>
          </w:tcPr>
          <w:p>
            <w:r>
              <w:rPr>
                <w:b/>
              </w:rPr>
              <w:t>V6 ortalama final Dice</w:t>
            </w:r>
          </w:p>
        </w:tc>
      </w:tr>
      <w:tr>
        <w:tc>
          <w:tcPr>
            <w:tcW w:type="dxa" w:w="2484"/>
            <w:vAlign w:val="center"/>
          </w:tcPr>
          <w:p>
            <w:r>
              <w:t>Spleen</w:t>
            </w:r>
          </w:p>
        </w:tc>
        <w:tc>
          <w:tcPr>
            <w:tcW w:type="dxa" w:w="2484"/>
            <w:vAlign w:val="center"/>
          </w:tcPr>
          <w:p>
            <w:r>
              <w:t>0.9714</w:t>
            </w:r>
          </w:p>
        </w:tc>
        <w:tc>
          <w:tcPr>
            <w:tcW w:type="dxa" w:w="2484"/>
            <w:vAlign w:val="center"/>
          </w:tcPr>
          <w:p>
            <w:r>
              <w:t>0.9962</w:t>
            </w:r>
          </w:p>
        </w:tc>
        <w:tc>
          <w:tcPr>
            <w:tcW w:type="dxa" w:w="2484"/>
            <w:vAlign w:val="center"/>
          </w:tcPr>
          <w:p>
            <w:r>
              <w:t>0.9551</w:t>
            </w:r>
          </w:p>
        </w:tc>
      </w:tr>
      <w:tr>
        <w:tc>
          <w:tcPr>
            <w:tcW w:type="dxa" w:w="2484"/>
            <w:vAlign w:val="center"/>
          </w:tcPr>
          <w:p>
            <w:r>
              <w:t>Aorta</w:t>
            </w:r>
          </w:p>
        </w:tc>
        <w:tc>
          <w:tcPr>
            <w:tcW w:type="dxa" w:w="2484"/>
            <w:vAlign w:val="center"/>
          </w:tcPr>
          <w:p>
            <w:r>
              <w:t>0.9426</w:t>
            </w:r>
          </w:p>
        </w:tc>
        <w:tc>
          <w:tcPr>
            <w:tcW w:type="dxa" w:w="2484"/>
            <w:vAlign w:val="center"/>
          </w:tcPr>
          <w:p>
            <w:r>
              <w:t>0.9892</w:t>
            </w:r>
          </w:p>
        </w:tc>
        <w:tc>
          <w:tcPr>
            <w:tcW w:type="dxa" w:w="2484"/>
            <w:vAlign w:val="center"/>
          </w:tcPr>
          <w:p>
            <w:r>
              <w:t>0.9229</w:t>
            </w:r>
          </w:p>
        </w:tc>
      </w:tr>
    </w:tbl>
    <w:p/>
    <w:p>
      <w:r>
        <w:t>Dice = 2|A∩B|/(|A|+|B|), yani iki binary maskenin voxel overlap ölçüsüdür. Dice 1’e yaklaştıkça overlap artar; tek başına ground-truth segmentation doğruluğunu veya radiomic tekrarlanabilirliği kanıtlamaz. Aynı oturumdaki TotalSegmentator maskelerinde aorta için gözlenen maksimum Dice 0.99’un altında olduğundan, tüm pair’lerde Dice≥0.99 şartı bu veriyle gerçekçi bir kabul kriteri değildir.</w:t>
      </w:r>
    </w:p>
    <w:p>
      <w:pPr>
        <w:pStyle w:val="Heading1"/>
      </w:pPr>
      <w:r>
        <w:t>Registration Sonuçları</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Ölçüm</w:t>
            </w:r>
          </w:p>
        </w:tc>
        <w:tc>
          <w:tcPr>
            <w:tcW w:type="dxa" w:w="3312"/>
            <w:vAlign w:val="center"/>
          </w:tcPr>
          <w:p>
            <w:r>
              <w:rPr>
                <w:b/>
              </w:rPr>
              <w:t>Spleen</w:t>
            </w:r>
          </w:p>
        </w:tc>
        <w:tc>
          <w:tcPr>
            <w:tcW w:type="dxa" w:w="3312"/>
            <w:vAlign w:val="center"/>
          </w:tcPr>
          <w:p>
            <w:r>
              <w:rPr>
                <w:b/>
              </w:rPr>
              <w:t>Aorta</w:t>
            </w:r>
          </w:p>
        </w:tc>
      </w:tr>
      <w:tr>
        <w:tc>
          <w:tcPr>
            <w:tcW w:type="dxa" w:w="3312"/>
            <w:vAlign w:val="center"/>
          </w:tcPr>
          <w:p>
            <w:r>
              <w:t>Ortalama Dice, öncesi</w:t>
            </w:r>
          </w:p>
        </w:tc>
        <w:tc>
          <w:tcPr>
            <w:tcW w:type="dxa" w:w="3312"/>
            <w:vAlign w:val="center"/>
          </w:tcPr>
          <w:p>
            <w:r>
              <w:t>0.2566</w:t>
            </w:r>
          </w:p>
        </w:tc>
        <w:tc>
          <w:tcPr>
            <w:tcW w:type="dxa" w:w="3312"/>
            <w:vAlign w:val="center"/>
          </w:tcPr>
          <w:p>
            <w:r>
              <w:t>0.2604</w:t>
            </w:r>
          </w:p>
        </w:tc>
      </w:tr>
      <w:tr>
        <w:tc>
          <w:tcPr>
            <w:tcW w:type="dxa" w:w="3312"/>
            <w:vAlign w:val="center"/>
          </w:tcPr>
          <w:p>
            <w:r>
              <w:t>Ortalama Dice, V6 sonrası</w:t>
            </w:r>
          </w:p>
        </w:tc>
        <w:tc>
          <w:tcPr>
            <w:tcW w:type="dxa" w:w="3312"/>
            <w:vAlign w:val="center"/>
          </w:tcPr>
          <w:p>
            <w:r>
              <w:t>0.9551</w:t>
            </w:r>
          </w:p>
        </w:tc>
        <w:tc>
          <w:tcPr>
            <w:tcW w:type="dxa" w:w="3312"/>
            <w:vAlign w:val="center"/>
          </w:tcPr>
          <w:p>
            <w:r>
              <w:t>0.9229</w:t>
            </w:r>
          </w:p>
        </w:tc>
      </w:tr>
      <w:tr>
        <w:tc>
          <w:tcPr>
            <w:tcW w:type="dxa" w:w="3312"/>
            <w:vAlign w:val="center"/>
          </w:tcPr>
          <w:p>
            <w:r>
              <w:t>Dice ≥ 0.90 pair sayısı</w:t>
            </w:r>
          </w:p>
        </w:tc>
        <w:tc>
          <w:tcPr>
            <w:tcW w:type="dxa" w:w="3312"/>
            <w:vAlign w:val="center"/>
          </w:tcPr>
          <w:p>
            <w:r>
              <w:t>85 / 88</w:t>
            </w:r>
          </w:p>
        </w:tc>
        <w:tc>
          <w:tcPr>
            <w:tcW w:type="dxa" w:w="3312"/>
            <w:vAlign w:val="center"/>
          </w:tcPr>
          <w:p>
            <w:r>
              <w:t>84 / 88</w:t>
            </w:r>
          </w:p>
        </w:tc>
      </w:tr>
      <w:tr>
        <w:tc>
          <w:tcPr>
            <w:tcW w:type="dxa" w:w="3312"/>
            <w:vAlign w:val="center"/>
          </w:tcPr>
          <w:p>
            <w:r>
              <w:t>Dice = 0 pair sayısı</w:t>
            </w:r>
          </w:p>
        </w:tc>
        <w:tc>
          <w:tcPr>
            <w:tcW w:type="dxa" w:w="3312"/>
            <w:vAlign w:val="center"/>
          </w:tcPr>
          <w:p>
            <w:r>
              <w:t>0</w:t>
            </w:r>
          </w:p>
        </w:tc>
        <w:tc>
          <w:tcPr>
            <w:tcW w:type="dxa" w:w="3312"/>
            <w:vAlign w:val="center"/>
          </w:tcPr>
          <w:p>
            <w:r>
              <w:t>0</w:t>
            </w:r>
          </w:p>
        </w:tc>
      </w:tr>
    </w:tbl>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rPr>
                <w:b/>
              </w:rPr>
              <w:t>V6 dönüşüm yöntemi</w:t>
            </w:r>
          </w:p>
        </w:tc>
        <w:tc>
          <w:tcPr>
            <w:tcW w:type="dxa" w:w="4968"/>
            <w:vAlign w:val="center"/>
          </w:tcPr>
          <w:p>
            <w:r>
              <w:rPr>
                <w:b/>
              </w:rPr>
              <w:t>Pair sayısı</w:t>
            </w:r>
          </w:p>
        </w:tc>
      </w:tr>
      <w:tr>
        <w:tc>
          <w:tcPr>
            <w:tcW w:type="dxa" w:w="4968"/>
            <w:vAlign w:val="center"/>
          </w:tcPr>
          <w:p>
            <w:r>
              <w:t>landmark_rigid_fallback</w:t>
            </w:r>
          </w:p>
        </w:tc>
        <w:tc>
          <w:tcPr>
            <w:tcW w:type="dxa" w:w="4968"/>
            <w:vAlign w:val="center"/>
          </w:tcPr>
          <w:p>
            <w:r>
              <w:t>78</w:t>
            </w:r>
          </w:p>
        </w:tc>
      </w:tr>
      <w:tr>
        <w:tc>
          <w:tcPr>
            <w:tcW w:type="dxa" w:w="4968"/>
            <w:vAlign w:val="center"/>
          </w:tcPr>
          <w:p>
            <w:r>
              <w:t>rigid</w:t>
            </w:r>
          </w:p>
        </w:tc>
        <w:tc>
          <w:tcPr>
            <w:tcW w:type="dxa" w:w="4968"/>
            <w:vAlign w:val="center"/>
          </w:tcPr>
          <w:p>
            <w:r>
              <w:t>1</w:t>
            </w:r>
          </w:p>
        </w:tc>
      </w:tr>
      <w:tr>
        <w:tc>
          <w:tcPr>
            <w:tcW w:type="dxa" w:w="4968"/>
            <w:vAlign w:val="center"/>
          </w:tcPr>
          <w:p>
            <w:r>
              <w:t>identity</w:t>
            </w:r>
          </w:p>
        </w:tc>
        <w:tc>
          <w:tcPr>
            <w:tcW w:type="dxa" w:w="4968"/>
            <w:vAlign w:val="center"/>
          </w:tcPr>
          <w:p>
            <w:r>
              <w:t>9</w:t>
            </w:r>
          </w:p>
        </w:tc>
      </w:tr>
    </w:tbl>
    <w:p/>
    <w:p>
      <w:r>
        <w:drawing>
          <wp:inline xmlns:a="http://schemas.openxmlformats.org/drawingml/2006/main" xmlns:pic="http://schemas.openxmlformats.org/drawingml/2006/picture">
            <wp:extent cx="5852160" cy="3277210"/>
            <wp:docPr id="1" name="Picture 1"/>
            <wp:cNvGraphicFramePr>
              <a:graphicFrameLocks noChangeAspect="1"/>
            </wp:cNvGraphicFramePr>
            <a:graphic>
              <a:graphicData uri="http://schemas.openxmlformats.org/drawingml/2006/picture">
                <pic:pic>
                  <pic:nvPicPr>
                    <pic:cNvPr id="0" name="v6_dice_summary.png"/>
                    <pic:cNvPicPr/>
                  </pic:nvPicPr>
                  <pic:blipFill>
                    <a:blip r:embed="rId9"/>
                    <a:stretch>
                      <a:fillRect/>
                    </a:stretch>
                  </pic:blipFill>
                  <pic:spPr>
                    <a:xfrm>
                      <a:off x="0" y="0"/>
                      <a:ext cx="5852160" cy="3277210"/>
                    </a:xfrm>
                    <a:prstGeom prst="rect"/>
                  </pic:spPr>
                </pic:pic>
              </a:graphicData>
            </a:graphic>
          </wp:inline>
        </w:drawing>
      </w:r>
    </w:p>
    <w:p>
      <w:pPr>
        <w:pStyle w:val="Caption"/>
        <w:jc w:val="center"/>
      </w:pPr>
      <w:r>
        <w:t>Şekil 1. V6 registration öncesi ve sonrası ortalama organ Dice değerleri.</w:t>
      </w:r>
    </w:p>
    <w:p>
      <w:r>
        <w:drawing>
          <wp:inline xmlns:a="http://schemas.openxmlformats.org/drawingml/2006/main" xmlns:pic="http://schemas.openxmlformats.org/drawingml/2006/picture">
            <wp:extent cx="5852160" cy="3277210"/>
            <wp:docPr id="2" name="Picture 2"/>
            <wp:cNvGraphicFramePr>
              <a:graphicFrameLocks noChangeAspect="1"/>
            </wp:cNvGraphicFramePr>
            <a:graphic>
              <a:graphicData uri="http://schemas.openxmlformats.org/drawingml/2006/picture">
                <pic:pic>
                  <pic:nvPicPr>
                    <pic:cNvPr id="0" name="v6_method_counts.png"/>
                    <pic:cNvPicPr/>
                  </pic:nvPicPr>
                  <pic:blipFill>
                    <a:blip r:embed="rId10"/>
                    <a:stretch>
                      <a:fillRect/>
                    </a:stretch>
                  </pic:blipFill>
                  <pic:spPr>
                    <a:xfrm>
                      <a:off x="0" y="0"/>
                      <a:ext cx="5852160" cy="3277210"/>
                    </a:xfrm>
                    <a:prstGeom prst="rect"/>
                  </pic:spPr>
                </pic:pic>
              </a:graphicData>
            </a:graphic>
          </wp:inline>
        </w:drawing>
      </w:r>
    </w:p>
    <w:p>
      <w:pPr>
        <w:pStyle w:val="Caption"/>
        <w:jc w:val="center"/>
      </w:pPr>
      <w:r>
        <w:t>Şekil 2. V6’da pair başına kullanılan dönüşüm yöntemi.</w:t>
      </w:r>
    </w:p>
    <w:p>
      <w:pPr>
        <w:pStyle w:val="Heading1"/>
      </w:pPr>
      <w:r>
        <w:t>Düşük Dice Pair’lerinin Görsel QC’si</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rPr>
                <w:b/>
              </w:rPr>
              <w:t>Pair</w:t>
            </w:r>
          </w:p>
        </w:tc>
        <w:tc>
          <w:tcPr>
            <w:tcW w:type="dxa" w:w="3312"/>
            <w:vAlign w:val="center"/>
          </w:tcPr>
          <w:p>
            <w:r>
              <w:rPr>
                <w:b/>
              </w:rPr>
              <w:t>Spleen Dice</w:t>
            </w:r>
          </w:p>
        </w:tc>
        <w:tc>
          <w:tcPr>
            <w:tcW w:type="dxa" w:w="3312"/>
            <w:vAlign w:val="center"/>
          </w:tcPr>
          <w:p>
            <w:r>
              <w:rPr>
                <w:b/>
              </w:rPr>
              <w:t>Aorta Dice</w:t>
            </w:r>
          </w:p>
        </w:tc>
      </w:tr>
      <w:tr>
        <w:tc>
          <w:tcPr>
            <w:tcW w:type="dxa" w:w="3312"/>
            <w:vAlign w:val="center"/>
          </w:tcPr>
          <w:p>
            <w:r>
              <w:t>20260410_PCCT_Aorta_Spleen / USZ_Siemens_Healthineers_NAEOTOM_Alpha_20260410_Q3_Qr40f_120_100_300_1_PolyE_take3</w:t>
            </w:r>
          </w:p>
        </w:tc>
        <w:tc>
          <w:tcPr>
            <w:tcW w:type="dxa" w:w="3312"/>
            <w:vAlign w:val="center"/>
          </w:tcPr>
          <w:p>
            <w:r>
              <w:t>0.707</w:t>
            </w:r>
          </w:p>
        </w:tc>
        <w:tc>
          <w:tcPr>
            <w:tcW w:type="dxa" w:w="3312"/>
            <w:vAlign w:val="center"/>
          </w:tcPr>
          <w:p>
            <w:r>
              <w:t>0.485</w:t>
            </w:r>
          </w:p>
        </w:tc>
      </w:tr>
      <w:tr>
        <w:tc>
          <w:tcPr>
            <w:tcW w:type="dxa" w:w="3312"/>
            <w:vAlign w:val="center"/>
          </w:tcPr>
          <w:p>
            <w:r>
              <w:t>20260707_PCCT_Aorta_Spleen / USZ_Siemens_Healthineers_NAEOTOM_Alpha_20260707_Q3_Qr40f_120_100_300_1_PolyE_take2</w:t>
            </w:r>
          </w:p>
        </w:tc>
        <w:tc>
          <w:tcPr>
            <w:tcW w:type="dxa" w:w="3312"/>
            <w:vAlign w:val="center"/>
          </w:tcPr>
          <w:p>
            <w:r>
              <w:t>0.696</w:t>
            </w:r>
          </w:p>
        </w:tc>
        <w:tc>
          <w:tcPr>
            <w:tcW w:type="dxa" w:w="3312"/>
            <w:vAlign w:val="center"/>
          </w:tcPr>
          <w:p>
            <w:r>
              <w:t>0.796</w:t>
            </w:r>
          </w:p>
        </w:tc>
      </w:tr>
      <w:tr>
        <w:tc>
          <w:tcPr>
            <w:tcW w:type="dxa" w:w="3312"/>
            <w:vAlign w:val="center"/>
          </w:tcPr>
          <w:p>
            <w:r>
              <w:t>20260707_PCCT_Aorta_Spleen / USZ_Siemens_Healthineers_NAEOTOM_Alpha_20260707_Q3_Qr40f_120_100_300_1_PolyE_take3</w:t>
            </w:r>
          </w:p>
        </w:tc>
        <w:tc>
          <w:tcPr>
            <w:tcW w:type="dxa" w:w="3312"/>
            <w:vAlign w:val="center"/>
          </w:tcPr>
          <w:p>
            <w:r>
              <w:t>0.664</w:t>
            </w:r>
          </w:p>
        </w:tc>
        <w:tc>
          <w:tcPr>
            <w:tcW w:type="dxa" w:w="3312"/>
            <w:vAlign w:val="center"/>
          </w:tcPr>
          <w:p>
            <w:r>
              <w:t>0.775</w:t>
            </w:r>
          </w:p>
        </w:tc>
      </w:tr>
      <w:tr>
        <w:tc>
          <w:tcPr>
            <w:tcW w:type="dxa" w:w="3312"/>
            <w:vAlign w:val="center"/>
          </w:tcPr>
          <w:p>
            <w:r>
              <w:t>20260730_PCCT_Aorta_Spleen / USZ_Siemens_Healthineers_NAEOTOM_Alpha_20260730_Q3_Qr40f_120_100_300_1_PolyE_take5</w:t>
            </w:r>
          </w:p>
        </w:tc>
        <w:tc>
          <w:tcPr>
            <w:tcW w:type="dxa" w:w="3312"/>
            <w:vAlign w:val="center"/>
          </w:tcPr>
          <w:p>
            <w:r>
              <w:t>0.946</w:t>
            </w:r>
          </w:p>
        </w:tc>
        <w:tc>
          <w:tcPr>
            <w:tcW w:type="dxa" w:w="3312"/>
            <w:vAlign w:val="center"/>
          </w:tcPr>
          <w:p>
            <w:r>
              <w:t>0.878</w:t>
            </w:r>
          </w:p>
        </w:tc>
      </w:tr>
    </w:tbl>
    <w:p/>
    <w:p>
      <w:r>
        <w:t>20260410_PCCT_Aorta_Spleen / USZ_Siemens_Healthineers_NAEOTOM_Alpha_20260410_Q3_Qr40f_120_100_300_1_PolyE_take3 — spleen 0.707, aorta 0.485</w:t>
      </w:r>
    </w:p>
    <w:p>
      <w:r>
        <w:drawing>
          <wp:inline xmlns:a="http://schemas.openxmlformats.org/drawingml/2006/main" xmlns:pic="http://schemas.openxmlformats.org/drawingml/2006/picture">
            <wp:extent cx="5852160" cy="3601329"/>
            <wp:docPr id="3" name="Picture 3"/>
            <wp:cNvGraphicFramePr>
              <a:graphicFrameLocks noChangeAspect="1"/>
            </wp:cNvGraphicFramePr>
            <a:graphic>
              <a:graphicData uri="http://schemas.openxmlformats.org/drawingml/2006/picture">
                <pic:pic>
                  <pic:nvPicPr>
                    <pic:cNvPr id="0" name="20260410_PCCT_Aorta_Spleen__USZ_Siemens_Healthineers_NAEOTOM_Alpha_20260410_Q3_Qr40f_120_100_300_1_PolyE_take3.png"/>
                    <pic:cNvPicPr/>
                  </pic:nvPicPr>
                  <pic:blipFill>
                    <a:blip r:embed="rId11"/>
                    <a:stretch>
                      <a:fillRect/>
                    </a:stretch>
                  </pic:blipFill>
                  <pic:spPr>
                    <a:xfrm>
                      <a:off x="0" y="0"/>
                      <a:ext cx="5852160" cy="3601329"/>
                    </a:xfrm>
                    <a:prstGeom prst="rect"/>
                  </pic:spPr>
                </pic:pic>
              </a:graphicData>
            </a:graphic>
          </wp:inline>
        </w:drawing>
      </w:r>
    </w:p>
    <w:p>
      <w:pPr>
        <w:pStyle w:val="Caption"/>
        <w:jc w:val="center"/>
      </w:pPr>
      <w:r>
        <w:t>Şekil. Düşük overlap pair için identity ve registered maskelerin görsel karşılaştırması.</w:t>
      </w:r>
    </w:p>
    <w:p>
      <w:r>
        <w:t>20260707_PCCT_Aorta_Spleen / USZ_Siemens_Healthineers_NAEOTOM_Alpha_20260707_Q3_Qr40f_120_100_300_1_PolyE_take2 — spleen 0.696, aorta 0.796</w:t>
      </w:r>
    </w:p>
    <w:p>
      <w:r>
        <w:drawing>
          <wp:inline xmlns:a="http://schemas.openxmlformats.org/drawingml/2006/main" xmlns:pic="http://schemas.openxmlformats.org/drawingml/2006/picture">
            <wp:extent cx="5852160" cy="3601329"/>
            <wp:docPr id="4" name="Picture 4"/>
            <wp:cNvGraphicFramePr>
              <a:graphicFrameLocks noChangeAspect="1"/>
            </wp:cNvGraphicFramePr>
            <a:graphic>
              <a:graphicData uri="http://schemas.openxmlformats.org/drawingml/2006/picture">
                <pic:pic>
                  <pic:nvPicPr>
                    <pic:cNvPr id="0" name="20260707_PCCT_Aorta_Spleen__USZ_Siemens_Healthineers_NAEOTOM_Alpha_20260707_Q3_Qr40f_120_100_300_1_PolyE_take2.png"/>
                    <pic:cNvPicPr/>
                  </pic:nvPicPr>
                  <pic:blipFill>
                    <a:blip r:embed="rId12"/>
                    <a:stretch>
                      <a:fillRect/>
                    </a:stretch>
                  </pic:blipFill>
                  <pic:spPr>
                    <a:xfrm>
                      <a:off x="0" y="0"/>
                      <a:ext cx="5852160" cy="3601329"/>
                    </a:xfrm>
                    <a:prstGeom prst="rect"/>
                  </pic:spPr>
                </pic:pic>
              </a:graphicData>
            </a:graphic>
          </wp:inline>
        </w:drawing>
      </w:r>
    </w:p>
    <w:p>
      <w:pPr>
        <w:pStyle w:val="Caption"/>
        <w:jc w:val="center"/>
      </w:pPr>
      <w:r>
        <w:t>Şekil. Düşük overlap pair için identity ve registered maskelerin görsel karşılaştırması.</w:t>
      </w:r>
    </w:p>
    <w:p>
      <w:r>
        <w:t>20260707_PCCT_Aorta_Spleen / USZ_Siemens_Healthineers_NAEOTOM_Alpha_20260707_Q3_Qr40f_120_100_300_1_PolyE_take3 — spleen 0.664, aorta 0.775</w:t>
      </w:r>
    </w:p>
    <w:p>
      <w:r>
        <w:drawing>
          <wp:inline xmlns:a="http://schemas.openxmlformats.org/drawingml/2006/main" xmlns:pic="http://schemas.openxmlformats.org/drawingml/2006/picture">
            <wp:extent cx="5852160" cy="3601329"/>
            <wp:docPr id="5" name="Picture 5"/>
            <wp:cNvGraphicFramePr>
              <a:graphicFrameLocks noChangeAspect="1"/>
            </wp:cNvGraphicFramePr>
            <a:graphic>
              <a:graphicData uri="http://schemas.openxmlformats.org/drawingml/2006/picture">
                <pic:pic>
                  <pic:nvPicPr>
                    <pic:cNvPr id="0" name="20260707_PCCT_Aorta_Spleen__USZ_Siemens_Healthineers_NAEOTOM_Alpha_20260707_Q3_Qr40f_120_100_300_1_PolyE_take3.png"/>
                    <pic:cNvPicPr/>
                  </pic:nvPicPr>
                  <pic:blipFill>
                    <a:blip r:embed="rId13"/>
                    <a:stretch>
                      <a:fillRect/>
                    </a:stretch>
                  </pic:blipFill>
                  <pic:spPr>
                    <a:xfrm>
                      <a:off x="0" y="0"/>
                      <a:ext cx="5852160" cy="3601329"/>
                    </a:xfrm>
                    <a:prstGeom prst="rect"/>
                  </pic:spPr>
                </pic:pic>
              </a:graphicData>
            </a:graphic>
          </wp:inline>
        </w:drawing>
      </w:r>
    </w:p>
    <w:p>
      <w:pPr>
        <w:pStyle w:val="Caption"/>
        <w:jc w:val="center"/>
      </w:pPr>
      <w:r>
        <w:t>Şekil. Düşük overlap pair için identity ve registered maskelerin görsel karşılaştırması.</w:t>
      </w:r>
    </w:p>
    <w:p>
      <w:r>
        <w:t>20260730_PCCT_Aorta_Spleen / USZ_Siemens_Healthineers_NAEOTOM_Alpha_20260730_Q3_Qr40f_120_100_300_1_PolyE_take5 — spleen 0.946, aorta 0.878</w:t>
      </w:r>
    </w:p>
    <w:p>
      <w:r>
        <w:drawing>
          <wp:inline xmlns:a="http://schemas.openxmlformats.org/drawingml/2006/main" xmlns:pic="http://schemas.openxmlformats.org/drawingml/2006/picture">
            <wp:extent cx="5852160" cy="3601329"/>
            <wp:docPr id="6" name="Picture 6"/>
            <wp:cNvGraphicFramePr>
              <a:graphicFrameLocks noChangeAspect="1"/>
            </wp:cNvGraphicFramePr>
            <a:graphic>
              <a:graphicData uri="http://schemas.openxmlformats.org/drawingml/2006/picture">
                <pic:pic>
                  <pic:nvPicPr>
                    <pic:cNvPr id="0" name="20260730_PCCT_Aorta_Spleen__USZ_Siemens_Healthineers_NAEOTOM_Alpha_20260730_Q3_Qr40f_120_100_300_1_PolyE_take5.png"/>
                    <pic:cNvPicPr/>
                  </pic:nvPicPr>
                  <pic:blipFill>
                    <a:blip r:embed="rId14"/>
                    <a:stretch>
                      <a:fillRect/>
                    </a:stretch>
                  </pic:blipFill>
                  <pic:spPr>
                    <a:xfrm>
                      <a:off x="0" y="0"/>
                      <a:ext cx="5852160" cy="3601329"/>
                    </a:xfrm>
                    <a:prstGeom prst="rect"/>
                  </pic:spPr>
                </pic:pic>
              </a:graphicData>
            </a:graphic>
          </wp:inline>
        </w:drawing>
      </w:r>
    </w:p>
    <w:p>
      <w:pPr>
        <w:pStyle w:val="Caption"/>
        <w:jc w:val="center"/>
      </w:pPr>
      <w:r>
        <w:t>Şekil. Düşük overlap pair için identity ve registered maskelerin görsel karşılaştırması.</w:t>
      </w:r>
    </w:p>
    <w:p>
      <w:pPr>
        <w:pStyle w:val="Heading1"/>
      </w:pPr>
      <w:r>
        <w:t>Radiomic Feature Tekrarlanabilirliği</w:t>
      </w:r>
    </w:p>
    <w:p>
      <w:r>
        <w:t>Repeatability, her acquisition session içindeki tekrarlar kullanılarak değerlendirildi. CV ve median pairwise relative difference hesaplandı; baseline ve registered değerler session bazında eşleştirildi. Feature başına Wilcoxon signed-rank testi, çoklu karşılaştırmalar için Benjamini–Hochberg FDR düzeltmesi uygulandı. Numeric DICOM/MIRP metadata kolonları feature analizinden çıkarıldı.</w:t>
      </w:r>
    </w:p>
    <w:tbl>
      <w:tblPr>
        <w:tblStyle w:val="LightShading-Accent1"/>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Pr>
          <w:p>
            <w:r>
              <w:rPr>
                <w:b/>
              </w:rPr>
              <w:t>Mode</w:t>
            </w:r>
          </w:p>
        </w:tc>
        <w:tc>
          <w:tcPr>
            <w:tcW w:type="dxa" w:w="1242"/>
            <w:vAlign w:val="center"/>
          </w:tcPr>
          <w:p>
            <w:r>
              <w:rPr>
                <w:b/>
              </w:rPr>
              <w:t>Feature-organ</w:t>
            </w:r>
          </w:p>
        </w:tc>
        <w:tc>
          <w:tcPr>
            <w:tcW w:type="dxa" w:w="1242"/>
            <w:vAlign w:val="center"/>
          </w:tcPr>
          <w:p>
            <w:r>
              <w:rPr>
                <w:b/>
              </w:rPr>
              <w:t>CV iyileşti</w:t>
            </w:r>
          </w:p>
        </w:tc>
        <w:tc>
          <w:tcPr>
            <w:tcW w:type="dxa" w:w="1242"/>
            <w:vAlign w:val="center"/>
          </w:tcPr>
          <w:p>
            <w:r>
              <w:rPr>
                <w:b/>
              </w:rPr>
              <w:t>Pairwise iyileşti</w:t>
            </w:r>
          </w:p>
        </w:tc>
        <w:tc>
          <w:tcPr>
            <w:tcW w:type="dxa" w:w="1242"/>
            <w:vAlign w:val="center"/>
          </w:tcPr>
          <w:p>
            <w:r>
              <w:rPr>
                <w:b/>
              </w:rPr>
              <w:t>İkisi</w:t>
            </w:r>
          </w:p>
        </w:tc>
        <w:tc>
          <w:tcPr>
            <w:tcW w:type="dxa" w:w="1242"/>
            <w:vAlign w:val="center"/>
          </w:tcPr>
          <w:p>
            <w:r>
              <w:rPr>
                <w:b/>
              </w:rPr>
              <w:t>FDR anlamlı</w:t>
            </w:r>
          </w:p>
        </w:tc>
        <w:tc>
          <w:tcPr>
            <w:tcW w:type="dxa" w:w="1242"/>
            <w:vAlign w:val="center"/>
          </w:tcPr>
          <w:p>
            <w:r>
              <w:rPr>
                <w:b/>
              </w:rPr>
              <w:t>Anlamlı iyileşti</w:t>
            </w:r>
          </w:p>
        </w:tc>
        <w:tc>
          <w:tcPr>
            <w:tcW w:type="dxa" w:w="1242"/>
            <w:vAlign w:val="center"/>
          </w:tcPr>
          <w:p>
            <w:r>
              <w:rPr>
                <w:b/>
              </w:rPr>
              <w:t>Anlamlı kötüleşti</w:t>
            </w:r>
          </w:p>
        </w:tc>
      </w:tr>
      <w:tr>
        <w:tc>
          <w:tcPr>
            <w:tcW w:type="dxa" w:w="1242"/>
            <w:vAlign w:val="center"/>
          </w:tcPr>
          <w:p>
            <w:r>
              <w:t>3D</w:t>
            </w:r>
          </w:p>
        </w:tc>
        <w:tc>
          <w:tcPr>
            <w:tcW w:type="dxa" w:w="1242"/>
            <w:vAlign w:val="center"/>
          </w:tcPr>
          <w:p>
            <w:r>
              <w:t>418</w:t>
            </w:r>
          </w:p>
        </w:tc>
        <w:tc>
          <w:tcPr>
            <w:tcW w:type="dxa" w:w="1242"/>
            <w:vAlign w:val="center"/>
          </w:tcPr>
          <w:p>
            <w:r>
              <w:t>107</w:t>
            </w:r>
          </w:p>
        </w:tc>
        <w:tc>
          <w:tcPr>
            <w:tcW w:type="dxa" w:w="1242"/>
            <w:vAlign w:val="center"/>
          </w:tcPr>
          <w:p>
            <w:r>
              <w:t>94</w:t>
            </w:r>
          </w:p>
        </w:tc>
        <w:tc>
          <w:tcPr>
            <w:tcW w:type="dxa" w:w="1242"/>
            <w:vAlign w:val="center"/>
          </w:tcPr>
          <w:p>
            <w:r>
              <w:t>73</w:t>
            </w:r>
          </w:p>
        </w:tc>
        <w:tc>
          <w:tcPr>
            <w:tcW w:type="dxa" w:w="1242"/>
            <w:vAlign w:val="center"/>
          </w:tcPr>
          <w:p>
            <w:r>
              <w:t>58</w:t>
            </w:r>
          </w:p>
        </w:tc>
        <w:tc>
          <w:tcPr>
            <w:tcW w:type="dxa" w:w="1242"/>
            <w:vAlign w:val="center"/>
          </w:tcPr>
          <w:p>
            <w:r>
              <w:t>11</w:t>
            </w:r>
          </w:p>
        </w:tc>
        <w:tc>
          <w:tcPr>
            <w:tcW w:type="dxa" w:w="1242"/>
            <w:vAlign w:val="center"/>
          </w:tcPr>
          <w:p>
            <w:r>
              <w:t>47</w:t>
            </w:r>
          </w:p>
        </w:tc>
      </w:tr>
      <w:tr>
        <w:tc>
          <w:tcPr>
            <w:tcW w:type="dxa" w:w="1242"/>
            <w:vAlign w:val="center"/>
          </w:tcPr>
          <w:p>
            <w:r>
              <w:t>2D</w:t>
            </w:r>
          </w:p>
        </w:tc>
        <w:tc>
          <w:tcPr>
            <w:tcW w:type="dxa" w:w="1242"/>
            <w:vAlign w:val="center"/>
          </w:tcPr>
          <w:p>
            <w:r>
              <w:t>690</w:t>
            </w:r>
          </w:p>
        </w:tc>
        <w:tc>
          <w:tcPr>
            <w:tcW w:type="dxa" w:w="1242"/>
            <w:vAlign w:val="center"/>
          </w:tcPr>
          <w:p>
            <w:r>
              <w:t>129</w:t>
            </w:r>
          </w:p>
        </w:tc>
        <w:tc>
          <w:tcPr>
            <w:tcW w:type="dxa" w:w="1242"/>
            <w:vAlign w:val="center"/>
          </w:tcPr>
          <w:p>
            <w:r>
              <w:t>127</w:t>
            </w:r>
          </w:p>
        </w:tc>
        <w:tc>
          <w:tcPr>
            <w:tcW w:type="dxa" w:w="1242"/>
            <w:vAlign w:val="center"/>
          </w:tcPr>
          <w:p>
            <w:r>
              <w:t>96</w:t>
            </w:r>
          </w:p>
        </w:tc>
        <w:tc>
          <w:tcPr>
            <w:tcW w:type="dxa" w:w="1242"/>
            <w:vAlign w:val="center"/>
          </w:tcPr>
          <w:p>
            <w:r>
              <w:t>211</w:t>
            </w:r>
          </w:p>
        </w:tc>
        <w:tc>
          <w:tcPr>
            <w:tcW w:type="dxa" w:w="1242"/>
            <w:vAlign w:val="center"/>
          </w:tcPr>
          <w:p>
            <w:r>
              <w:t>18</w:t>
            </w:r>
          </w:p>
        </w:tc>
        <w:tc>
          <w:tcPr>
            <w:tcW w:type="dxa" w:w="1242"/>
            <w:vAlign w:val="center"/>
          </w:tcPr>
          <w:p>
            <w:r>
              <w:t>193</w:t>
            </w:r>
          </w:p>
        </w:tc>
      </w:tr>
    </w:tbl>
    <w:p/>
    <w:p>
      <w:pPr>
        <w:pStyle w:val="Heading1"/>
      </w:pPr>
      <w:r>
        <w:t>Feature Aileleri</w:t>
      </w:r>
    </w:p>
    <w:tbl>
      <w:tblPr>
        <w:tblStyle w:val="LightShading-Accent1"/>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tcPr>
          <w:p>
            <w:r>
              <w:rPr>
                <w:b/>
              </w:rPr>
              <w:t>Mode</w:t>
            </w:r>
          </w:p>
        </w:tc>
        <w:tc>
          <w:tcPr>
            <w:tcW w:type="dxa" w:w="1419"/>
            <w:vAlign w:val="center"/>
          </w:tcPr>
          <w:p>
            <w:r>
              <w:rPr>
                <w:b/>
              </w:rPr>
              <w:t>Feature family</w:t>
            </w:r>
          </w:p>
        </w:tc>
        <w:tc>
          <w:tcPr>
            <w:tcW w:type="dxa" w:w="1419"/>
            <w:vAlign w:val="center"/>
          </w:tcPr>
          <w:p>
            <w:r>
              <w:rPr>
                <w:b/>
              </w:rPr>
              <w:t>N</w:t>
            </w:r>
          </w:p>
        </w:tc>
        <w:tc>
          <w:tcPr>
            <w:tcW w:type="dxa" w:w="1419"/>
            <w:vAlign w:val="center"/>
          </w:tcPr>
          <w:p>
            <w:r>
              <w:rPr>
                <w:b/>
              </w:rPr>
              <w:t>CV+pairwise birlikte iyileşen</w:t>
            </w:r>
          </w:p>
        </w:tc>
        <w:tc>
          <w:tcPr>
            <w:tcW w:type="dxa" w:w="1419"/>
            <w:vAlign w:val="center"/>
          </w:tcPr>
          <w:p>
            <w:r>
              <w:rPr>
                <w:b/>
              </w:rPr>
              <w:t>FDR anlamlı</w:t>
            </w:r>
          </w:p>
        </w:tc>
        <w:tc>
          <w:tcPr>
            <w:tcW w:type="dxa" w:w="1419"/>
            <w:vAlign w:val="center"/>
          </w:tcPr>
          <w:p>
            <w:r>
              <w:rPr>
                <w:b/>
              </w:rPr>
              <w:t>İyileşme</w:t>
            </w:r>
          </w:p>
        </w:tc>
        <w:tc>
          <w:tcPr>
            <w:tcW w:type="dxa" w:w="1419"/>
            <w:vAlign w:val="center"/>
          </w:tcPr>
          <w:p>
            <w:r>
              <w:rPr>
                <w:b/>
              </w:rPr>
              <w:t>Kötüleşme</w:t>
            </w:r>
          </w:p>
        </w:tc>
      </w:tr>
      <w:tr>
        <w:tc>
          <w:tcPr>
            <w:tcW w:type="dxa" w:w="1419"/>
            <w:vAlign w:val="center"/>
          </w:tcPr>
          <w:p>
            <w:r>
              <w:t>3D</w:t>
            </w:r>
          </w:p>
        </w:tc>
        <w:tc>
          <w:tcPr>
            <w:tcW w:type="dxa" w:w="1419"/>
            <w:vAlign w:val="center"/>
          </w:tcPr>
          <w:p>
            <w:r>
              <w:t>First-order statistics</w:t>
            </w:r>
          </w:p>
        </w:tc>
        <w:tc>
          <w:tcPr>
            <w:tcW w:type="dxa" w:w="1419"/>
            <w:vAlign w:val="center"/>
          </w:tcPr>
          <w:p>
            <w:r>
              <w:t>36</w:t>
            </w:r>
          </w:p>
        </w:tc>
        <w:tc>
          <w:tcPr>
            <w:tcW w:type="dxa" w:w="1419"/>
            <w:vAlign w:val="center"/>
          </w:tcPr>
          <w:p>
            <w:r>
              <w:t>19.4%</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GLCM</w:t>
            </w:r>
          </w:p>
        </w:tc>
        <w:tc>
          <w:tcPr>
            <w:tcW w:type="dxa" w:w="1419"/>
            <w:vAlign w:val="center"/>
          </w:tcPr>
          <w:p>
            <w:r>
              <w:t>100</w:t>
            </w:r>
          </w:p>
        </w:tc>
        <w:tc>
          <w:tcPr>
            <w:tcW w:type="dxa" w:w="1419"/>
            <w:vAlign w:val="center"/>
          </w:tcPr>
          <w:p>
            <w:r>
              <w:t>18.0%</w:t>
            </w:r>
          </w:p>
        </w:tc>
        <w:tc>
          <w:tcPr>
            <w:tcW w:type="dxa" w:w="1419"/>
            <w:vAlign w:val="center"/>
          </w:tcPr>
          <w:p>
            <w:r>
              <w:t>14</w:t>
            </w:r>
          </w:p>
        </w:tc>
        <w:tc>
          <w:tcPr>
            <w:tcW w:type="dxa" w:w="1419"/>
            <w:vAlign w:val="center"/>
          </w:tcPr>
          <w:p>
            <w:r>
              <w:t>8</w:t>
            </w:r>
          </w:p>
        </w:tc>
        <w:tc>
          <w:tcPr>
            <w:tcW w:type="dxa" w:w="1419"/>
            <w:vAlign w:val="center"/>
          </w:tcPr>
          <w:p>
            <w:r>
              <w:t>6</w:t>
            </w:r>
          </w:p>
        </w:tc>
      </w:tr>
      <w:tr>
        <w:tc>
          <w:tcPr>
            <w:tcW w:type="dxa" w:w="1419"/>
            <w:vAlign w:val="center"/>
          </w:tcPr>
          <w:p>
            <w:r>
              <w:t>3D</w:t>
            </w:r>
          </w:p>
        </w:tc>
        <w:tc>
          <w:tcPr>
            <w:tcW w:type="dxa" w:w="1419"/>
            <w:vAlign w:val="center"/>
          </w:tcPr>
          <w:p>
            <w:r>
              <w:t>GLDZM</w:t>
            </w:r>
          </w:p>
        </w:tc>
        <w:tc>
          <w:tcPr>
            <w:tcW w:type="dxa" w:w="1419"/>
            <w:vAlign w:val="center"/>
          </w:tcPr>
          <w:p>
            <w:r>
              <w:t>32</w:t>
            </w:r>
          </w:p>
        </w:tc>
        <w:tc>
          <w:tcPr>
            <w:tcW w:type="dxa" w:w="1419"/>
            <w:vAlign w:val="center"/>
          </w:tcPr>
          <w:p>
            <w:r>
              <w:t>21.9%</w:t>
            </w:r>
          </w:p>
        </w:tc>
        <w:tc>
          <w:tcPr>
            <w:tcW w:type="dxa" w:w="1419"/>
            <w:vAlign w:val="center"/>
          </w:tcPr>
          <w:p>
            <w:r>
              <w:t>2</w:t>
            </w:r>
          </w:p>
        </w:tc>
        <w:tc>
          <w:tcPr>
            <w:tcW w:type="dxa" w:w="1419"/>
            <w:vAlign w:val="center"/>
          </w:tcPr>
          <w:p>
            <w:r>
              <w:t>0</w:t>
            </w:r>
          </w:p>
        </w:tc>
        <w:tc>
          <w:tcPr>
            <w:tcW w:type="dxa" w:w="1419"/>
            <w:vAlign w:val="center"/>
          </w:tcPr>
          <w:p>
            <w:r>
              <w:t>2</w:t>
            </w:r>
          </w:p>
        </w:tc>
      </w:tr>
      <w:tr>
        <w:tc>
          <w:tcPr>
            <w:tcW w:type="dxa" w:w="1419"/>
            <w:vAlign w:val="center"/>
          </w:tcPr>
          <w:p>
            <w:r>
              <w:t>3D</w:t>
            </w:r>
          </w:p>
        </w:tc>
        <w:tc>
          <w:tcPr>
            <w:tcW w:type="dxa" w:w="1419"/>
            <w:vAlign w:val="center"/>
          </w:tcPr>
          <w:p>
            <w:r>
              <w:t>GLRLM</w:t>
            </w:r>
          </w:p>
        </w:tc>
        <w:tc>
          <w:tcPr>
            <w:tcW w:type="dxa" w:w="1419"/>
            <w:vAlign w:val="center"/>
          </w:tcPr>
          <w:p>
            <w:r>
              <w:t>64</w:t>
            </w:r>
          </w:p>
        </w:tc>
        <w:tc>
          <w:tcPr>
            <w:tcW w:type="dxa" w:w="1419"/>
            <w:vAlign w:val="center"/>
          </w:tcPr>
          <w:p>
            <w:r>
              <w:t>9.4%</w:t>
            </w:r>
          </w:p>
        </w:tc>
        <w:tc>
          <w:tcPr>
            <w:tcW w:type="dxa" w:w="1419"/>
            <w:vAlign w:val="center"/>
          </w:tcPr>
          <w:p>
            <w:r>
              <w:t>24</w:t>
            </w:r>
          </w:p>
        </w:tc>
        <w:tc>
          <w:tcPr>
            <w:tcW w:type="dxa" w:w="1419"/>
            <w:vAlign w:val="center"/>
          </w:tcPr>
          <w:p>
            <w:r>
              <w:t>0</w:t>
            </w:r>
          </w:p>
        </w:tc>
        <w:tc>
          <w:tcPr>
            <w:tcW w:type="dxa" w:w="1419"/>
            <w:vAlign w:val="center"/>
          </w:tcPr>
          <w:p>
            <w:r>
              <w:t>24</w:t>
            </w:r>
          </w:p>
        </w:tc>
      </w:tr>
      <w:tr>
        <w:tc>
          <w:tcPr>
            <w:tcW w:type="dxa" w:w="1419"/>
            <w:vAlign w:val="center"/>
          </w:tcPr>
          <w:p>
            <w:r>
              <w:t>3D</w:t>
            </w:r>
          </w:p>
        </w:tc>
        <w:tc>
          <w:tcPr>
            <w:tcW w:type="dxa" w:w="1419"/>
            <w:vAlign w:val="center"/>
          </w:tcPr>
          <w:p>
            <w:r>
              <w:t>GLSZM</w:t>
            </w:r>
          </w:p>
        </w:tc>
        <w:tc>
          <w:tcPr>
            <w:tcW w:type="dxa" w:w="1419"/>
            <w:vAlign w:val="center"/>
          </w:tcPr>
          <w:p>
            <w:r>
              <w:t>32</w:t>
            </w:r>
          </w:p>
        </w:tc>
        <w:tc>
          <w:tcPr>
            <w:tcW w:type="dxa" w:w="1419"/>
            <w:vAlign w:val="center"/>
          </w:tcPr>
          <w:p>
            <w:r>
              <w:t>0.0%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Intensity histogram</w:t>
            </w:r>
          </w:p>
        </w:tc>
        <w:tc>
          <w:tcPr>
            <w:tcW w:type="dxa" w:w="1419"/>
            <w:vAlign w:val="center"/>
          </w:tcPr>
          <w:p>
            <w:r>
              <w:t>46</w:t>
            </w:r>
          </w:p>
        </w:tc>
        <w:tc>
          <w:tcPr>
            <w:tcW w:type="dxa" w:w="1419"/>
            <w:vAlign w:val="center"/>
          </w:tcPr>
          <w:p>
            <w:r>
              <w:t>23.9%</w:t>
            </w:r>
          </w:p>
        </w:tc>
        <w:tc>
          <w:tcPr>
            <w:tcW w:type="dxa" w:w="1419"/>
            <w:vAlign w:val="center"/>
          </w:tcPr>
          <w:p>
            <w:r>
              <w:t>2</w:t>
            </w:r>
          </w:p>
        </w:tc>
        <w:tc>
          <w:tcPr>
            <w:tcW w:type="dxa" w:w="1419"/>
            <w:vAlign w:val="center"/>
          </w:tcPr>
          <w:p>
            <w:r>
              <w:t>2</w:t>
            </w:r>
          </w:p>
        </w:tc>
        <w:tc>
          <w:tcPr>
            <w:tcW w:type="dxa" w:w="1419"/>
            <w:vAlign w:val="center"/>
          </w:tcPr>
          <w:p>
            <w:r>
              <w:t>0</w:t>
            </w:r>
          </w:p>
        </w:tc>
      </w:tr>
      <w:tr>
        <w:tc>
          <w:tcPr>
            <w:tcW w:type="dxa" w:w="1419"/>
            <w:vAlign w:val="center"/>
          </w:tcPr>
          <w:p>
            <w:r>
              <w:t>3D</w:t>
            </w:r>
          </w:p>
        </w:tc>
        <w:tc>
          <w:tcPr>
            <w:tcW w:type="dxa" w:w="1419"/>
            <w:vAlign w:val="center"/>
          </w:tcPr>
          <w:p>
            <w:r>
              <w:t>Intensity-volume histogram</w:t>
            </w:r>
          </w:p>
        </w:tc>
        <w:tc>
          <w:tcPr>
            <w:tcW w:type="dxa" w:w="1419"/>
            <w:vAlign w:val="center"/>
          </w:tcPr>
          <w:p>
            <w:r>
              <w:t>14</w:t>
            </w:r>
          </w:p>
        </w:tc>
        <w:tc>
          <w:tcPr>
            <w:tcW w:type="dxa" w:w="1419"/>
            <w:vAlign w:val="center"/>
          </w:tcPr>
          <w:p>
            <w:r>
              <w:t>14.3%</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Local intensity peaks</w:t>
            </w:r>
          </w:p>
        </w:tc>
        <w:tc>
          <w:tcPr>
            <w:tcW w:type="dxa" w:w="1419"/>
            <w:vAlign w:val="center"/>
          </w:tcPr>
          <w:p>
            <w:r>
              <w:t>4</w:t>
            </w:r>
          </w:p>
        </w:tc>
        <w:tc>
          <w:tcPr>
            <w:tcW w:type="dxa" w:w="1419"/>
            <w:vAlign w:val="center"/>
          </w:tcPr>
          <w:p>
            <w:r>
              <w:t>75.0%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NGLDM</w:t>
            </w:r>
          </w:p>
        </w:tc>
        <w:tc>
          <w:tcPr>
            <w:tcW w:type="dxa" w:w="1419"/>
            <w:vAlign w:val="center"/>
          </w:tcPr>
          <w:p>
            <w:r>
              <w:t>34</w:t>
            </w:r>
          </w:p>
        </w:tc>
        <w:tc>
          <w:tcPr>
            <w:tcW w:type="dxa" w:w="1419"/>
            <w:vAlign w:val="center"/>
          </w:tcPr>
          <w:p>
            <w:r>
              <w:t>26.5%</w:t>
            </w:r>
          </w:p>
        </w:tc>
        <w:tc>
          <w:tcPr>
            <w:tcW w:type="dxa" w:w="1419"/>
            <w:vAlign w:val="center"/>
          </w:tcPr>
          <w:p>
            <w:r>
              <w:t>7</w:t>
            </w:r>
          </w:p>
        </w:tc>
        <w:tc>
          <w:tcPr>
            <w:tcW w:type="dxa" w:w="1419"/>
            <w:vAlign w:val="center"/>
          </w:tcPr>
          <w:p>
            <w:r>
              <w:t>1</w:t>
            </w:r>
          </w:p>
        </w:tc>
        <w:tc>
          <w:tcPr>
            <w:tcW w:type="dxa" w:w="1419"/>
            <w:vAlign w:val="center"/>
          </w:tcPr>
          <w:p>
            <w:r>
              <w:t>6</w:t>
            </w:r>
          </w:p>
        </w:tc>
      </w:tr>
      <w:tr>
        <w:tc>
          <w:tcPr>
            <w:tcW w:type="dxa" w:w="1419"/>
            <w:vAlign w:val="center"/>
          </w:tcPr>
          <w:p>
            <w:r>
              <w:t>3D</w:t>
            </w:r>
          </w:p>
        </w:tc>
        <w:tc>
          <w:tcPr>
            <w:tcW w:type="dxa" w:w="1419"/>
            <w:vAlign w:val="center"/>
          </w:tcPr>
          <w:p>
            <w:r>
              <w:t>NGTDM</w:t>
            </w:r>
          </w:p>
        </w:tc>
        <w:tc>
          <w:tcPr>
            <w:tcW w:type="dxa" w:w="1419"/>
            <w:vAlign w:val="center"/>
          </w:tcPr>
          <w:p>
            <w:r>
              <w:t>10</w:t>
            </w:r>
          </w:p>
        </w:tc>
        <w:tc>
          <w:tcPr>
            <w:tcW w:type="dxa" w:w="1419"/>
            <w:vAlign w:val="center"/>
          </w:tcPr>
          <w:p>
            <w:r>
              <w:t>20.0%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3D</w:t>
            </w:r>
          </w:p>
        </w:tc>
        <w:tc>
          <w:tcPr>
            <w:tcW w:type="dxa" w:w="1419"/>
            <w:vAlign w:val="center"/>
          </w:tcPr>
          <w:p>
            <w:r>
              <w:t>Shape</w:t>
            </w:r>
          </w:p>
        </w:tc>
        <w:tc>
          <w:tcPr>
            <w:tcW w:type="dxa" w:w="1419"/>
            <w:vAlign w:val="center"/>
          </w:tcPr>
          <w:p>
            <w:r>
              <w:t>46</w:t>
            </w:r>
          </w:p>
        </w:tc>
        <w:tc>
          <w:tcPr>
            <w:tcW w:type="dxa" w:w="1419"/>
            <w:vAlign w:val="center"/>
          </w:tcPr>
          <w:p>
            <w:r>
              <w:t>17.4%</w:t>
            </w:r>
          </w:p>
        </w:tc>
        <w:tc>
          <w:tcPr>
            <w:tcW w:type="dxa" w:w="1419"/>
            <w:vAlign w:val="center"/>
          </w:tcPr>
          <w:p>
            <w:r>
              <w:t>9</w:t>
            </w:r>
          </w:p>
        </w:tc>
        <w:tc>
          <w:tcPr>
            <w:tcW w:type="dxa" w:w="1419"/>
            <w:vAlign w:val="center"/>
          </w:tcPr>
          <w:p>
            <w:r>
              <w:t>0</w:t>
            </w:r>
          </w:p>
        </w:tc>
        <w:tc>
          <w:tcPr>
            <w:tcW w:type="dxa" w:w="1419"/>
            <w:vAlign w:val="center"/>
          </w:tcPr>
          <w:p>
            <w:r>
              <w:t>9</w:t>
            </w:r>
          </w:p>
        </w:tc>
      </w:tr>
      <w:tr>
        <w:tc>
          <w:tcPr>
            <w:tcW w:type="dxa" w:w="1419"/>
            <w:vAlign w:val="center"/>
          </w:tcPr>
          <w:p>
            <w:r>
              <w:t>2D</w:t>
            </w:r>
          </w:p>
        </w:tc>
        <w:tc>
          <w:tcPr>
            <w:tcW w:type="dxa" w:w="1419"/>
            <w:vAlign w:val="center"/>
          </w:tcPr>
          <w:p>
            <w:r>
              <w:t>First-order statistics</w:t>
            </w:r>
          </w:p>
        </w:tc>
        <w:tc>
          <w:tcPr>
            <w:tcW w:type="dxa" w:w="1419"/>
            <w:vAlign w:val="center"/>
          </w:tcPr>
          <w:p>
            <w:r>
              <w:t>36</w:t>
            </w:r>
          </w:p>
        </w:tc>
        <w:tc>
          <w:tcPr>
            <w:tcW w:type="dxa" w:w="1419"/>
            <w:vAlign w:val="center"/>
          </w:tcPr>
          <w:p>
            <w:r>
              <w:t>19.4%</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GLCM</w:t>
            </w:r>
          </w:p>
        </w:tc>
        <w:tc>
          <w:tcPr>
            <w:tcW w:type="dxa" w:w="1419"/>
            <w:vAlign w:val="center"/>
          </w:tcPr>
          <w:p>
            <w:r>
              <w:t>200</w:t>
            </w:r>
          </w:p>
        </w:tc>
        <w:tc>
          <w:tcPr>
            <w:tcW w:type="dxa" w:w="1419"/>
            <w:vAlign w:val="center"/>
          </w:tcPr>
          <w:p>
            <w:r>
              <w:t>7.5%</w:t>
            </w:r>
          </w:p>
        </w:tc>
        <w:tc>
          <w:tcPr>
            <w:tcW w:type="dxa" w:w="1419"/>
            <w:vAlign w:val="center"/>
          </w:tcPr>
          <w:p>
            <w:r>
              <w:t>52</w:t>
            </w:r>
          </w:p>
        </w:tc>
        <w:tc>
          <w:tcPr>
            <w:tcW w:type="dxa" w:w="1419"/>
            <w:vAlign w:val="center"/>
          </w:tcPr>
          <w:p>
            <w:r>
              <w:t>8</w:t>
            </w:r>
          </w:p>
        </w:tc>
        <w:tc>
          <w:tcPr>
            <w:tcW w:type="dxa" w:w="1419"/>
            <w:vAlign w:val="center"/>
          </w:tcPr>
          <w:p>
            <w:r>
              <w:t>44</w:t>
            </w:r>
          </w:p>
        </w:tc>
      </w:tr>
      <w:tr>
        <w:tc>
          <w:tcPr>
            <w:tcW w:type="dxa" w:w="1419"/>
            <w:vAlign w:val="center"/>
          </w:tcPr>
          <w:p>
            <w:r>
              <w:t>2D</w:t>
            </w:r>
          </w:p>
        </w:tc>
        <w:tc>
          <w:tcPr>
            <w:tcW w:type="dxa" w:w="1419"/>
            <w:vAlign w:val="center"/>
          </w:tcPr>
          <w:p>
            <w:r>
              <w:t>GLDZM</w:t>
            </w:r>
          </w:p>
        </w:tc>
        <w:tc>
          <w:tcPr>
            <w:tcW w:type="dxa" w:w="1419"/>
            <w:vAlign w:val="center"/>
          </w:tcPr>
          <w:p>
            <w:r>
              <w:t>64</w:t>
            </w:r>
          </w:p>
        </w:tc>
        <w:tc>
          <w:tcPr>
            <w:tcW w:type="dxa" w:w="1419"/>
            <w:vAlign w:val="center"/>
          </w:tcPr>
          <w:p>
            <w:r>
              <w:t>34.4%</w:t>
            </w:r>
          </w:p>
        </w:tc>
        <w:tc>
          <w:tcPr>
            <w:tcW w:type="dxa" w:w="1419"/>
            <w:vAlign w:val="center"/>
          </w:tcPr>
          <w:p>
            <w:r>
              <w:t>15</w:t>
            </w:r>
          </w:p>
        </w:tc>
        <w:tc>
          <w:tcPr>
            <w:tcW w:type="dxa" w:w="1419"/>
            <w:vAlign w:val="center"/>
          </w:tcPr>
          <w:p>
            <w:r>
              <w:t>0</w:t>
            </w:r>
          </w:p>
        </w:tc>
        <w:tc>
          <w:tcPr>
            <w:tcW w:type="dxa" w:w="1419"/>
            <w:vAlign w:val="center"/>
          </w:tcPr>
          <w:p>
            <w:r>
              <w:t>15</w:t>
            </w:r>
          </w:p>
        </w:tc>
      </w:tr>
      <w:tr>
        <w:tc>
          <w:tcPr>
            <w:tcW w:type="dxa" w:w="1419"/>
            <w:vAlign w:val="center"/>
          </w:tcPr>
          <w:p>
            <w:r>
              <w:t>2D</w:t>
            </w:r>
          </w:p>
        </w:tc>
        <w:tc>
          <w:tcPr>
            <w:tcW w:type="dxa" w:w="1419"/>
            <w:vAlign w:val="center"/>
          </w:tcPr>
          <w:p>
            <w:r>
              <w:t>GLRLM</w:t>
            </w:r>
          </w:p>
        </w:tc>
        <w:tc>
          <w:tcPr>
            <w:tcW w:type="dxa" w:w="1419"/>
            <w:vAlign w:val="center"/>
          </w:tcPr>
          <w:p>
            <w:r>
              <w:t>128</w:t>
            </w:r>
          </w:p>
        </w:tc>
        <w:tc>
          <w:tcPr>
            <w:tcW w:type="dxa" w:w="1419"/>
            <w:vAlign w:val="center"/>
          </w:tcPr>
          <w:p>
            <w:r>
              <w:t>3.9%</w:t>
            </w:r>
          </w:p>
        </w:tc>
        <w:tc>
          <w:tcPr>
            <w:tcW w:type="dxa" w:w="1419"/>
            <w:vAlign w:val="center"/>
          </w:tcPr>
          <w:p>
            <w:r>
              <w:t>96</w:t>
            </w:r>
          </w:p>
        </w:tc>
        <w:tc>
          <w:tcPr>
            <w:tcW w:type="dxa" w:w="1419"/>
            <w:vAlign w:val="center"/>
          </w:tcPr>
          <w:p>
            <w:r>
              <w:t>0</w:t>
            </w:r>
          </w:p>
        </w:tc>
        <w:tc>
          <w:tcPr>
            <w:tcW w:type="dxa" w:w="1419"/>
            <w:vAlign w:val="center"/>
          </w:tcPr>
          <w:p>
            <w:r>
              <w:t>96</w:t>
            </w:r>
          </w:p>
        </w:tc>
      </w:tr>
      <w:tr>
        <w:tc>
          <w:tcPr>
            <w:tcW w:type="dxa" w:w="1419"/>
            <w:vAlign w:val="center"/>
          </w:tcPr>
          <w:p>
            <w:r>
              <w:t>2D</w:t>
            </w:r>
          </w:p>
        </w:tc>
        <w:tc>
          <w:tcPr>
            <w:tcW w:type="dxa" w:w="1419"/>
            <w:vAlign w:val="center"/>
          </w:tcPr>
          <w:p>
            <w:r>
              <w:t>GLSZM</w:t>
            </w:r>
          </w:p>
        </w:tc>
        <w:tc>
          <w:tcPr>
            <w:tcW w:type="dxa" w:w="1419"/>
            <w:vAlign w:val="center"/>
          </w:tcPr>
          <w:p>
            <w:r>
              <w:t>64</w:t>
            </w:r>
          </w:p>
        </w:tc>
        <w:tc>
          <w:tcPr>
            <w:tcW w:type="dxa" w:w="1419"/>
            <w:vAlign w:val="center"/>
          </w:tcPr>
          <w:p>
            <w:r>
              <w:t>21.9%</w:t>
            </w:r>
          </w:p>
        </w:tc>
        <w:tc>
          <w:tcPr>
            <w:tcW w:type="dxa" w:w="1419"/>
            <w:vAlign w:val="center"/>
          </w:tcPr>
          <w:p>
            <w:r>
              <w:t>11</w:t>
            </w:r>
          </w:p>
        </w:tc>
        <w:tc>
          <w:tcPr>
            <w:tcW w:type="dxa" w:w="1419"/>
            <w:vAlign w:val="center"/>
          </w:tcPr>
          <w:p>
            <w:r>
              <w:t>4</w:t>
            </w:r>
          </w:p>
        </w:tc>
        <w:tc>
          <w:tcPr>
            <w:tcW w:type="dxa" w:w="1419"/>
            <w:vAlign w:val="center"/>
          </w:tcPr>
          <w:p>
            <w:r>
              <w:t>7</w:t>
            </w:r>
          </w:p>
        </w:tc>
      </w:tr>
      <w:tr>
        <w:tc>
          <w:tcPr>
            <w:tcW w:type="dxa" w:w="1419"/>
            <w:vAlign w:val="center"/>
          </w:tcPr>
          <w:p>
            <w:r>
              <w:t>2D</w:t>
            </w:r>
          </w:p>
        </w:tc>
        <w:tc>
          <w:tcPr>
            <w:tcW w:type="dxa" w:w="1419"/>
            <w:vAlign w:val="center"/>
          </w:tcPr>
          <w:p>
            <w:r>
              <w:t>Intensity histogram</w:t>
            </w:r>
          </w:p>
        </w:tc>
        <w:tc>
          <w:tcPr>
            <w:tcW w:type="dxa" w:w="1419"/>
            <w:vAlign w:val="center"/>
          </w:tcPr>
          <w:p>
            <w:r>
              <w:t>46</w:t>
            </w:r>
          </w:p>
        </w:tc>
        <w:tc>
          <w:tcPr>
            <w:tcW w:type="dxa" w:w="1419"/>
            <w:vAlign w:val="center"/>
          </w:tcPr>
          <w:p>
            <w:r>
              <w:t>23.9%</w:t>
            </w:r>
          </w:p>
        </w:tc>
        <w:tc>
          <w:tcPr>
            <w:tcW w:type="dxa" w:w="1419"/>
            <w:vAlign w:val="center"/>
          </w:tcPr>
          <w:p>
            <w:r>
              <w:t>3</w:t>
            </w:r>
          </w:p>
        </w:tc>
        <w:tc>
          <w:tcPr>
            <w:tcW w:type="dxa" w:w="1419"/>
            <w:vAlign w:val="center"/>
          </w:tcPr>
          <w:p>
            <w:r>
              <w:t>3</w:t>
            </w:r>
          </w:p>
        </w:tc>
        <w:tc>
          <w:tcPr>
            <w:tcW w:type="dxa" w:w="1419"/>
            <w:vAlign w:val="center"/>
          </w:tcPr>
          <w:p>
            <w:r>
              <w:t>0</w:t>
            </w:r>
          </w:p>
        </w:tc>
      </w:tr>
      <w:tr>
        <w:tc>
          <w:tcPr>
            <w:tcW w:type="dxa" w:w="1419"/>
            <w:vAlign w:val="center"/>
          </w:tcPr>
          <w:p>
            <w:r>
              <w:t>2D</w:t>
            </w:r>
          </w:p>
        </w:tc>
        <w:tc>
          <w:tcPr>
            <w:tcW w:type="dxa" w:w="1419"/>
            <w:vAlign w:val="center"/>
          </w:tcPr>
          <w:p>
            <w:r>
              <w:t>Intensity-volume histogram</w:t>
            </w:r>
          </w:p>
        </w:tc>
        <w:tc>
          <w:tcPr>
            <w:tcW w:type="dxa" w:w="1419"/>
            <w:vAlign w:val="center"/>
          </w:tcPr>
          <w:p>
            <w:r>
              <w:t>14</w:t>
            </w:r>
          </w:p>
        </w:tc>
        <w:tc>
          <w:tcPr>
            <w:tcW w:type="dxa" w:w="1419"/>
            <w:vAlign w:val="center"/>
          </w:tcPr>
          <w:p>
            <w:r>
              <w:t>14.3%</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Local intensity peaks</w:t>
            </w:r>
          </w:p>
        </w:tc>
        <w:tc>
          <w:tcPr>
            <w:tcW w:type="dxa" w:w="1419"/>
            <w:vAlign w:val="center"/>
          </w:tcPr>
          <w:p>
            <w:r>
              <w:t>4</w:t>
            </w:r>
          </w:p>
        </w:tc>
        <w:tc>
          <w:tcPr>
            <w:tcW w:type="dxa" w:w="1419"/>
            <w:vAlign w:val="center"/>
          </w:tcPr>
          <w:p>
            <w:r>
              <w:t>75.0%</w:t>
            </w:r>
          </w:p>
        </w:tc>
        <w:tc>
          <w:tcPr>
            <w:tcW w:type="dxa" w:w="1419"/>
            <w:vAlign w:val="center"/>
          </w:tcPr>
          <w:p>
            <w:r>
              <w:t>0</w:t>
            </w:r>
          </w:p>
        </w:tc>
        <w:tc>
          <w:tcPr>
            <w:tcW w:type="dxa" w:w="1419"/>
            <w:vAlign w:val="center"/>
          </w:tcPr>
          <w:p>
            <w:r>
              <w:t>0</w:t>
            </w:r>
          </w:p>
        </w:tc>
        <w:tc>
          <w:tcPr>
            <w:tcW w:type="dxa" w:w="1419"/>
            <w:vAlign w:val="center"/>
          </w:tcPr>
          <w:p>
            <w:r>
              <w:t>0</w:t>
            </w:r>
          </w:p>
        </w:tc>
      </w:tr>
      <w:tr>
        <w:tc>
          <w:tcPr>
            <w:tcW w:type="dxa" w:w="1419"/>
            <w:vAlign w:val="center"/>
          </w:tcPr>
          <w:p>
            <w:r>
              <w:t>2D</w:t>
            </w:r>
          </w:p>
        </w:tc>
        <w:tc>
          <w:tcPr>
            <w:tcW w:type="dxa" w:w="1419"/>
            <w:vAlign w:val="center"/>
          </w:tcPr>
          <w:p>
            <w:r>
              <w:t>NGLDM</w:t>
            </w:r>
          </w:p>
        </w:tc>
        <w:tc>
          <w:tcPr>
            <w:tcW w:type="dxa" w:w="1419"/>
            <w:vAlign w:val="center"/>
          </w:tcPr>
          <w:p>
            <w:r>
              <w:t>68</w:t>
            </w:r>
          </w:p>
        </w:tc>
        <w:tc>
          <w:tcPr>
            <w:tcW w:type="dxa" w:w="1419"/>
            <w:vAlign w:val="center"/>
          </w:tcPr>
          <w:p>
            <w:r>
              <w:t>10.3%</w:t>
            </w:r>
          </w:p>
        </w:tc>
        <w:tc>
          <w:tcPr>
            <w:tcW w:type="dxa" w:w="1419"/>
            <w:vAlign w:val="center"/>
          </w:tcPr>
          <w:p>
            <w:r>
              <w:t>21</w:t>
            </w:r>
          </w:p>
        </w:tc>
        <w:tc>
          <w:tcPr>
            <w:tcW w:type="dxa" w:w="1419"/>
            <w:vAlign w:val="center"/>
          </w:tcPr>
          <w:p>
            <w:r>
              <w:t>3</w:t>
            </w:r>
          </w:p>
        </w:tc>
        <w:tc>
          <w:tcPr>
            <w:tcW w:type="dxa" w:w="1419"/>
            <w:vAlign w:val="center"/>
          </w:tcPr>
          <w:p>
            <w:r>
              <w:t>18</w:t>
            </w:r>
          </w:p>
        </w:tc>
      </w:tr>
      <w:tr>
        <w:tc>
          <w:tcPr>
            <w:tcW w:type="dxa" w:w="1419"/>
            <w:vAlign w:val="center"/>
          </w:tcPr>
          <w:p>
            <w:r>
              <w:t>2D</w:t>
            </w:r>
          </w:p>
        </w:tc>
        <w:tc>
          <w:tcPr>
            <w:tcW w:type="dxa" w:w="1419"/>
            <w:vAlign w:val="center"/>
          </w:tcPr>
          <w:p>
            <w:r>
              <w:t>NGTDM</w:t>
            </w:r>
          </w:p>
        </w:tc>
        <w:tc>
          <w:tcPr>
            <w:tcW w:type="dxa" w:w="1419"/>
            <w:vAlign w:val="center"/>
          </w:tcPr>
          <w:p>
            <w:r>
              <w:t>20</w:t>
            </w:r>
          </w:p>
        </w:tc>
        <w:tc>
          <w:tcPr>
            <w:tcW w:type="dxa" w:w="1419"/>
            <w:vAlign w:val="center"/>
          </w:tcPr>
          <w:p>
            <w:r>
              <w:t>10.0%</w:t>
            </w:r>
          </w:p>
        </w:tc>
        <w:tc>
          <w:tcPr>
            <w:tcW w:type="dxa" w:w="1419"/>
            <w:vAlign w:val="center"/>
          </w:tcPr>
          <w:p>
            <w:r>
              <w:t>1</w:t>
            </w:r>
          </w:p>
        </w:tc>
        <w:tc>
          <w:tcPr>
            <w:tcW w:type="dxa" w:w="1419"/>
            <w:vAlign w:val="center"/>
          </w:tcPr>
          <w:p>
            <w:r>
              <w:t>0</w:t>
            </w:r>
          </w:p>
        </w:tc>
        <w:tc>
          <w:tcPr>
            <w:tcW w:type="dxa" w:w="1419"/>
            <w:vAlign w:val="center"/>
          </w:tcPr>
          <w:p>
            <w:r>
              <w:t>1</w:t>
            </w:r>
          </w:p>
        </w:tc>
      </w:tr>
      <w:tr>
        <w:tc>
          <w:tcPr>
            <w:tcW w:type="dxa" w:w="1419"/>
            <w:vAlign w:val="center"/>
          </w:tcPr>
          <w:p>
            <w:r>
              <w:t>2D</w:t>
            </w:r>
          </w:p>
        </w:tc>
        <w:tc>
          <w:tcPr>
            <w:tcW w:type="dxa" w:w="1419"/>
            <w:vAlign w:val="center"/>
          </w:tcPr>
          <w:p>
            <w:r>
              <w:t>Shape</w:t>
            </w:r>
          </w:p>
        </w:tc>
        <w:tc>
          <w:tcPr>
            <w:tcW w:type="dxa" w:w="1419"/>
            <w:vAlign w:val="center"/>
          </w:tcPr>
          <w:p>
            <w:r>
              <w:t>46</w:t>
            </w:r>
          </w:p>
        </w:tc>
        <w:tc>
          <w:tcPr>
            <w:tcW w:type="dxa" w:w="1419"/>
            <w:vAlign w:val="center"/>
          </w:tcPr>
          <w:p>
            <w:r>
              <w:t>17.4%</w:t>
            </w:r>
          </w:p>
        </w:tc>
        <w:tc>
          <w:tcPr>
            <w:tcW w:type="dxa" w:w="1419"/>
            <w:vAlign w:val="center"/>
          </w:tcPr>
          <w:p>
            <w:r>
              <w:t>12</w:t>
            </w:r>
          </w:p>
        </w:tc>
        <w:tc>
          <w:tcPr>
            <w:tcW w:type="dxa" w:w="1419"/>
            <w:vAlign w:val="center"/>
          </w:tcPr>
          <w:p>
            <w:r>
              <w:t>0</w:t>
            </w:r>
          </w:p>
        </w:tc>
        <w:tc>
          <w:tcPr>
            <w:tcW w:type="dxa" w:w="1419"/>
            <w:vAlign w:val="center"/>
          </w:tcPr>
          <w:p>
            <w:r>
              <w:t>12</w:t>
            </w:r>
          </w:p>
        </w:tc>
      </w:tr>
    </w:tbl>
    <w:p/>
    <w:p>
      <w:r>
        <w:drawing>
          <wp:inline xmlns:a="http://schemas.openxmlformats.org/drawingml/2006/main" xmlns:pic="http://schemas.openxmlformats.org/drawingml/2006/picture">
            <wp:extent cx="5943600" cy="2377440"/>
            <wp:docPr id="7" name="Picture 7"/>
            <wp:cNvGraphicFramePr>
              <a:graphicFrameLocks noChangeAspect="1"/>
            </wp:cNvGraphicFramePr>
            <a:graphic>
              <a:graphicData uri="http://schemas.openxmlformats.org/drawingml/2006/picture">
                <pic:pic>
                  <pic:nvPicPr>
                    <pic:cNvPr id="0" name="feature_family_improvements.png"/>
                    <pic:cNvPicPr/>
                  </pic:nvPicPr>
                  <pic:blipFill>
                    <a:blip r:embed="rId15"/>
                    <a:stretch>
                      <a:fillRect/>
                    </a:stretch>
                  </pic:blipFill>
                  <pic:spPr>
                    <a:xfrm>
                      <a:off x="0" y="0"/>
                      <a:ext cx="5943600" cy="2377440"/>
                    </a:xfrm>
                    <a:prstGeom prst="rect"/>
                  </pic:spPr>
                </pic:pic>
              </a:graphicData>
            </a:graphic>
          </wp:inline>
        </w:drawing>
      </w:r>
    </w:p>
    <w:p>
      <w:pPr>
        <w:pStyle w:val="Caption"/>
        <w:jc w:val="center"/>
      </w:pPr>
      <w:r>
        <w:t>Şekil 3. Feature ailesi bazında CV ve pairwise farkın birlikte iyileştiği feature oranı.</w:t>
      </w:r>
    </w:p>
    <w:p>
      <w:pPr>
        <w:pStyle w:val="Heading1"/>
      </w:pPr>
      <w:r>
        <w:t>Resampling Kontrolü: World-space ve Registration</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Mode</w:t>
            </w:r>
          </w:p>
        </w:tc>
        <w:tc>
          <w:tcPr>
            <w:tcW w:type="dxa" w:w="2484"/>
            <w:vAlign w:val="center"/>
          </w:tcPr>
          <w:p>
            <w:r>
              <w:rPr>
                <w:b/>
              </w:rPr>
              <w:t>Feature sayısı</w:t>
            </w:r>
          </w:p>
        </w:tc>
        <w:tc>
          <w:tcPr>
            <w:tcW w:type="dxa" w:w="2484"/>
            <w:vAlign w:val="center"/>
          </w:tcPr>
          <w:p>
            <w:r>
              <w:rPr>
                <w:b/>
              </w:rPr>
              <w:t>Organ-feature satırı</w:t>
            </w:r>
          </w:p>
        </w:tc>
        <w:tc>
          <w:tcPr>
            <w:tcW w:type="dxa" w:w="2484"/>
            <w:vAlign w:val="center"/>
          </w:tcPr>
          <w:p>
            <w:r>
              <w:rPr>
                <w:b/>
              </w:rPr>
              <w:t>Median relative fark</w:t>
            </w:r>
          </w:p>
        </w:tc>
      </w:tr>
      <w:tr>
        <w:tc>
          <w:tcPr>
            <w:tcW w:type="dxa" w:w="2484"/>
            <w:vAlign w:val="center"/>
          </w:tcPr>
          <w:p>
            <w:r>
              <w:t>3D</w:t>
            </w:r>
          </w:p>
        </w:tc>
        <w:tc>
          <w:tcPr>
            <w:tcW w:type="dxa" w:w="2484"/>
            <w:vAlign w:val="center"/>
          </w:tcPr>
          <w:p>
            <w:r>
              <w:t>209</w:t>
            </w:r>
          </w:p>
        </w:tc>
        <w:tc>
          <w:tcPr>
            <w:tcW w:type="dxa" w:w="2484"/>
            <w:vAlign w:val="center"/>
          </w:tcPr>
          <w:p>
            <w:r>
              <w:t>418</w:t>
            </w:r>
          </w:p>
        </w:tc>
        <w:tc>
          <w:tcPr>
            <w:tcW w:type="dxa" w:w="2484"/>
            <w:vAlign w:val="center"/>
          </w:tcPr>
          <w:p>
            <w:r>
              <w:t>0.1134</w:t>
            </w:r>
          </w:p>
        </w:tc>
      </w:tr>
      <w:tr>
        <w:tc>
          <w:tcPr>
            <w:tcW w:type="dxa" w:w="2484"/>
            <w:vAlign w:val="center"/>
          </w:tcPr>
          <w:p>
            <w:r>
              <w:t>2D</w:t>
            </w:r>
          </w:p>
        </w:tc>
        <w:tc>
          <w:tcPr>
            <w:tcW w:type="dxa" w:w="2484"/>
            <w:vAlign w:val="center"/>
          </w:tcPr>
          <w:p>
            <w:r>
              <w:t>345</w:t>
            </w:r>
          </w:p>
        </w:tc>
        <w:tc>
          <w:tcPr>
            <w:tcW w:type="dxa" w:w="2484"/>
            <w:vAlign w:val="center"/>
          </w:tcPr>
          <w:p>
            <w:r>
              <w:t>690</w:t>
            </w:r>
          </w:p>
        </w:tc>
        <w:tc>
          <w:tcPr>
            <w:tcW w:type="dxa" w:w="2484"/>
            <w:vAlign w:val="center"/>
          </w:tcPr>
          <w:p>
            <w:r>
              <w:t>0.0789</w:t>
            </w:r>
          </w:p>
        </w:tc>
      </w:tr>
    </w:tbl>
    <w:p/>
    <w:p>
      <w:r>
        <w:t>Identity/world-space kontrolündeki üç 20260402 pair’de spleen/aorta ROI’si fixed grid’e taşınmadığı için MIRP feature’ı üretilemedi; bu pair’ler B→C kontrolünden dışlandı. Bu nedenle bu aşamadaki world-space/registered karşılaştırma 85 ortak pair’i kapsar.</w:t>
      </w:r>
    </w:p>
    <w:p>
      <w:pPr>
        <w:pStyle w:val="Heading1"/>
      </w:pPr>
      <w:r>
        <w:t>Tartışma</w:t>
      </w:r>
    </w:p>
    <w:p>
      <w:r>
        <w:t>V6, organ maskelerinin spatial overlap’ını kuvvetle artırdı. Aynı zamanda session-aware analiz, radyomik repeatability etkisinin feature-dependent olduğunu gösterdi. Registered ve identity/world-space arasındaki feature farkları resampling/interpolation etkisini de içerir. Dolayısıyla geometrik Dice iyileşmesi doğrudan radiomic reproducibility iyileşmesi olarak yorumlanmamalıdır. Özellikle GLCM/GLRLM gibi texture ailelerinde 2D/3D tanımları ve pooling yöntemleri ayrı değerlendirilmelidir.</w:t>
      </w:r>
    </w:p>
    <w:p>
      <w:pPr>
        <w:pStyle w:val="Heading1"/>
      </w:pPr>
      <w:r>
        <w:t>Sınırlılıklar ve Sonraki İşler</w:t>
      </w:r>
    </w:p>
    <w:p>
      <w:pPr>
        <w:pStyle w:val="ListBullet"/>
      </w:pPr>
      <w:r>
        <w:t>Reference tek bir seri (20260805 take1) olduğundan farklı reference/medoid stratejileri sensitivity analysis olarak test edilmelidir.</w:t>
      </w:r>
    </w:p>
    <w:p>
      <w:pPr>
        <w:pStyle w:val="ListBullet"/>
      </w:pPr>
      <w:r>
        <w:t>Düşük Dice kalan pair’lerde görsel QC gereklidir; Dice segmentasyon değişkenliği ve FOV’dan da etkilenir.</w:t>
      </w:r>
    </w:p>
    <w:p>
      <w:pPr>
        <w:pStyle w:val="ListBullet"/>
      </w:pPr>
      <w:r>
        <w:t>Aorta için aynı-oturum TotalSegmentator maksimum Dice 0.9892 olduğundan 0.99 katı eşiği ölçülebilir segmentation tavanıyla uyumsuzdur.</w:t>
      </w:r>
    </w:p>
    <w:p>
      <w:pPr>
        <w:pStyle w:val="ListBullet"/>
      </w:pPr>
      <w:r>
        <w:t>Feature aileleri ve organlar ayrı raporlanmalı; near-zero/kararsız feature’lar relative fark analizinden çıkarılmalı veya özel işaretlenmelidir.</w:t>
      </w:r>
    </w:p>
    <w:p>
      <w:pPr>
        <w:pStyle w:val="ListBullet"/>
      </w:pPr>
      <w:r>
        <w:t>Companion organ-coordinate yaklaşımıyla aynı pair’ler ve aynı MIRP ayarlarında karşılaştırma yapılmalıdır.</w:t>
      </w:r>
    </w:p>
    <w:p>
      <w:pPr>
        <w:pStyle w:val="Heading1"/>
      </w:pPr>
      <w:r>
        <w:t>Sonuç</w:t>
      </w:r>
    </w:p>
    <w:p>
      <w:r>
        <w:t>V6’da rigid ve landmark/centroid tabanlı spatial standardization, longitudinal PhantomX organ maskelerinin geometrik uyumunu belirgin biçimde artırdı. Ancak radiomic repeatability’de kazanım tüm feature’lara yayılmadı; bazı feature ailelerinde iyileşme, bazılarında kötüleşme görüldü. Bu nedenle registration’ın gerekliliği organ ve feature ailesi bazında değerlendirilmeli; identity/world-space resampling kontrolü ve companion yöntem karşılaştırması tamamlanmadan tüm radiomics için genel üstünlük iddia edilmemelidir.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