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Longitudinal PhantomX CT’de Organ Radyomik Ölçümlerinin</w:t>
        <w:br/>
        <w:t>Registration-Based Spatial Standardization’ı</w:t>
      </w:r>
    </w:p>
    <w:p>
      <w:pPr>
        <w:jc w:val="center"/>
      </w:pPr>
      <w:r>
        <w:rPr>
          <w:i/>
        </w:rPr>
        <w:t>v1.1.0 analiz raporu | 2 Kasım 2026</w:t>
      </w:r>
    </w:p>
    <w:p/>
    <w:p>
      <w:pPr>
        <w:pStyle w:val="Heading1"/>
      </w:pPr>
      <w:r>
        <w:t>Özet</w:t>
      </w:r>
    </w:p>
    <w:p>
      <w:r>
        <w:t>Bu çalışmada PhantomX longitudinal PCCT görüntülerinde spleen ve aorta maskelerinin fiziksel koordinat farklılıkları ve registration’ın radyomik tekrarlanabilirliğe etkisi incelendi. Toplam 88 moving seri, 20260805 take1 referansına karşı değerlendirildi. Registration sonrası ortalama Dice spleen için 0.257’ten 0.964’e, aorta için 0.260’ten 0.933’e yükseldi. En güvenilir fallback, vertebra/kaburga/sternum centroid’lerinden türetilen landmark rigid dönüşümü oldu. Bununla birlikte, radiomic feature tekrarlanabilirliği feature ailesine göre değişti; registration bütün feature’ları iyileştirmedi. Zurich test-retest doğrulamasında 5 mm skip eşiği ile tüm pair’ler identity’de kaldı ve Dice değişmedi; cross-date’te ise registration Dice’ı 0.03–0.13’ten 0.93–0.96’ya çıkardı.</w:t>
      </w:r>
    </w:p>
    <w:p>
      <w:pPr>
        <w:pStyle w:val="Heading1"/>
      </w:pPr>
      <w:r>
        <w:t>Araştırma Sorusu</w:t>
      </w:r>
    </w:p>
    <w:p>
      <w:r>
        <w:t>Longitudinal CT’de explicit rigid registration, registration-free DICOM world-space yaklaşımına kıyasla organ maskesi hizasını ve organ-level radiomic feature tekrarlanabilirliğini iyileştiriyor mu?</w:t>
      </w:r>
    </w:p>
    <w:p>
      <w:pPr>
        <w:pStyle w:val="Heading1"/>
      </w:pPr>
      <w:r>
        <w:t>Veri ve Değerlendirme Tasarımı</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Öğe</w:t>
            </w:r>
          </w:p>
        </w:tc>
        <w:tc>
          <w:tcPr>
            <w:tcW w:type="dxa" w:w="4968"/>
            <w:vAlign w:val="center"/>
          </w:tcPr>
          <w:p>
            <w:r>
              <w:rPr>
                <w:b/>
              </w:rPr>
              <w:t>Açıklama</w:t>
            </w:r>
          </w:p>
        </w:tc>
      </w:tr>
      <w:tr>
        <w:tc>
          <w:tcPr>
            <w:tcW w:type="dxa" w:w="4968"/>
            <w:vAlign w:val="center"/>
          </w:tcPr>
          <w:p>
            <w:r>
              <w:t>Veri</w:t>
            </w:r>
          </w:p>
        </w:tc>
        <w:tc>
          <w:tcPr>
            <w:tcW w:type="dxa" w:w="4968"/>
            <w:vAlign w:val="center"/>
          </w:tcPr>
          <w:p>
            <w:r>
              <w:t>22 PhantomX oturumu; 89 seri</w:t>
            </w:r>
          </w:p>
        </w:tc>
      </w:tr>
      <w:tr>
        <w:tc>
          <w:tcPr>
            <w:tcW w:type="dxa" w:w="4968"/>
            <w:vAlign w:val="center"/>
          </w:tcPr>
          <w:p>
            <w:r>
              <w:t>Analiz pair’i</w:t>
            </w:r>
          </w:p>
        </w:tc>
        <w:tc>
          <w:tcPr>
            <w:tcW w:type="dxa" w:w="4968"/>
            <w:vAlign w:val="center"/>
          </w:tcPr>
          <w:p>
            <w:r>
              <w:t>1 fixed referans (20260805 take1) + 88 moving seri</w:t>
            </w:r>
          </w:p>
        </w:tc>
      </w:tr>
      <w:tr>
        <w:tc>
          <w:tcPr>
            <w:tcW w:type="dxa" w:w="4968"/>
            <w:vAlign w:val="center"/>
          </w:tcPr>
          <w:p>
            <w:r>
              <w:t>Protokol</w:t>
            </w:r>
          </w:p>
        </w:tc>
        <w:tc>
          <w:tcPr>
            <w:tcW w:type="dxa" w:w="4968"/>
            <w:vAlign w:val="center"/>
          </w:tcPr>
          <w:p>
            <w:r>
              <w:t>NAEOTOM Alpha PCCT, Q3/Qr40f, 120 kV, 100 mAs, 300 mm FOV, 1 mm</w:t>
            </w:r>
          </w:p>
        </w:tc>
      </w:tr>
      <w:tr>
        <w:tc>
          <w:tcPr>
            <w:tcW w:type="dxa" w:w="4968"/>
            <w:vAlign w:val="center"/>
          </w:tcPr>
          <w:p>
            <w:r>
              <w:t>Hedef organlar</w:t>
            </w:r>
          </w:p>
        </w:tc>
        <w:tc>
          <w:tcPr>
            <w:tcW w:type="dxa" w:w="4968"/>
            <w:vAlign w:val="center"/>
          </w:tcPr>
          <w:p>
            <w:r>
              <w:t>Spleen (label 1), aorta (label 52)</w:t>
            </w:r>
          </w:p>
        </w:tc>
      </w:tr>
      <w:tr>
        <w:tc>
          <w:tcPr>
            <w:tcW w:type="dxa" w:w="4968"/>
            <w:vAlign w:val="center"/>
          </w:tcPr>
          <w:p>
            <w:r>
              <w:t>Geometrik metrikler</w:t>
            </w:r>
          </w:p>
        </w:tc>
        <w:tc>
          <w:tcPr>
            <w:tcW w:type="dxa" w:w="4968"/>
            <w:vAlign w:val="center"/>
          </w:tcPr>
          <w:p>
            <w:r>
              <w:t>Dice, centroid displacement, HD95, ASSD</w:t>
            </w:r>
          </w:p>
        </w:tc>
      </w:tr>
      <w:tr>
        <w:tc>
          <w:tcPr>
            <w:tcW w:type="dxa" w:w="4968"/>
            <w:vAlign w:val="center"/>
          </w:tcPr>
          <w:p>
            <w:r>
              <w:t>Radiomics</w:t>
            </w:r>
          </w:p>
        </w:tc>
        <w:tc>
          <w:tcPr>
            <w:tcW w:type="dxa" w:w="4968"/>
            <w:vAlign w:val="center"/>
          </w:tcPr>
          <w:p>
            <w:r>
              <w:t>MIRP 2.5.0, IBSI ayarları; ayrı 2D ve 3D</w:t>
            </w:r>
          </w:p>
        </w:tc>
      </w:tr>
    </w:tbl>
    <w:p/>
    <w:p>
      <w:pPr>
        <w:pStyle w:val="Heading1"/>
      </w:pPr>
      <w:r>
        <w:t>Kullanılan Yöntem</w:t>
      </w:r>
    </w:p>
    <w:p>
      <w:r>
        <w:t>DICOM geometri bilgisi korunarak CT ve multi-label maskeler fiziksel/world koordinatlarda karşılaştırıldı. Hedef organ centroid displacement’ı 5 mm veya altındaysa identity/world-space sonuç korundu. Büyük farklarda önce correlation tabanlı rigid registration denendi. Registration QC’si, hedef organ Dice’ına göre değil bağımsız vertebra, kaburga ve sternum maskeleri üzerinden yapıldı. Rigid sonuç QC’yi geçmediğinde landmark centroid’lerinden Kabsch/SVD rigid dönüşümü; bu da geçmezse translation fallback denendi. Hiçbir aday QC’yi geçmezse identity dönüşümü korundu. CT linear, label maskeler nearest-neighbor interpolation ile fixed grid’e taşındı.</w:t>
      </w:r>
    </w:p>
    <w:p>
      <w:r>
        <w:t>Aday dönüşümün kabulünde stabil Dice'ın artması ve centroid displacement, HD95, ASSD değerlerinin tanımlı toleranslarda kalması şart koşuldu. Böylece hedef organ maskeleri registration'ı seçmek için kullanılmadı.</w:t>
      </w:r>
    </w:p>
    <w:p>
      <w:r>
        <w:drawing>
          <wp:inline xmlns:a="http://schemas.openxmlformats.org/drawingml/2006/main" xmlns:pic="http://schemas.openxmlformats.org/drawingml/2006/picture">
            <wp:extent cx="5669280" cy="7769013"/>
            <wp:docPr id="1" name="Picture 1"/>
            <wp:cNvGraphicFramePr>
              <a:graphicFrameLocks noChangeAspect="1"/>
            </wp:cNvGraphicFramePr>
            <a:graphic>
              <a:graphicData uri="http://schemas.openxmlformats.org/drawingml/2006/picture">
                <pic:pic>
                  <pic:nvPicPr>
                    <pic:cNvPr id="0" name="method_flowchart.png"/>
                    <pic:cNvPicPr/>
                  </pic:nvPicPr>
                  <pic:blipFill>
                    <a:blip r:embed="rId9"/>
                    <a:stretch>
                      <a:fillRect/>
                    </a:stretch>
                  </pic:blipFill>
                  <pic:spPr>
                    <a:xfrm>
                      <a:off x="0" y="0"/>
                      <a:ext cx="5669280" cy="7769013"/>
                    </a:xfrm>
                    <a:prstGeom prst="rect"/>
                  </pic:spPr>
                </pic:pic>
              </a:graphicData>
            </a:graphic>
          </wp:inline>
        </w:drawing>
      </w:r>
    </w:p>
    <w:p>
      <w:pPr>
        <w:pStyle w:val="Caption"/>
        <w:jc w:val="center"/>
      </w:pPr>
      <w:r>
        <w:t>Şekil. Registration yöntem akışı: stabil kemik maskesi, centroid ötelemesi (başlangıç), correlation/landmark rigid adayları, kemik-Dice QC ve en iyi aday seçimi.</w:t>
      </w:r>
    </w:p>
    <w:p>
      <w:r>
        <w:t>Akış özeti: (1) stabil kemik maskesi çıkarılır; (2) organ centroid farkı eşiğin altındaysa identity; (3) aksi halde kemik centroid ötelemesi başlangıç alınır; (4) correlation rigid ve landmark rigid (Kabsch/SVD) adayları üretilir; (5) her aday kemik Dice ve centroid/HD95/ASSD toleransıyla QC edilir; (6) geçen adaylar arasından en yüksek kemik Dice'lısı seçilir; (7) hiçbiri geçmezse centroid öteleme, o da geçmezse identity uygulanır.</w:t>
      </w:r>
    </w:p>
    <w:p>
      <w:pPr>
        <w:pStyle w:val="Heading1"/>
      </w:pPr>
      <w:r>
        <w:t>Dice Eşiği ve Yorum</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Organ</w:t>
            </w:r>
          </w:p>
        </w:tc>
        <w:tc>
          <w:tcPr>
            <w:tcW w:type="dxa" w:w="2484"/>
            <w:vAlign w:val="center"/>
          </w:tcPr>
          <w:p>
            <w:r>
              <w:rPr>
                <w:b/>
              </w:rPr>
              <w:t>Aynı oturum median Dice</w:t>
            </w:r>
          </w:p>
        </w:tc>
        <w:tc>
          <w:tcPr>
            <w:tcW w:type="dxa" w:w="2484"/>
            <w:vAlign w:val="center"/>
          </w:tcPr>
          <w:p>
            <w:r>
              <w:rPr>
                <w:b/>
              </w:rPr>
              <w:t>Gözlenen maksimum Dice</w:t>
            </w:r>
          </w:p>
        </w:tc>
        <w:tc>
          <w:tcPr>
            <w:tcW w:type="dxa" w:w="2484"/>
            <w:vAlign w:val="center"/>
          </w:tcPr>
          <w:p>
            <w:r>
              <w:rPr>
                <w:b/>
              </w:rPr>
              <w:t>v1.0.0 ortalama final Dice</w:t>
            </w:r>
          </w:p>
        </w:tc>
      </w:tr>
      <w:tr>
        <w:tc>
          <w:tcPr>
            <w:tcW w:type="dxa" w:w="2484"/>
            <w:vAlign w:val="center"/>
          </w:tcPr>
          <w:p>
            <w:r>
              <w:t>Spleen</w:t>
            </w:r>
          </w:p>
        </w:tc>
        <w:tc>
          <w:tcPr>
            <w:tcW w:type="dxa" w:w="2484"/>
            <w:vAlign w:val="center"/>
          </w:tcPr>
          <w:p>
            <w:r>
              <w:t>0.9714</w:t>
            </w:r>
          </w:p>
        </w:tc>
        <w:tc>
          <w:tcPr>
            <w:tcW w:type="dxa" w:w="2484"/>
            <w:vAlign w:val="center"/>
          </w:tcPr>
          <w:p>
            <w:r>
              <w:t>0.9962</w:t>
            </w:r>
          </w:p>
        </w:tc>
        <w:tc>
          <w:tcPr>
            <w:tcW w:type="dxa" w:w="2484"/>
            <w:vAlign w:val="center"/>
          </w:tcPr>
          <w:p>
            <w:r>
              <w:t>0.9640</w:t>
            </w:r>
          </w:p>
        </w:tc>
      </w:tr>
      <w:tr>
        <w:tc>
          <w:tcPr>
            <w:tcW w:type="dxa" w:w="2484"/>
            <w:vAlign w:val="center"/>
          </w:tcPr>
          <w:p>
            <w:r>
              <w:t>Aorta</w:t>
            </w:r>
          </w:p>
        </w:tc>
        <w:tc>
          <w:tcPr>
            <w:tcW w:type="dxa" w:w="2484"/>
            <w:vAlign w:val="center"/>
          </w:tcPr>
          <w:p>
            <w:r>
              <w:t>0.9426</w:t>
            </w:r>
          </w:p>
        </w:tc>
        <w:tc>
          <w:tcPr>
            <w:tcW w:type="dxa" w:w="2484"/>
            <w:vAlign w:val="center"/>
          </w:tcPr>
          <w:p>
            <w:r>
              <w:t>0.9892</w:t>
            </w:r>
          </w:p>
        </w:tc>
        <w:tc>
          <w:tcPr>
            <w:tcW w:type="dxa" w:w="2484"/>
            <w:vAlign w:val="center"/>
          </w:tcPr>
          <w:p>
            <w:r>
              <w:t>0.9329</w:t>
            </w:r>
          </w:p>
        </w:tc>
      </w:tr>
    </w:tbl>
    <w:p/>
    <w:p>
      <w:r>
        <w:t>Dice = 2|A∩B|/(|A|+|B|), yani iki binary maskenin voxel overlap ölçüsüdür. Dice 1’e yaklaştıkça overlap artar; tek başına ground-truth segmentation doğruluğunu veya radiomic tekrarlanabilirliği kanıtlamaz. Aynı oturumdaki TotalSegmentator maskelerinde aorta için gözlenen maksimum Dice 0.99’un altında olduğundan, tüm pair’lerde Dice≥0.99 şartı bu veriyle gerçekçi bir kabul kriteri değildir.</w:t>
      </w:r>
    </w:p>
    <w:p>
      <w:pPr>
        <w:pStyle w:val="Heading1"/>
      </w:pPr>
      <w:r>
        <w:t>Registration Sonuçları</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Ölçüm</w:t>
            </w:r>
          </w:p>
        </w:tc>
        <w:tc>
          <w:tcPr>
            <w:tcW w:type="dxa" w:w="3312"/>
            <w:vAlign w:val="center"/>
          </w:tcPr>
          <w:p>
            <w:r>
              <w:rPr>
                <w:b/>
              </w:rPr>
              <w:t>Spleen</w:t>
            </w:r>
          </w:p>
        </w:tc>
        <w:tc>
          <w:tcPr>
            <w:tcW w:type="dxa" w:w="3312"/>
            <w:vAlign w:val="center"/>
          </w:tcPr>
          <w:p>
            <w:r>
              <w:rPr>
                <w:b/>
              </w:rPr>
              <w:t>Aorta</w:t>
            </w:r>
          </w:p>
        </w:tc>
      </w:tr>
      <w:tr>
        <w:tc>
          <w:tcPr>
            <w:tcW w:type="dxa" w:w="3312"/>
            <w:vAlign w:val="center"/>
          </w:tcPr>
          <w:p>
            <w:r>
              <w:t>Ortalama Dice, öncesi</w:t>
            </w:r>
          </w:p>
        </w:tc>
        <w:tc>
          <w:tcPr>
            <w:tcW w:type="dxa" w:w="3312"/>
            <w:vAlign w:val="center"/>
          </w:tcPr>
          <w:p>
            <w:r>
              <w:t>0.2566</w:t>
            </w:r>
          </w:p>
        </w:tc>
        <w:tc>
          <w:tcPr>
            <w:tcW w:type="dxa" w:w="3312"/>
            <w:vAlign w:val="center"/>
          </w:tcPr>
          <w:p>
            <w:r>
              <w:t>0.2604</w:t>
            </w:r>
          </w:p>
        </w:tc>
      </w:tr>
      <w:tr>
        <w:tc>
          <w:tcPr>
            <w:tcW w:type="dxa" w:w="3312"/>
            <w:vAlign w:val="center"/>
          </w:tcPr>
          <w:p>
            <w:r>
              <w:t>Ortalama Dice, v1.0.0 sonrası</w:t>
            </w:r>
          </w:p>
        </w:tc>
        <w:tc>
          <w:tcPr>
            <w:tcW w:type="dxa" w:w="3312"/>
            <w:vAlign w:val="center"/>
          </w:tcPr>
          <w:p>
            <w:r>
              <w:t>0.9640</w:t>
            </w:r>
          </w:p>
        </w:tc>
        <w:tc>
          <w:tcPr>
            <w:tcW w:type="dxa" w:w="3312"/>
            <w:vAlign w:val="center"/>
          </w:tcPr>
          <w:p>
            <w:r>
              <w:t>0.9329</w:t>
            </w:r>
          </w:p>
        </w:tc>
      </w:tr>
      <w:tr>
        <w:tc>
          <w:tcPr>
            <w:tcW w:type="dxa" w:w="3312"/>
            <w:vAlign w:val="center"/>
          </w:tcPr>
          <w:p>
            <w:r>
              <w:t>Dice ≥ 0.90 pair sayısı</w:t>
            </w:r>
          </w:p>
        </w:tc>
        <w:tc>
          <w:tcPr>
            <w:tcW w:type="dxa" w:w="3312"/>
            <w:vAlign w:val="center"/>
          </w:tcPr>
          <w:p>
            <w:r>
              <w:t>87 / 88</w:t>
            </w:r>
          </w:p>
        </w:tc>
        <w:tc>
          <w:tcPr>
            <w:tcW w:type="dxa" w:w="3312"/>
            <w:vAlign w:val="center"/>
          </w:tcPr>
          <w:p>
            <w:r>
              <w:t>88 / 88</w:t>
            </w:r>
          </w:p>
        </w:tc>
      </w:tr>
      <w:tr>
        <w:tc>
          <w:tcPr>
            <w:tcW w:type="dxa" w:w="3312"/>
            <w:vAlign w:val="center"/>
          </w:tcPr>
          <w:p>
            <w:r>
              <w:t>Dice = 0 pair sayısı</w:t>
            </w:r>
          </w:p>
        </w:tc>
        <w:tc>
          <w:tcPr>
            <w:tcW w:type="dxa" w:w="3312"/>
            <w:vAlign w:val="center"/>
          </w:tcPr>
          <w:p>
            <w:r>
              <w:t>0</w:t>
            </w:r>
          </w:p>
        </w:tc>
        <w:tc>
          <w:tcPr>
            <w:tcW w:type="dxa" w:w="3312"/>
            <w:vAlign w:val="center"/>
          </w:tcPr>
          <w:p>
            <w:r>
              <w:t>0</w:t>
            </w:r>
          </w:p>
        </w:tc>
      </w:tr>
    </w:tbl>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v1.0.0 dönüşüm yöntemi</w:t>
            </w:r>
          </w:p>
        </w:tc>
        <w:tc>
          <w:tcPr>
            <w:tcW w:type="dxa" w:w="4968"/>
            <w:vAlign w:val="center"/>
          </w:tcPr>
          <w:p>
            <w:r>
              <w:rPr>
                <w:b/>
              </w:rPr>
              <w:t>Pair sayısı</w:t>
            </w:r>
          </w:p>
        </w:tc>
      </w:tr>
      <w:tr>
        <w:tc>
          <w:tcPr>
            <w:tcW w:type="dxa" w:w="4968"/>
            <w:vAlign w:val="center"/>
          </w:tcPr>
          <w:p>
            <w:r>
              <w:t>landmark_rigid_vertebrae</w:t>
            </w:r>
          </w:p>
        </w:tc>
        <w:tc>
          <w:tcPr>
            <w:tcW w:type="dxa" w:w="4968"/>
            <w:vAlign w:val="center"/>
          </w:tcPr>
          <w:p>
            <w:r>
              <w:t>33</w:t>
            </w:r>
          </w:p>
        </w:tc>
      </w:tr>
      <w:tr>
        <w:tc>
          <w:tcPr>
            <w:tcW w:type="dxa" w:w="4968"/>
            <w:vAlign w:val="center"/>
          </w:tcPr>
          <w:p>
            <w:r>
              <w:t>landmark_rigid_fallback</w:t>
            </w:r>
          </w:p>
        </w:tc>
        <w:tc>
          <w:tcPr>
            <w:tcW w:type="dxa" w:w="4968"/>
            <w:vAlign w:val="center"/>
          </w:tcPr>
          <w:p>
            <w:r>
              <w:t>46</w:t>
            </w:r>
          </w:p>
        </w:tc>
      </w:tr>
      <w:tr>
        <w:tc>
          <w:tcPr>
            <w:tcW w:type="dxa" w:w="4968"/>
            <w:vAlign w:val="center"/>
          </w:tcPr>
          <w:p>
            <w:r>
              <w:t>identity</w:t>
            </w:r>
          </w:p>
        </w:tc>
        <w:tc>
          <w:tcPr>
            <w:tcW w:type="dxa" w:w="4968"/>
            <w:vAlign w:val="center"/>
          </w:tcPr>
          <w:p>
            <w:r>
              <w:t>9</w:t>
            </w:r>
          </w:p>
        </w:tc>
      </w:tr>
    </w:tbl>
    <w:p/>
    <w:p>
      <w:r>
        <w:drawing>
          <wp:inline xmlns:a="http://schemas.openxmlformats.org/drawingml/2006/main" xmlns:pic="http://schemas.openxmlformats.org/drawingml/2006/picture">
            <wp:extent cx="5852160" cy="3277210"/>
            <wp:docPr id="2" name="Picture 2"/>
            <wp:cNvGraphicFramePr>
              <a:graphicFrameLocks noChangeAspect="1"/>
            </wp:cNvGraphicFramePr>
            <a:graphic>
              <a:graphicData uri="http://schemas.openxmlformats.org/drawingml/2006/picture">
                <pic:pic>
                  <pic:nvPicPr>
                    <pic:cNvPr id="0" name="v6_dice_summary.png"/>
                    <pic:cNvPicPr/>
                  </pic:nvPicPr>
                  <pic:blipFill>
                    <a:blip r:embed="rId10"/>
                    <a:stretch>
                      <a:fillRect/>
                    </a:stretch>
                  </pic:blipFill>
                  <pic:spPr>
                    <a:xfrm>
                      <a:off x="0" y="0"/>
                      <a:ext cx="5852160" cy="3277210"/>
                    </a:xfrm>
                    <a:prstGeom prst="rect"/>
                  </pic:spPr>
                </pic:pic>
              </a:graphicData>
            </a:graphic>
          </wp:inline>
        </w:drawing>
      </w:r>
    </w:p>
    <w:p>
      <w:pPr>
        <w:pStyle w:val="Caption"/>
        <w:jc w:val="center"/>
      </w:pPr>
      <w:r>
        <w:t>Şekil 1. v1.0.0 registration öncesi ve sonrası ortalama organ Dice değerleri.</w:t>
      </w:r>
    </w:p>
    <w:p>
      <w:r>
        <w:drawing>
          <wp:inline xmlns:a="http://schemas.openxmlformats.org/drawingml/2006/main" xmlns:pic="http://schemas.openxmlformats.org/drawingml/2006/picture">
            <wp:extent cx="5852160" cy="3277210"/>
            <wp:docPr id="3" name="Picture 3"/>
            <wp:cNvGraphicFramePr>
              <a:graphicFrameLocks noChangeAspect="1"/>
            </wp:cNvGraphicFramePr>
            <a:graphic>
              <a:graphicData uri="http://schemas.openxmlformats.org/drawingml/2006/picture">
                <pic:pic>
                  <pic:nvPicPr>
                    <pic:cNvPr id="0" name="v6_method_counts.png"/>
                    <pic:cNvPicPr/>
                  </pic:nvPicPr>
                  <pic:blipFill>
                    <a:blip r:embed="rId11"/>
                    <a:stretch>
                      <a:fillRect/>
                    </a:stretch>
                  </pic:blipFill>
                  <pic:spPr>
                    <a:xfrm>
                      <a:off x="0" y="0"/>
                      <a:ext cx="5852160" cy="3277210"/>
                    </a:xfrm>
                    <a:prstGeom prst="rect"/>
                  </pic:spPr>
                </pic:pic>
              </a:graphicData>
            </a:graphic>
          </wp:inline>
        </w:drawing>
      </w:r>
    </w:p>
    <w:p>
      <w:pPr>
        <w:pStyle w:val="Caption"/>
        <w:jc w:val="center"/>
      </w:pPr>
      <w:r>
        <w:t>Şekil 2. v1.0.0’da pair başına kullanılan dönüşüm yöntemi.</w:t>
      </w:r>
    </w:p>
    <w:p>
      <w:pPr>
        <w:pStyle w:val="Heading1"/>
      </w:pPr>
      <w:r>
        <w:t>Dönüşüm Bileşenlerinin Ayrıştırılması: Identity, Translation, Rotation ve Registration</w:t>
      </w:r>
    </w:p>
    <w:p>
      <w:r>
        <w:t>Organ kaymasının hangi geometrik bileşenden kaynaklandığını ayırmak için, kohortun en büyük kaymasına sahip pair’lerinden biri olan 20260304 (yaklaşık 70 mm masa ötelemesi) üzerinde izole dönüşüm deneyi yapıldı. Aynı moving CT ve maskesi sırasıyla identity (dönüşümsüz), yalnız translasyon (centroid), yalnız rotasyon ve geliştirilen landmark rigid (Kabsch/SVD) registration ile fixed grid’e taşındı; her adımda Dice, centroid displacement, HD95 ve ASSD ölçüldü.</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Dönüşüm</w:t>
            </w:r>
          </w:p>
        </w:tc>
        <w:tc>
          <w:tcPr>
            <w:tcW w:type="dxa" w:w="1656"/>
            <w:vAlign w:val="center"/>
          </w:tcPr>
          <w:p>
            <w:r>
              <w:rPr>
                <w:b/>
              </w:rPr>
              <w:t>Organ</w:t>
            </w:r>
          </w:p>
        </w:tc>
        <w:tc>
          <w:tcPr>
            <w:tcW w:type="dxa" w:w="1656"/>
            <w:vAlign w:val="center"/>
          </w:tcPr>
          <w:p>
            <w:r>
              <w:rPr>
                <w:b/>
              </w:rPr>
              <w:t>Dice</w:t>
            </w:r>
          </w:p>
        </w:tc>
        <w:tc>
          <w:tcPr>
            <w:tcW w:type="dxa" w:w="1656"/>
            <w:vAlign w:val="center"/>
          </w:tcPr>
          <w:p>
            <w:r>
              <w:rPr>
                <w:b/>
              </w:rPr>
              <w:t>Centroid (mm)</w:t>
            </w:r>
          </w:p>
        </w:tc>
        <w:tc>
          <w:tcPr>
            <w:tcW w:type="dxa" w:w="1656"/>
            <w:vAlign w:val="center"/>
          </w:tcPr>
          <w:p>
            <w:r>
              <w:rPr>
                <w:b/>
              </w:rPr>
              <w:t>HD95 (mm)</w:t>
            </w:r>
          </w:p>
        </w:tc>
        <w:tc>
          <w:tcPr>
            <w:tcW w:type="dxa" w:w="1656"/>
            <w:vAlign w:val="center"/>
          </w:tcPr>
          <w:p>
            <w:r>
              <w:rPr>
                <w:b/>
              </w:rPr>
              <w:t>ASSD (mm)</w:t>
            </w:r>
          </w:p>
        </w:tc>
      </w:tr>
      <w:tr>
        <w:tc>
          <w:tcPr>
            <w:tcW w:type="dxa" w:w="1656"/>
            <w:vAlign w:val="center"/>
          </w:tcPr>
          <w:p>
            <w:r>
              <w:t>Identity</w:t>
            </w:r>
          </w:p>
        </w:tc>
        <w:tc>
          <w:tcPr>
            <w:tcW w:type="dxa" w:w="1656"/>
            <w:vAlign w:val="center"/>
          </w:tcPr>
          <w:p>
            <w:r>
              <w:t>Spleen</w:t>
            </w:r>
          </w:p>
        </w:tc>
        <w:tc>
          <w:tcPr>
            <w:tcW w:type="dxa" w:w="1656"/>
            <w:vAlign w:val="center"/>
          </w:tcPr>
          <w:p>
            <w:r>
              <w:t>0.0000</w:t>
            </w:r>
          </w:p>
        </w:tc>
        <w:tc>
          <w:tcPr>
            <w:tcW w:type="dxa" w:w="1656"/>
            <w:vAlign w:val="center"/>
          </w:tcPr>
          <w:p>
            <w:r>
              <w:t>69.823</w:t>
            </w:r>
          </w:p>
        </w:tc>
        <w:tc>
          <w:tcPr>
            <w:tcW w:type="dxa" w:w="1656"/>
            <w:vAlign w:val="center"/>
          </w:tcPr>
          <w:p>
            <w:r>
              <w:t>71.118</w:t>
            </w:r>
          </w:p>
        </w:tc>
        <w:tc>
          <w:tcPr>
            <w:tcW w:type="dxa" w:w="1656"/>
            <w:vAlign w:val="center"/>
          </w:tcPr>
          <w:p>
            <w:r>
              <w:t>46.537</w:t>
            </w:r>
          </w:p>
        </w:tc>
      </w:tr>
      <w:tr>
        <w:tc>
          <w:tcPr>
            <w:tcW w:type="dxa" w:w="1656"/>
            <w:vAlign w:val="center"/>
          </w:tcPr>
          <w:p>
            <w:r>
              <w:t>Identity</w:t>
            </w:r>
          </w:p>
        </w:tc>
        <w:tc>
          <w:tcPr>
            <w:tcW w:type="dxa" w:w="1656"/>
            <w:vAlign w:val="center"/>
          </w:tcPr>
          <w:p>
            <w:r>
              <w:t>Aorta</w:t>
            </w:r>
          </w:p>
        </w:tc>
        <w:tc>
          <w:tcPr>
            <w:tcW w:type="dxa" w:w="1656"/>
            <w:vAlign w:val="center"/>
          </w:tcPr>
          <w:p>
            <w:r>
              <w:t>0.0000</w:t>
            </w:r>
          </w:p>
        </w:tc>
        <w:tc>
          <w:tcPr>
            <w:tcW w:type="dxa" w:w="1656"/>
            <w:vAlign w:val="center"/>
          </w:tcPr>
          <w:p>
            <w:r>
              <w:t>51.801</w:t>
            </w:r>
          </w:p>
        </w:tc>
        <w:tc>
          <w:tcPr>
            <w:tcW w:type="dxa" w:w="1656"/>
            <w:vAlign w:val="center"/>
          </w:tcPr>
          <w:p>
            <w:r>
              <w:t>71.060</w:t>
            </w:r>
          </w:p>
        </w:tc>
        <w:tc>
          <w:tcPr>
            <w:tcW w:type="dxa" w:w="1656"/>
            <w:vAlign w:val="center"/>
          </w:tcPr>
          <w:p>
            <w:r>
              <w:t>25.668</w:t>
            </w:r>
          </w:p>
        </w:tc>
      </w:tr>
      <w:tr>
        <w:tc>
          <w:tcPr>
            <w:tcW w:type="dxa" w:w="1656"/>
            <w:vAlign w:val="center"/>
          </w:tcPr>
          <w:p>
            <w:r>
              <w:t>Translation-only</w:t>
            </w:r>
          </w:p>
        </w:tc>
        <w:tc>
          <w:tcPr>
            <w:tcW w:type="dxa" w:w="1656"/>
            <w:vAlign w:val="center"/>
          </w:tcPr>
          <w:p>
            <w:r>
              <w:t>Spleen</w:t>
            </w:r>
          </w:p>
        </w:tc>
        <w:tc>
          <w:tcPr>
            <w:tcW w:type="dxa" w:w="1656"/>
            <w:vAlign w:val="center"/>
          </w:tcPr>
          <w:p>
            <w:r>
              <w:t>0.9300</w:t>
            </w:r>
          </w:p>
        </w:tc>
        <w:tc>
          <w:tcPr>
            <w:tcW w:type="dxa" w:w="1656"/>
            <w:vAlign w:val="center"/>
          </w:tcPr>
          <w:p>
            <w:r>
              <w:t>2.432</w:t>
            </w:r>
          </w:p>
        </w:tc>
        <w:tc>
          <w:tcPr>
            <w:tcW w:type="dxa" w:w="1656"/>
            <w:vAlign w:val="center"/>
          </w:tcPr>
          <w:p>
            <w:r>
              <w:t>2.000</w:t>
            </w:r>
          </w:p>
        </w:tc>
        <w:tc>
          <w:tcPr>
            <w:tcW w:type="dxa" w:w="1656"/>
            <w:vAlign w:val="center"/>
          </w:tcPr>
          <w:p>
            <w:r>
              <w:t>0.742</w:t>
            </w:r>
          </w:p>
        </w:tc>
      </w:tr>
      <w:tr>
        <w:tc>
          <w:tcPr>
            <w:tcW w:type="dxa" w:w="1656"/>
            <w:vAlign w:val="center"/>
          </w:tcPr>
          <w:p>
            <w:r>
              <w:t>Translation-only</w:t>
            </w:r>
          </w:p>
        </w:tc>
        <w:tc>
          <w:tcPr>
            <w:tcW w:type="dxa" w:w="1656"/>
            <w:vAlign w:val="center"/>
          </w:tcPr>
          <w:p>
            <w:r>
              <w:t>Aorta</w:t>
            </w:r>
          </w:p>
        </w:tc>
        <w:tc>
          <w:tcPr>
            <w:tcW w:type="dxa" w:w="1656"/>
            <w:vAlign w:val="center"/>
          </w:tcPr>
          <w:p>
            <w:r>
              <w:t>0.9219</w:t>
            </w:r>
          </w:p>
        </w:tc>
        <w:tc>
          <w:tcPr>
            <w:tcW w:type="dxa" w:w="1656"/>
            <w:vAlign w:val="center"/>
          </w:tcPr>
          <w:p>
            <w:r>
              <w:t>0.697</w:t>
            </w:r>
          </w:p>
        </w:tc>
        <w:tc>
          <w:tcPr>
            <w:tcW w:type="dxa" w:w="1656"/>
            <w:vAlign w:val="center"/>
          </w:tcPr>
          <w:p>
            <w:r>
              <w:t>1.172</w:t>
            </w:r>
          </w:p>
        </w:tc>
        <w:tc>
          <w:tcPr>
            <w:tcW w:type="dxa" w:w="1656"/>
            <w:vAlign w:val="center"/>
          </w:tcPr>
          <w:p>
            <w:r>
              <w:t>0.426</w:t>
            </w:r>
          </w:p>
        </w:tc>
      </w:tr>
      <w:tr>
        <w:tc>
          <w:tcPr>
            <w:tcW w:type="dxa" w:w="1656"/>
            <w:vAlign w:val="center"/>
          </w:tcPr>
          <w:p>
            <w:r>
              <w:t>Rotation-only</w:t>
            </w:r>
          </w:p>
        </w:tc>
        <w:tc>
          <w:tcPr>
            <w:tcW w:type="dxa" w:w="1656"/>
            <w:vAlign w:val="center"/>
          </w:tcPr>
          <w:p>
            <w:r>
              <w:t>Spleen</w:t>
            </w:r>
          </w:p>
        </w:tc>
        <w:tc>
          <w:tcPr>
            <w:tcW w:type="dxa" w:w="1656"/>
            <w:vAlign w:val="center"/>
          </w:tcPr>
          <w:p>
            <w:r>
              <w:t>0.0000</w:t>
            </w:r>
          </w:p>
        </w:tc>
        <w:tc>
          <w:tcPr>
            <w:tcW w:type="dxa" w:w="1656"/>
            <w:vAlign w:val="center"/>
          </w:tcPr>
          <w:p>
            <w:r>
              <w:t>163.537</w:t>
            </w:r>
          </w:p>
        </w:tc>
        <w:tc>
          <w:tcPr>
            <w:tcW w:type="dxa" w:w="1656"/>
            <w:vAlign w:val="center"/>
          </w:tcPr>
          <w:p>
            <w:r>
              <w:t>156.895</w:t>
            </w:r>
          </w:p>
        </w:tc>
        <w:tc>
          <w:tcPr>
            <w:tcW w:type="dxa" w:w="1656"/>
            <w:vAlign w:val="center"/>
          </w:tcPr>
          <w:p>
            <w:r>
              <w:t>129.443</w:t>
            </w:r>
          </w:p>
        </w:tc>
      </w:tr>
      <w:tr>
        <w:tc>
          <w:tcPr>
            <w:tcW w:type="dxa" w:w="1656"/>
            <w:vAlign w:val="center"/>
          </w:tcPr>
          <w:p>
            <w:r>
              <w:t>Rotation-only</w:t>
            </w:r>
          </w:p>
        </w:tc>
        <w:tc>
          <w:tcPr>
            <w:tcW w:type="dxa" w:w="1656"/>
            <w:vAlign w:val="center"/>
          </w:tcPr>
          <w:p>
            <w:r>
              <w:t>Aorta</w:t>
            </w:r>
          </w:p>
        </w:tc>
        <w:tc>
          <w:tcPr>
            <w:tcW w:type="dxa" w:w="1656"/>
            <w:vAlign w:val="center"/>
          </w:tcPr>
          <w:p>
            <w:r>
              <w:t>0.0000</w:t>
            </w:r>
          </w:p>
        </w:tc>
        <w:tc>
          <w:tcPr>
            <w:tcW w:type="dxa" w:w="1656"/>
            <w:vAlign w:val="center"/>
          </w:tcPr>
          <w:p>
            <w:r>
              <w:t>138.499</w:t>
            </w:r>
          </w:p>
        </w:tc>
        <w:tc>
          <w:tcPr>
            <w:tcW w:type="dxa" w:w="1656"/>
            <w:vAlign w:val="center"/>
          </w:tcPr>
          <w:p>
            <w:r>
              <w:t>150.954</w:t>
            </w:r>
          </w:p>
        </w:tc>
        <w:tc>
          <w:tcPr>
            <w:tcW w:type="dxa" w:w="1656"/>
            <w:vAlign w:val="center"/>
          </w:tcPr>
          <w:p>
            <w:r>
              <w:t>116.680</w:t>
            </w:r>
          </w:p>
        </w:tc>
      </w:tr>
      <w:tr>
        <w:tc>
          <w:tcPr>
            <w:tcW w:type="dxa" w:w="1656"/>
            <w:vAlign w:val="center"/>
          </w:tcPr>
          <w:p>
            <w:r>
              <w:t>Landmark rigid</w:t>
            </w:r>
          </w:p>
        </w:tc>
        <w:tc>
          <w:tcPr>
            <w:tcW w:type="dxa" w:w="1656"/>
            <w:vAlign w:val="center"/>
          </w:tcPr>
          <w:p>
            <w:r>
              <w:t>Spleen</w:t>
            </w:r>
          </w:p>
        </w:tc>
        <w:tc>
          <w:tcPr>
            <w:tcW w:type="dxa" w:w="1656"/>
            <w:vAlign w:val="center"/>
          </w:tcPr>
          <w:p>
            <w:r>
              <w:t>0.9637</w:t>
            </w:r>
          </w:p>
        </w:tc>
        <w:tc>
          <w:tcPr>
            <w:tcW w:type="dxa" w:w="1656"/>
            <w:vAlign w:val="center"/>
          </w:tcPr>
          <w:p>
            <w:r>
              <w:t>0.186</w:t>
            </w:r>
          </w:p>
        </w:tc>
        <w:tc>
          <w:tcPr>
            <w:tcW w:type="dxa" w:w="1656"/>
            <w:vAlign w:val="center"/>
          </w:tcPr>
          <w:p>
            <w:r>
              <w:t>1.000</w:t>
            </w:r>
          </w:p>
        </w:tc>
        <w:tc>
          <w:tcPr>
            <w:tcW w:type="dxa" w:w="1656"/>
            <w:vAlign w:val="center"/>
          </w:tcPr>
          <w:p>
            <w:r>
              <w:t>0.354</w:t>
            </w:r>
          </w:p>
        </w:tc>
      </w:tr>
      <w:tr>
        <w:tc>
          <w:tcPr>
            <w:tcW w:type="dxa" w:w="1656"/>
            <w:vAlign w:val="center"/>
          </w:tcPr>
          <w:p>
            <w:r>
              <w:t>Landmark rigid</w:t>
            </w:r>
          </w:p>
        </w:tc>
        <w:tc>
          <w:tcPr>
            <w:tcW w:type="dxa" w:w="1656"/>
            <w:vAlign w:val="center"/>
          </w:tcPr>
          <w:p>
            <w:r>
              <w:t>Aorta</w:t>
            </w:r>
          </w:p>
        </w:tc>
        <w:tc>
          <w:tcPr>
            <w:tcW w:type="dxa" w:w="1656"/>
            <w:vAlign w:val="center"/>
          </w:tcPr>
          <w:p>
            <w:r>
              <w:t>0.9247</w:t>
            </w:r>
          </w:p>
        </w:tc>
        <w:tc>
          <w:tcPr>
            <w:tcW w:type="dxa" w:w="1656"/>
            <w:vAlign w:val="center"/>
          </w:tcPr>
          <w:p>
            <w:r>
              <w:t>0.414</w:t>
            </w:r>
          </w:p>
        </w:tc>
        <w:tc>
          <w:tcPr>
            <w:tcW w:type="dxa" w:w="1656"/>
            <w:vAlign w:val="center"/>
          </w:tcPr>
          <w:p>
            <w:r>
              <w:t>1.172</w:t>
            </w:r>
          </w:p>
        </w:tc>
        <w:tc>
          <w:tcPr>
            <w:tcW w:type="dxa" w:w="1656"/>
            <w:vAlign w:val="center"/>
          </w:tcPr>
          <w:p>
            <w:r>
              <w:t>0.396</w:t>
            </w:r>
          </w:p>
        </w:tc>
      </w:tr>
    </w:tbl>
    <w:p/>
    <w:p>
      <w:r>
        <w:drawing>
          <wp:inline xmlns:a="http://schemas.openxmlformats.org/drawingml/2006/main" xmlns:pic="http://schemas.openxmlformats.org/drawingml/2006/picture">
            <wp:extent cx="5852160" cy="3140184"/>
            <wp:docPr id="4" name="Picture 4"/>
            <wp:cNvGraphicFramePr>
              <a:graphicFrameLocks noChangeAspect="1"/>
            </wp:cNvGraphicFramePr>
            <a:graphic>
              <a:graphicData uri="http://schemas.openxmlformats.org/drawingml/2006/picture">
                <pic:pic>
                  <pic:nvPicPr>
                    <pic:cNvPr id="0" name="transform_components_dice.png"/>
                    <pic:cNvPicPr/>
                  </pic:nvPicPr>
                  <pic:blipFill>
                    <a:blip r:embed="rId12"/>
                    <a:stretch>
                      <a:fillRect/>
                    </a:stretch>
                  </pic:blipFill>
                  <pic:spPr>
                    <a:xfrm>
                      <a:off x="0" y="0"/>
                      <a:ext cx="5852160" cy="3140184"/>
                    </a:xfrm>
                    <a:prstGeom prst="rect"/>
                  </pic:spPr>
                </pic:pic>
              </a:graphicData>
            </a:graphic>
          </wp:inline>
        </w:drawing>
      </w:r>
    </w:p>
    <w:p>
      <w:pPr>
        <w:pStyle w:val="Caption"/>
        <w:jc w:val="center"/>
      </w:pPr>
      <w:r>
        <w:t>Şekil 3. Identity, translation-only, rotation-only ve landmark rigid registration sonrası spleen/aorta Dice değerleri.</w:t>
      </w:r>
    </w:p>
    <w:p>
      <w:r>
        <w:t>Sonuçlar nedenselliği netleştirir: identity durumunda organlar tamamen ayrık kalır (Dice 0.00). Yalnız rotasyon uygulamak, öteleme telafi edilmediğinden kaldıraç kolu etkisiyle centroid kaymasını dalakta 69.8 mm’den 163.5 mm’ye çıkarır ve Dice’ı 0.00’da bırakır. Yalnız translasyon ise Dice’ı dalakta 0.930, aortada 0.922 seviyesine taşır; bu, longitudinal konum sapmasının büyük kısmının saf öteleme kaynaklı olduğunu gösterir. Klasik yoğunluk tabanlı rigid optimizer bu büyüklükteki kaymada ıraksayarak geçersiz sonuç (NaN) üretir. Geliştirilen landmark rigid registration ise rezidüel rotasyonu da düzelterek dalak Dice’ını 0.964’e, aorta Dice’ını 0.925’e yükseltir ve centroid kaymasını 0.19 mm (dalak) ve 0.41 mm (aorta) düzeyine, yani milimetre altına indirir.</w:t>
      </w:r>
    </w:p>
    <w:p>
      <w:pPr>
        <w:pStyle w:val="Heading1"/>
      </w:pPr>
      <w:r>
        <w:t>Düşük Dice Pair’lerinin Görsel QC’si</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Pair</w:t>
            </w:r>
          </w:p>
        </w:tc>
        <w:tc>
          <w:tcPr>
            <w:tcW w:type="dxa" w:w="3312"/>
            <w:vAlign w:val="center"/>
          </w:tcPr>
          <w:p>
            <w:r>
              <w:rPr>
                <w:b/>
              </w:rPr>
              <w:t>Spleen Dice</w:t>
            </w:r>
          </w:p>
        </w:tc>
        <w:tc>
          <w:tcPr>
            <w:tcW w:type="dxa" w:w="3312"/>
            <w:vAlign w:val="center"/>
          </w:tcPr>
          <w:p>
            <w:r>
              <w:rPr>
                <w:b/>
              </w:rPr>
              <w:t>Aorta Dice</w:t>
            </w:r>
          </w:p>
        </w:tc>
      </w:tr>
      <w:tr>
        <w:tc>
          <w:tcPr>
            <w:tcW w:type="dxa" w:w="3312"/>
            <w:vAlign w:val="center"/>
          </w:tcPr>
          <w:p>
            <w:r>
              <w:t>20260707_PCCT_Aorta_Spleen / USZ_Siemens_Healthineers_NAEOTOM_Alpha_20260707_Q3_Qr40f_120_100_300_1_PolyE_take3</w:t>
            </w:r>
          </w:p>
        </w:tc>
        <w:tc>
          <w:tcPr>
            <w:tcW w:type="dxa" w:w="3312"/>
            <w:vAlign w:val="center"/>
          </w:tcPr>
          <w:p>
            <w:r>
              <w:t>0.898</w:t>
            </w:r>
          </w:p>
        </w:tc>
        <w:tc>
          <w:tcPr>
            <w:tcW w:type="dxa" w:w="3312"/>
            <w:vAlign w:val="center"/>
          </w:tcPr>
          <w:p>
            <w:r>
              <w:t>0.924</w:t>
            </w:r>
          </w:p>
        </w:tc>
      </w:tr>
    </w:tbl>
    <w:p/>
    <w:p>
      <w:r>
        <w:t>20260707_PCCT_Aorta_Spleen / USZ_Siemens_Healthineers_NAEOTOM_Alpha_20260707_Q3_Qr40f_120_100_300_1_PolyE_take3 — spleen 0.898, aorta 0.924</w:t>
      </w:r>
    </w:p>
    <w:p>
      <w:r>
        <w:drawing>
          <wp:inline xmlns:a="http://schemas.openxmlformats.org/drawingml/2006/main" xmlns:pic="http://schemas.openxmlformats.org/drawingml/2006/picture">
            <wp:extent cx="5852160" cy="3601329"/>
            <wp:docPr id="5" name="Picture 5"/>
            <wp:cNvGraphicFramePr>
              <a:graphicFrameLocks noChangeAspect="1"/>
            </wp:cNvGraphicFramePr>
            <a:graphic>
              <a:graphicData uri="http://schemas.openxmlformats.org/drawingml/2006/picture">
                <pic:pic>
                  <pic:nvPicPr>
                    <pic:cNvPr id="0" name="20260707_PCCT_Aorta_Spleen__USZ_Siemens_Healthineers_NAEOTOM_Alpha_20260707_Q3_Qr40f_120_100_300_1_PolyE_take3.png"/>
                    <pic:cNvPicPr/>
                  </pic:nvPicPr>
                  <pic:blipFill>
                    <a:blip r:embed="rId13"/>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pPr>
        <w:pStyle w:val="Heading1"/>
      </w:pPr>
      <w:r>
        <w:t>Radiomic Feature Tekrarlanabilirliği</w:t>
      </w:r>
    </w:p>
    <w:p>
      <w:r>
        <w:t>Repeatability, her acquisition session içindeki tekrarlar kullanılarak değerlendirildi. CV ve median pairwise relative difference hesaplandı; baseline ve registered değerler session bazında eşleştirildi. Feature başına Wilcoxon signed-rank testi, çoklu karşılaştırmalar için Benjamini–Hochberg FDR düzeltmesi uygulandı. Numeric DICOM/MIRP metadata kolonları feature analizinden çıkarıldı.</w:t>
      </w:r>
    </w:p>
    <w:tbl>
      <w:tblPr>
        <w:tblStyle w:val="LightShading-Accent1"/>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rPr>
                <w:b/>
              </w:rPr>
              <w:t>Mode</w:t>
            </w:r>
          </w:p>
        </w:tc>
        <w:tc>
          <w:tcPr>
            <w:tcW w:type="dxa" w:w="1242"/>
            <w:vAlign w:val="center"/>
          </w:tcPr>
          <w:p>
            <w:r>
              <w:rPr>
                <w:b/>
              </w:rPr>
              <w:t>Feature-organ</w:t>
            </w:r>
          </w:p>
        </w:tc>
        <w:tc>
          <w:tcPr>
            <w:tcW w:type="dxa" w:w="1242"/>
            <w:vAlign w:val="center"/>
          </w:tcPr>
          <w:p>
            <w:r>
              <w:rPr>
                <w:b/>
              </w:rPr>
              <w:t>CV iyileşti</w:t>
            </w:r>
          </w:p>
        </w:tc>
        <w:tc>
          <w:tcPr>
            <w:tcW w:type="dxa" w:w="1242"/>
            <w:vAlign w:val="center"/>
          </w:tcPr>
          <w:p>
            <w:r>
              <w:rPr>
                <w:b/>
              </w:rPr>
              <w:t>Pairwise iyileşti</w:t>
            </w:r>
          </w:p>
        </w:tc>
        <w:tc>
          <w:tcPr>
            <w:tcW w:type="dxa" w:w="1242"/>
            <w:vAlign w:val="center"/>
          </w:tcPr>
          <w:p>
            <w:r>
              <w:rPr>
                <w:b/>
              </w:rPr>
              <w:t>İkisi</w:t>
            </w:r>
          </w:p>
        </w:tc>
        <w:tc>
          <w:tcPr>
            <w:tcW w:type="dxa" w:w="1242"/>
            <w:vAlign w:val="center"/>
          </w:tcPr>
          <w:p>
            <w:r>
              <w:rPr>
                <w:b/>
              </w:rPr>
              <w:t>FDR anlamlı</w:t>
            </w:r>
          </w:p>
        </w:tc>
        <w:tc>
          <w:tcPr>
            <w:tcW w:type="dxa" w:w="1242"/>
            <w:vAlign w:val="center"/>
          </w:tcPr>
          <w:p>
            <w:r>
              <w:rPr>
                <w:b/>
              </w:rPr>
              <w:t>Anlamlı iyileşti</w:t>
            </w:r>
          </w:p>
        </w:tc>
        <w:tc>
          <w:tcPr>
            <w:tcW w:type="dxa" w:w="1242"/>
            <w:vAlign w:val="center"/>
          </w:tcPr>
          <w:p>
            <w:r>
              <w:rPr>
                <w:b/>
              </w:rPr>
              <w:t>Anlamlı kötüleşti</w:t>
            </w:r>
          </w:p>
        </w:tc>
      </w:tr>
      <w:tr>
        <w:tc>
          <w:tcPr>
            <w:tcW w:type="dxa" w:w="1242"/>
            <w:vAlign w:val="center"/>
          </w:tcPr>
          <w:p>
            <w:r>
              <w:t>3D</w:t>
            </w:r>
          </w:p>
        </w:tc>
        <w:tc>
          <w:tcPr>
            <w:tcW w:type="dxa" w:w="1242"/>
            <w:vAlign w:val="center"/>
          </w:tcPr>
          <w:p>
            <w:r>
              <w:t>418</w:t>
            </w:r>
          </w:p>
        </w:tc>
        <w:tc>
          <w:tcPr>
            <w:tcW w:type="dxa" w:w="1242"/>
            <w:vAlign w:val="center"/>
          </w:tcPr>
          <w:p>
            <w:r>
              <w:t>107</w:t>
            </w:r>
          </w:p>
        </w:tc>
        <w:tc>
          <w:tcPr>
            <w:tcW w:type="dxa" w:w="1242"/>
            <w:vAlign w:val="center"/>
          </w:tcPr>
          <w:p>
            <w:r>
              <w:t>94</w:t>
            </w:r>
          </w:p>
        </w:tc>
        <w:tc>
          <w:tcPr>
            <w:tcW w:type="dxa" w:w="1242"/>
            <w:vAlign w:val="center"/>
          </w:tcPr>
          <w:p>
            <w:r>
              <w:t>73</w:t>
            </w:r>
          </w:p>
        </w:tc>
        <w:tc>
          <w:tcPr>
            <w:tcW w:type="dxa" w:w="1242"/>
            <w:vAlign w:val="center"/>
          </w:tcPr>
          <w:p>
            <w:r>
              <w:t>58</w:t>
            </w:r>
          </w:p>
        </w:tc>
        <w:tc>
          <w:tcPr>
            <w:tcW w:type="dxa" w:w="1242"/>
            <w:vAlign w:val="center"/>
          </w:tcPr>
          <w:p>
            <w:r>
              <w:t>11</w:t>
            </w:r>
          </w:p>
        </w:tc>
        <w:tc>
          <w:tcPr>
            <w:tcW w:type="dxa" w:w="1242"/>
            <w:vAlign w:val="center"/>
          </w:tcPr>
          <w:p>
            <w:r>
              <w:t>47</w:t>
            </w:r>
          </w:p>
        </w:tc>
      </w:tr>
      <w:tr>
        <w:tc>
          <w:tcPr>
            <w:tcW w:type="dxa" w:w="1242"/>
            <w:vAlign w:val="center"/>
          </w:tcPr>
          <w:p>
            <w:r>
              <w:t>2D</w:t>
            </w:r>
          </w:p>
        </w:tc>
        <w:tc>
          <w:tcPr>
            <w:tcW w:type="dxa" w:w="1242"/>
            <w:vAlign w:val="center"/>
          </w:tcPr>
          <w:p>
            <w:r>
              <w:t>690</w:t>
            </w:r>
          </w:p>
        </w:tc>
        <w:tc>
          <w:tcPr>
            <w:tcW w:type="dxa" w:w="1242"/>
            <w:vAlign w:val="center"/>
          </w:tcPr>
          <w:p>
            <w:r>
              <w:t>129</w:t>
            </w:r>
          </w:p>
        </w:tc>
        <w:tc>
          <w:tcPr>
            <w:tcW w:type="dxa" w:w="1242"/>
            <w:vAlign w:val="center"/>
          </w:tcPr>
          <w:p>
            <w:r>
              <w:t>127</w:t>
            </w:r>
          </w:p>
        </w:tc>
        <w:tc>
          <w:tcPr>
            <w:tcW w:type="dxa" w:w="1242"/>
            <w:vAlign w:val="center"/>
          </w:tcPr>
          <w:p>
            <w:r>
              <w:t>96</w:t>
            </w:r>
          </w:p>
        </w:tc>
        <w:tc>
          <w:tcPr>
            <w:tcW w:type="dxa" w:w="1242"/>
            <w:vAlign w:val="center"/>
          </w:tcPr>
          <w:p>
            <w:r>
              <w:t>211</w:t>
            </w:r>
          </w:p>
        </w:tc>
        <w:tc>
          <w:tcPr>
            <w:tcW w:type="dxa" w:w="1242"/>
            <w:vAlign w:val="center"/>
          </w:tcPr>
          <w:p>
            <w:r>
              <w:t>18</w:t>
            </w:r>
          </w:p>
        </w:tc>
        <w:tc>
          <w:tcPr>
            <w:tcW w:type="dxa" w:w="1242"/>
            <w:vAlign w:val="center"/>
          </w:tcPr>
          <w:p>
            <w:r>
              <w:t>193</w:t>
            </w:r>
          </w:p>
        </w:tc>
      </w:tr>
    </w:tbl>
    <w:p/>
    <w:p>
      <w:r>
        <w:t>Belirsizlik için oturum eşleşmeleri 5,000 tekrarlı paired bootstrap ile örneklendi. ‘Improved’ 95% CI’nin sıfırın tamamen altında; ‘worsened’ tamamen üstünde; ‘uncertain’ ise sıfırı içerdiği anlamına gelir.</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Mode</w:t>
            </w:r>
          </w:p>
        </w:tc>
        <w:tc>
          <w:tcPr>
            <w:tcW w:type="dxa" w:w="1656"/>
            <w:vAlign w:val="center"/>
          </w:tcPr>
          <w:p>
            <w:r>
              <w:rPr>
                <w:b/>
              </w:rPr>
              <w:t>Ölçü</w:t>
            </w:r>
          </w:p>
        </w:tc>
        <w:tc>
          <w:tcPr>
            <w:tcW w:type="dxa" w:w="1656"/>
            <w:vAlign w:val="center"/>
          </w:tcPr>
          <w:p>
            <w:r>
              <w:rPr>
                <w:b/>
              </w:rPr>
              <w:t>Test</w:t>
            </w:r>
          </w:p>
        </w:tc>
        <w:tc>
          <w:tcPr>
            <w:tcW w:type="dxa" w:w="1656"/>
            <w:vAlign w:val="center"/>
          </w:tcPr>
          <w:p>
            <w:r>
              <w:rPr>
                <w:b/>
              </w:rPr>
              <w:t>CI iyileşme</w:t>
            </w:r>
          </w:p>
        </w:tc>
        <w:tc>
          <w:tcPr>
            <w:tcW w:type="dxa" w:w="1656"/>
            <w:vAlign w:val="center"/>
          </w:tcPr>
          <w:p>
            <w:r>
              <w:rPr>
                <w:b/>
              </w:rPr>
              <w:t>CI kötüleşme</w:t>
            </w:r>
          </w:p>
        </w:tc>
        <w:tc>
          <w:tcPr>
            <w:tcW w:type="dxa" w:w="1656"/>
            <w:vAlign w:val="center"/>
          </w:tcPr>
          <w:p>
            <w:r>
              <w:rPr>
                <w:b/>
              </w:rPr>
              <w:t>Belirsiz</w:t>
            </w:r>
          </w:p>
        </w:tc>
      </w:tr>
      <w:tr>
        <w:tc>
          <w:tcPr>
            <w:tcW w:type="dxa" w:w="1656"/>
            <w:vAlign w:val="center"/>
          </w:tcPr>
          <w:p>
            <w:r>
              <w:t>3D</w:t>
            </w:r>
          </w:p>
        </w:tc>
        <w:tc>
          <w:tcPr>
            <w:tcW w:type="dxa" w:w="1656"/>
            <w:vAlign w:val="center"/>
          </w:tcPr>
          <w:p>
            <w:r>
              <w:t>CV</w:t>
            </w:r>
          </w:p>
        </w:tc>
        <w:tc>
          <w:tcPr>
            <w:tcW w:type="dxa" w:w="1656"/>
            <w:vAlign w:val="center"/>
          </w:tcPr>
          <w:p>
            <w:r>
              <w:t>418</w:t>
            </w:r>
          </w:p>
        </w:tc>
        <w:tc>
          <w:tcPr>
            <w:tcW w:type="dxa" w:w="1656"/>
            <w:vAlign w:val="center"/>
          </w:tcPr>
          <w:p>
            <w:r>
              <w:t>14</w:t>
            </w:r>
          </w:p>
        </w:tc>
        <w:tc>
          <w:tcPr>
            <w:tcW w:type="dxa" w:w="1656"/>
            <w:vAlign w:val="center"/>
          </w:tcPr>
          <w:p>
            <w:r>
              <w:t>74</w:t>
            </w:r>
          </w:p>
        </w:tc>
        <w:tc>
          <w:tcPr>
            <w:tcW w:type="dxa" w:w="1656"/>
            <w:vAlign w:val="center"/>
          </w:tcPr>
          <w:p>
            <w:r>
              <w:t>330</w:t>
            </w:r>
          </w:p>
        </w:tc>
      </w:tr>
      <w:tr>
        <w:tc>
          <w:tcPr>
            <w:tcW w:type="dxa" w:w="1656"/>
            <w:vAlign w:val="center"/>
          </w:tcPr>
          <w:p>
            <w:r>
              <w:t>3D</w:t>
            </w:r>
          </w:p>
        </w:tc>
        <w:tc>
          <w:tcPr>
            <w:tcW w:type="dxa" w:w="1656"/>
            <w:vAlign w:val="center"/>
          </w:tcPr>
          <w:p>
            <w:r>
              <w:t>Pairwise relative difference</w:t>
            </w:r>
          </w:p>
        </w:tc>
        <w:tc>
          <w:tcPr>
            <w:tcW w:type="dxa" w:w="1656"/>
            <w:vAlign w:val="center"/>
          </w:tcPr>
          <w:p>
            <w:r>
              <w:t>418</w:t>
            </w:r>
          </w:p>
        </w:tc>
        <w:tc>
          <w:tcPr>
            <w:tcW w:type="dxa" w:w="1656"/>
            <w:vAlign w:val="center"/>
          </w:tcPr>
          <w:p>
            <w:r>
              <w:t>17</w:t>
            </w:r>
          </w:p>
        </w:tc>
        <w:tc>
          <w:tcPr>
            <w:tcW w:type="dxa" w:w="1656"/>
            <w:vAlign w:val="center"/>
          </w:tcPr>
          <w:p>
            <w:r>
              <w:t>69</w:t>
            </w:r>
          </w:p>
        </w:tc>
        <w:tc>
          <w:tcPr>
            <w:tcW w:type="dxa" w:w="1656"/>
            <w:vAlign w:val="center"/>
          </w:tcPr>
          <w:p>
            <w:r>
              <w:t>332</w:t>
            </w:r>
          </w:p>
        </w:tc>
      </w:tr>
      <w:tr>
        <w:tc>
          <w:tcPr>
            <w:tcW w:type="dxa" w:w="1656"/>
            <w:vAlign w:val="center"/>
          </w:tcPr>
          <w:p>
            <w:r>
              <w:t>2D</w:t>
            </w:r>
          </w:p>
        </w:tc>
        <w:tc>
          <w:tcPr>
            <w:tcW w:type="dxa" w:w="1656"/>
            <w:vAlign w:val="center"/>
          </w:tcPr>
          <w:p>
            <w:r>
              <w:t>CV</w:t>
            </w:r>
          </w:p>
        </w:tc>
        <w:tc>
          <w:tcPr>
            <w:tcW w:type="dxa" w:w="1656"/>
            <w:vAlign w:val="center"/>
          </w:tcPr>
          <w:p>
            <w:r>
              <w:t>690</w:t>
            </w:r>
          </w:p>
        </w:tc>
        <w:tc>
          <w:tcPr>
            <w:tcW w:type="dxa" w:w="1656"/>
            <w:vAlign w:val="center"/>
          </w:tcPr>
          <w:p>
            <w:r>
              <w:t>20</w:t>
            </w:r>
          </w:p>
        </w:tc>
        <w:tc>
          <w:tcPr>
            <w:tcW w:type="dxa" w:w="1656"/>
            <w:vAlign w:val="center"/>
          </w:tcPr>
          <w:p>
            <w:r>
              <w:t>179</w:t>
            </w:r>
          </w:p>
        </w:tc>
        <w:tc>
          <w:tcPr>
            <w:tcW w:type="dxa" w:w="1656"/>
            <w:vAlign w:val="center"/>
          </w:tcPr>
          <w:p>
            <w:r>
              <w:t>491</w:t>
            </w:r>
          </w:p>
        </w:tc>
      </w:tr>
      <w:tr>
        <w:tc>
          <w:tcPr>
            <w:tcW w:type="dxa" w:w="1656"/>
            <w:vAlign w:val="center"/>
          </w:tcPr>
          <w:p>
            <w:r>
              <w:t>2D</w:t>
            </w:r>
          </w:p>
        </w:tc>
        <w:tc>
          <w:tcPr>
            <w:tcW w:type="dxa" w:w="1656"/>
            <w:vAlign w:val="center"/>
          </w:tcPr>
          <w:p>
            <w:r>
              <w:t>Pairwise relative difference</w:t>
            </w:r>
          </w:p>
        </w:tc>
        <w:tc>
          <w:tcPr>
            <w:tcW w:type="dxa" w:w="1656"/>
            <w:vAlign w:val="center"/>
          </w:tcPr>
          <w:p>
            <w:r>
              <w:t>690</w:t>
            </w:r>
          </w:p>
        </w:tc>
        <w:tc>
          <w:tcPr>
            <w:tcW w:type="dxa" w:w="1656"/>
            <w:vAlign w:val="center"/>
          </w:tcPr>
          <w:p>
            <w:r>
              <w:t>24</w:t>
            </w:r>
          </w:p>
        </w:tc>
        <w:tc>
          <w:tcPr>
            <w:tcW w:type="dxa" w:w="1656"/>
            <w:vAlign w:val="center"/>
          </w:tcPr>
          <w:p>
            <w:r>
              <w:t>157</w:t>
            </w:r>
          </w:p>
        </w:tc>
        <w:tc>
          <w:tcPr>
            <w:tcW w:type="dxa" w:w="1656"/>
            <w:vAlign w:val="center"/>
          </w:tcPr>
          <w:p>
            <w:r>
              <w:t>509</w:t>
            </w:r>
          </w:p>
        </w:tc>
      </w:tr>
    </w:tbl>
    <w:p/>
    <w:p>
      <w:pPr>
        <w:pStyle w:val="Heading1"/>
      </w:pPr>
      <w:r>
        <w:t>Feature Aileleri</w:t>
      </w:r>
    </w:p>
    <w:tbl>
      <w:tblPr>
        <w:tblStyle w:val="LightShading-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b/>
              </w:rPr>
              <w:t>Mode</w:t>
            </w:r>
          </w:p>
        </w:tc>
        <w:tc>
          <w:tcPr>
            <w:tcW w:type="dxa" w:w="1419"/>
            <w:vAlign w:val="center"/>
          </w:tcPr>
          <w:p>
            <w:r>
              <w:rPr>
                <w:b/>
              </w:rPr>
              <w:t>Feature family</w:t>
            </w:r>
          </w:p>
        </w:tc>
        <w:tc>
          <w:tcPr>
            <w:tcW w:type="dxa" w:w="1419"/>
            <w:vAlign w:val="center"/>
          </w:tcPr>
          <w:p>
            <w:r>
              <w:rPr>
                <w:b/>
              </w:rPr>
              <w:t>N</w:t>
            </w:r>
          </w:p>
        </w:tc>
        <w:tc>
          <w:tcPr>
            <w:tcW w:type="dxa" w:w="1419"/>
            <w:vAlign w:val="center"/>
          </w:tcPr>
          <w:p>
            <w:r>
              <w:rPr>
                <w:b/>
              </w:rPr>
              <w:t>CV+pairwise birlikte iyileşen</w:t>
            </w:r>
          </w:p>
        </w:tc>
        <w:tc>
          <w:tcPr>
            <w:tcW w:type="dxa" w:w="1419"/>
            <w:vAlign w:val="center"/>
          </w:tcPr>
          <w:p>
            <w:r>
              <w:rPr>
                <w:b/>
              </w:rPr>
              <w:t>FDR anlamlı</w:t>
            </w:r>
          </w:p>
        </w:tc>
        <w:tc>
          <w:tcPr>
            <w:tcW w:type="dxa" w:w="1419"/>
            <w:vAlign w:val="center"/>
          </w:tcPr>
          <w:p>
            <w:r>
              <w:rPr>
                <w:b/>
              </w:rPr>
              <w:t>İyileşme</w:t>
            </w:r>
          </w:p>
        </w:tc>
        <w:tc>
          <w:tcPr>
            <w:tcW w:type="dxa" w:w="1419"/>
            <w:vAlign w:val="center"/>
          </w:tcPr>
          <w:p>
            <w:r>
              <w:rPr>
                <w:b/>
              </w:rPr>
              <w:t>Kötüleşme</w:t>
            </w:r>
          </w:p>
        </w:tc>
      </w:tr>
      <w:tr>
        <w:tc>
          <w:tcPr>
            <w:tcW w:type="dxa" w:w="1419"/>
            <w:vAlign w:val="center"/>
          </w:tcPr>
          <w:p>
            <w:r>
              <w:t>3D</w:t>
            </w:r>
          </w:p>
        </w:tc>
        <w:tc>
          <w:tcPr>
            <w:tcW w:type="dxa" w:w="1419"/>
            <w:vAlign w:val="center"/>
          </w:tcPr>
          <w:p>
            <w:r>
              <w:t>First-order statistics</w:t>
            </w:r>
          </w:p>
        </w:tc>
        <w:tc>
          <w:tcPr>
            <w:tcW w:type="dxa" w:w="1419"/>
            <w:vAlign w:val="center"/>
          </w:tcPr>
          <w:p>
            <w:r>
              <w:t>36</w:t>
            </w:r>
          </w:p>
        </w:tc>
        <w:tc>
          <w:tcPr>
            <w:tcW w:type="dxa" w:w="1419"/>
            <w:vAlign w:val="center"/>
          </w:tcPr>
          <w:p>
            <w:r>
              <w:t>19.4%</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GLCM</w:t>
            </w:r>
          </w:p>
        </w:tc>
        <w:tc>
          <w:tcPr>
            <w:tcW w:type="dxa" w:w="1419"/>
            <w:vAlign w:val="center"/>
          </w:tcPr>
          <w:p>
            <w:r>
              <w:t>100</w:t>
            </w:r>
          </w:p>
        </w:tc>
        <w:tc>
          <w:tcPr>
            <w:tcW w:type="dxa" w:w="1419"/>
            <w:vAlign w:val="center"/>
          </w:tcPr>
          <w:p>
            <w:r>
              <w:t>18.0%</w:t>
            </w:r>
          </w:p>
        </w:tc>
        <w:tc>
          <w:tcPr>
            <w:tcW w:type="dxa" w:w="1419"/>
            <w:vAlign w:val="center"/>
          </w:tcPr>
          <w:p>
            <w:r>
              <w:t>14</w:t>
            </w:r>
          </w:p>
        </w:tc>
        <w:tc>
          <w:tcPr>
            <w:tcW w:type="dxa" w:w="1419"/>
            <w:vAlign w:val="center"/>
          </w:tcPr>
          <w:p>
            <w:r>
              <w:t>8</w:t>
            </w:r>
          </w:p>
        </w:tc>
        <w:tc>
          <w:tcPr>
            <w:tcW w:type="dxa" w:w="1419"/>
            <w:vAlign w:val="center"/>
          </w:tcPr>
          <w:p>
            <w:r>
              <w:t>6</w:t>
            </w:r>
          </w:p>
        </w:tc>
      </w:tr>
      <w:tr>
        <w:tc>
          <w:tcPr>
            <w:tcW w:type="dxa" w:w="1419"/>
            <w:vAlign w:val="center"/>
          </w:tcPr>
          <w:p>
            <w:r>
              <w:t>3D</w:t>
            </w:r>
          </w:p>
        </w:tc>
        <w:tc>
          <w:tcPr>
            <w:tcW w:type="dxa" w:w="1419"/>
            <w:vAlign w:val="center"/>
          </w:tcPr>
          <w:p>
            <w:r>
              <w:t>GLDZM</w:t>
            </w:r>
          </w:p>
        </w:tc>
        <w:tc>
          <w:tcPr>
            <w:tcW w:type="dxa" w:w="1419"/>
            <w:vAlign w:val="center"/>
          </w:tcPr>
          <w:p>
            <w:r>
              <w:t>32</w:t>
            </w:r>
          </w:p>
        </w:tc>
        <w:tc>
          <w:tcPr>
            <w:tcW w:type="dxa" w:w="1419"/>
            <w:vAlign w:val="center"/>
          </w:tcPr>
          <w:p>
            <w:r>
              <w:t>21.9%</w:t>
            </w:r>
          </w:p>
        </w:tc>
        <w:tc>
          <w:tcPr>
            <w:tcW w:type="dxa" w:w="1419"/>
            <w:vAlign w:val="center"/>
          </w:tcPr>
          <w:p>
            <w:r>
              <w:t>2</w:t>
            </w:r>
          </w:p>
        </w:tc>
        <w:tc>
          <w:tcPr>
            <w:tcW w:type="dxa" w:w="1419"/>
            <w:vAlign w:val="center"/>
          </w:tcPr>
          <w:p>
            <w:r>
              <w:t>0</w:t>
            </w:r>
          </w:p>
        </w:tc>
        <w:tc>
          <w:tcPr>
            <w:tcW w:type="dxa" w:w="1419"/>
            <w:vAlign w:val="center"/>
          </w:tcPr>
          <w:p>
            <w:r>
              <w:t>2</w:t>
            </w:r>
          </w:p>
        </w:tc>
      </w:tr>
      <w:tr>
        <w:tc>
          <w:tcPr>
            <w:tcW w:type="dxa" w:w="1419"/>
            <w:vAlign w:val="center"/>
          </w:tcPr>
          <w:p>
            <w:r>
              <w:t>3D</w:t>
            </w:r>
          </w:p>
        </w:tc>
        <w:tc>
          <w:tcPr>
            <w:tcW w:type="dxa" w:w="1419"/>
            <w:vAlign w:val="center"/>
          </w:tcPr>
          <w:p>
            <w:r>
              <w:t>GLRLM</w:t>
            </w:r>
          </w:p>
        </w:tc>
        <w:tc>
          <w:tcPr>
            <w:tcW w:type="dxa" w:w="1419"/>
            <w:vAlign w:val="center"/>
          </w:tcPr>
          <w:p>
            <w:r>
              <w:t>64</w:t>
            </w:r>
          </w:p>
        </w:tc>
        <w:tc>
          <w:tcPr>
            <w:tcW w:type="dxa" w:w="1419"/>
            <w:vAlign w:val="center"/>
          </w:tcPr>
          <w:p>
            <w:r>
              <w:t>9.4%</w:t>
            </w:r>
          </w:p>
        </w:tc>
        <w:tc>
          <w:tcPr>
            <w:tcW w:type="dxa" w:w="1419"/>
            <w:vAlign w:val="center"/>
          </w:tcPr>
          <w:p>
            <w:r>
              <w:t>24</w:t>
            </w:r>
          </w:p>
        </w:tc>
        <w:tc>
          <w:tcPr>
            <w:tcW w:type="dxa" w:w="1419"/>
            <w:vAlign w:val="center"/>
          </w:tcPr>
          <w:p>
            <w:r>
              <w:t>0</w:t>
            </w:r>
          </w:p>
        </w:tc>
        <w:tc>
          <w:tcPr>
            <w:tcW w:type="dxa" w:w="1419"/>
            <w:vAlign w:val="center"/>
          </w:tcPr>
          <w:p>
            <w:r>
              <w:t>24</w:t>
            </w:r>
          </w:p>
        </w:tc>
      </w:tr>
      <w:tr>
        <w:tc>
          <w:tcPr>
            <w:tcW w:type="dxa" w:w="1419"/>
            <w:vAlign w:val="center"/>
          </w:tcPr>
          <w:p>
            <w:r>
              <w:t>3D</w:t>
            </w:r>
          </w:p>
        </w:tc>
        <w:tc>
          <w:tcPr>
            <w:tcW w:type="dxa" w:w="1419"/>
            <w:vAlign w:val="center"/>
          </w:tcPr>
          <w:p>
            <w:r>
              <w:t>GLSZM</w:t>
            </w:r>
          </w:p>
        </w:tc>
        <w:tc>
          <w:tcPr>
            <w:tcW w:type="dxa" w:w="1419"/>
            <w:vAlign w:val="center"/>
          </w:tcPr>
          <w:p>
            <w:r>
              <w:t>32</w:t>
            </w:r>
          </w:p>
        </w:tc>
        <w:tc>
          <w:tcPr>
            <w:tcW w:type="dxa" w:w="1419"/>
            <w:vAlign w:val="center"/>
          </w:tcPr>
          <w:p>
            <w:r>
              <w:t>0.0%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Intensity histogram</w:t>
            </w:r>
          </w:p>
        </w:tc>
        <w:tc>
          <w:tcPr>
            <w:tcW w:type="dxa" w:w="1419"/>
            <w:vAlign w:val="center"/>
          </w:tcPr>
          <w:p>
            <w:r>
              <w:t>46</w:t>
            </w:r>
          </w:p>
        </w:tc>
        <w:tc>
          <w:tcPr>
            <w:tcW w:type="dxa" w:w="1419"/>
            <w:vAlign w:val="center"/>
          </w:tcPr>
          <w:p>
            <w:r>
              <w:t>23.9%</w:t>
            </w:r>
          </w:p>
        </w:tc>
        <w:tc>
          <w:tcPr>
            <w:tcW w:type="dxa" w:w="1419"/>
            <w:vAlign w:val="center"/>
          </w:tcPr>
          <w:p>
            <w:r>
              <w:t>2</w:t>
            </w:r>
          </w:p>
        </w:tc>
        <w:tc>
          <w:tcPr>
            <w:tcW w:type="dxa" w:w="1419"/>
            <w:vAlign w:val="center"/>
          </w:tcPr>
          <w:p>
            <w:r>
              <w:t>2</w:t>
            </w:r>
          </w:p>
        </w:tc>
        <w:tc>
          <w:tcPr>
            <w:tcW w:type="dxa" w:w="1419"/>
            <w:vAlign w:val="center"/>
          </w:tcPr>
          <w:p>
            <w:r>
              <w:t>0</w:t>
            </w:r>
          </w:p>
        </w:tc>
      </w:tr>
      <w:tr>
        <w:tc>
          <w:tcPr>
            <w:tcW w:type="dxa" w:w="1419"/>
            <w:vAlign w:val="center"/>
          </w:tcPr>
          <w:p>
            <w:r>
              <w:t>3D</w:t>
            </w:r>
          </w:p>
        </w:tc>
        <w:tc>
          <w:tcPr>
            <w:tcW w:type="dxa" w:w="1419"/>
            <w:vAlign w:val="center"/>
          </w:tcPr>
          <w:p>
            <w:r>
              <w:t>Intensity-volume histogram</w:t>
            </w:r>
          </w:p>
        </w:tc>
        <w:tc>
          <w:tcPr>
            <w:tcW w:type="dxa" w:w="1419"/>
            <w:vAlign w:val="center"/>
          </w:tcPr>
          <w:p>
            <w:r>
              <w:t>14</w:t>
            </w:r>
          </w:p>
        </w:tc>
        <w:tc>
          <w:tcPr>
            <w:tcW w:type="dxa" w:w="1419"/>
            <w:vAlign w:val="center"/>
          </w:tcPr>
          <w:p>
            <w:r>
              <w:t>14.3%</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Local intensity peaks</w:t>
            </w:r>
          </w:p>
        </w:tc>
        <w:tc>
          <w:tcPr>
            <w:tcW w:type="dxa" w:w="1419"/>
            <w:vAlign w:val="center"/>
          </w:tcPr>
          <w:p>
            <w:r>
              <w:t>4</w:t>
            </w:r>
          </w:p>
        </w:tc>
        <w:tc>
          <w:tcPr>
            <w:tcW w:type="dxa" w:w="1419"/>
            <w:vAlign w:val="center"/>
          </w:tcPr>
          <w:p>
            <w:r>
              <w:t>75.0%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NGLDM</w:t>
            </w:r>
          </w:p>
        </w:tc>
        <w:tc>
          <w:tcPr>
            <w:tcW w:type="dxa" w:w="1419"/>
            <w:vAlign w:val="center"/>
          </w:tcPr>
          <w:p>
            <w:r>
              <w:t>34</w:t>
            </w:r>
          </w:p>
        </w:tc>
        <w:tc>
          <w:tcPr>
            <w:tcW w:type="dxa" w:w="1419"/>
            <w:vAlign w:val="center"/>
          </w:tcPr>
          <w:p>
            <w:r>
              <w:t>26.5%</w:t>
            </w:r>
          </w:p>
        </w:tc>
        <w:tc>
          <w:tcPr>
            <w:tcW w:type="dxa" w:w="1419"/>
            <w:vAlign w:val="center"/>
          </w:tcPr>
          <w:p>
            <w:r>
              <w:t>7</w:t>
            </w:r>
          </w:p>
        </w:tc>
        <w:tc>
          <w:tcPr>
            <w:tcW w:type="dxa" w:w="1419"/>
            <w:vAlign w:val="center"/>
          </w:tcPr>
          <w:p>
            <w:r>
              <w:t>1</w:t>
            </w:r>
          </w:p>
        </w:tc>
        <w:tc>
          <w:tcPr>
            <w:tcW w:type="dxa" w:w="1419"/>
            <w:vAlign w:val="center"/>
          </w:tcPr>
          <w:p>
            <w:r>
              <w:t>6</w:t>
            </w:r>
          </w:p>
        </w:tc>
      </w:tr>
      <w:tr>
        <w:tc>
          <w:tcPr>
            <w:tcW w:type="dxa" w:w="1419"/>
            <w:vAlign w:val="center"/>
          </w:tcPr>
          <w:p>
            <w:r>
              <w:t>3D</w:t>
            </w:r>
          </w:p>
        </w:tc>
        <w:tc>
          <w:tcPr>
            <w:tcW w:type="dxa" w:w="1419"/>
            <w:vAlign w:val="center"/>
          </w:tcPr>
          <w:p>
            <w:r>
              <w:t>NGTDM</w:t>
            </w:r>
          </w:p>
        </w:tc>
        <w:tc>
          <w:tcPr>
            <w:tcW w:type="dxa" w:w="1419"/>
            <w:vAlign w:val="center"/>
          </w:tcPr>
          <w:p>
            <w:r>
              <w:t>10</w:t>
            </w:r>
          </w:p>
        </w:tc>
        <w:tc>
          <w:tcPr>
            <w:tcW w:type="dxa" w:w="1419"/>
            <w:vAlign w:val="center"/>
          </w:tcPr>
          <w:p>
            <w:r>
              <w:t>20.0%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Shape</w:t>
            </w:r>
          </w:p>
        </w:tc>
        <w:tc>
          <w:tcPr>
            <w:tcW w:type="dxa" w:w="1419"/>
            <w:vAlign w:val="center"/>
          </w:tcPr>
          <w:p>
            <w:r>
              <w:t>46</w:t>
            </w:r>
          </w:p>
        </w:tc>
        <w:tc>
          <w:tcPr>
            <w:tcW w:type="dxa" w:w="1419"/>
            <w:vAlign w:val="center"/>
          </w:tcPr>
          <w:p>
            <w:r>
              <w:t>17.4%</w:t>
            </w:r>
          </w:p>
        </w:tc>
        <w:tc>
          <w:tcPr>
            <w:tcW w:type="dxa" w:w="1419"/>
            <w:vAlign w:val="center"/>
          </w:tcPr>
          <w:p>
            <w:r>
              <w:t>9</w:t>
            </w:r>
          </w:p>
        </w:tc>
        <w:tc>
          <w:tcPr>
            <w:tcW w:type="dxa" w:w="1419"/>
            <w:vAlign w:val="center"/>
          </w:tcPr>
          <w:p>
            <w:r>
              <w:t>0</w:t>
            </w:r>
          </w:p>
        </w:tc>
        <w:tc>
          <w:tcPr>
            <w:tcW w:type="dxa" w:w="1419"/>
            <w:vAlign w:val="center"/>
          </w:tcPr>
          <w:p>
            <w:r>
              <w:t>9</w:t>
            </w:r>
          </w:p>
        </w:tc>
      </w:tr>
      <w:tr>
        <w:tc>
          <w:tcPr>
            <w:tcW w:type="dxa" w:w="1419"/>
            <w:vAlign w:val="center"/>
          </w:tcPr>
          <w:p>
            <w:r>
              <w:t>2D</w:t>
            </w:r>
          </w:p>
        </w:tc>
        <w:tc>
          <w:tcPr>
            <w:tcW w:type="dxa" w:w="1419"/>
            <w:vAlign w:val="center"/>
          </w:tcPr>
          <w:p>
            <w:r>
              <w:t>First-order statistics</w:t>
            </w:r>
          </w:p>
        </w:tc>
        <w:tc>
          <w:tcPr>
            <w:tcW w:type="dxa" w:w="1419"/>
            <w:vAlign w:val="center"/>
          </w:tcPr>
          <w:p>
            <w:r>
              <w:t>36</w:t>
            </w:r>
          </w:p>
        </w:tc>
        <w:tc>
          <w:tcPr>
            <w:tcW w:type="dxa" w:w="1419"/>
            <w:vAlign w:val="center"/>
          </w:tcPr>
          <w:p>
            <w:r>
              <w:t>19.4%</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GLCM</w:t>
            </w:r>
          </w:p>
        </w:tc>
        <w:tc>
          <w:tcPr>
            <w:tcW w:type="dxa" w:w="1419"/>
            <w:vAlign w:val="center"/>
          </w:tcPr>
          <w:p>
            <w:r>
              <w:t>200</w:t>
            </w:r>
          </w:p>
        </w:tc>
        <w:tc>
          <w:tcPr>
            <w:tcW w:type="dxa" w:w="1419"/>
            <w:vAlign w:val="center"/>
          </w:tcPr>
          <w:p>
            <w:r>
              <w:t>7.5%</w:t>
            </w:r>
          </w:p>
        </w:tc>
        <w:tc>
          <w:tcPr>
            <w:tcW w:type="dxa" w:w="1419"/>
            <w:vAlign w:val="center"/>
          </w:tcPr>
          <w:p>
            <w:r>
              <w:t>52</w:t>
            </w:r>
          </w:p>
        </w:tc>
        <w:tc>
          <w:tcPr>
            <w:tcW w:type="dxa" w:w="1419"/>
            <w:vAlign w:val="center"/>
          </w:tcPr>
          <w:p>
            <w:r>
              <w:t>8</w:t>
            </w:r>
          </w:p>
        </w:tc>
        <w:tc>
          <w:tcPr>
            <w:tcW w:type="dxa" w:w="1419"/>
            <w:vAlign w:val="center"/>
          </w:tcPr>
          <w:p>
            <w:r>
              <w:t>44</w:t>
            </w:r>
          </w:p>
        </w:tc>
      </w:tr>
      <w:tr>
        <w:tc>
          <w:tcPr>
            <w:tcW w:type="dxa" w:w="1419"/>
            <w:vAlign w:val="center"/>
          </w:tcPr>
          <w:p>
            <w:r>
              <w:t>2D</w:t>
            </w:r>
          </w:p>
        </w:tc>
        <w:tc>
          <w:tcPr>
            <w:tcW w:type="dxa" w:w="1419"/>
            <w:vAlign w:val="center"/>
          </w:tcPr>
          <w:p>
            <w:r>
              <w:t>GLDZM</w:t>
            </w:r>
          </w:p>
        </w:tc>
        <w:tc>
          <w:tcPr>
            <w:tcW w:type="dxa" w:w="1419"/>
            <w:vAlign w:val="center"/>
          </w:tcPr>
          <w:p>
            <w:r>
              <w:t>64</w:t>
            </w:r>
          </w:p>
        </w:tc>
        <w:tc>
          <w:tcPr>
            <w:tcW w:type="dxa" w:w="1419"/>
            <w:vAlign w:val="center"/>
          </w:tcPr>
          <w:p>
            <w:r>
              <w:t>34.4%</w:t>
            </w:r>
          </w:p>
        </w:tc>
        <w:tc>
          <w:tcPr>
            <w:tcW w:type="dxa" w:w="1419"/>
            <w:vAlign w:val="center"/>
          </w:tcPr>
          <w:p>
            <w:r>
              <w:t>15</w:t>
            </w:r>
          </w:p>
        </w:tc>
        <w:tc>
          <w:tcPr>
            <w:tcW w:type="dxa" w:w="1419"/>
            <w:vAlign w:val="center"/>
          </w:tcPr>
          <w:p>
            <w:r>
              <w:t>0</w:t>
            </w:r>
          </w:p>
        </w:tc>
        <w:tc>
          <w:tcPr>
            <w:tcW w:type="dxa" w:w="1419"/>
            <w:vAlign w:val="center"/>
          </w:tcPr>
          <w:p>
            <w:r>
              <w:t>15</w:t>
            </w:r>
          </w:p>
        </w:tc>
      </w:tr>
      <w:tr>
        <w:tc>
          <w:tcPr>
            <w:tcW w:type="dxa" w:w="1419"/>
            <w:vAlign w:val="center"/>
          </w:tcPr>
          <w:p>
            <w:r>
              <w:t>2D</w:t>
            </w:r>
          </w:p>
        </w:tc>
        <w:tc>
          <w:tcPr>
            <w:tcW w:type="dxa" w:w="1419"/>
            <w:vAlign w:val="center"/>
          </w:tcPr>
          <w:p>
            <w:r>
              <w:t>GLRLM</w:t>
            </w:r>
          </w:p>
        </w:tc>
        <w:tc>
          <w:tcPr>
            <w:tcW w:type="dxa" w:w="1419"/>
            <w:vAlign w:val="center"/>
          </w:tcPr>
          <w:p>
            <w:r>
              <w:t>128</w:t>
            </w:r>
          </w:p>
        </w:tc>
        <w:tc>
          <w:tcPr>
            <w:tcW w:type="dxa" w:w="1419"/>
            <w:vAlign w:val="center"/>
          </w:tcPr>
          <w:p>
            <w:r>
              <w:t>3.9%</w:t>
            </w:r>
          </w:p>
        </w:tc>
        <w:tc>
          <w:tcPr>
            <w:tcW w:type="dxa" w:w="1419"/>
            <w:vAlign w:val="center"/>
          </w:tcPr>
          <w:p>
            <w:r>
              <w:t>96</w:t>
            </w:r>
          </w:p>
        </w:tc>
        <w:tc>
          <w:tcPr>
            <w:tcW w:type="dxa" w:w="1419"/>
            <w:vAlign w:val="center"/>
          </w:tcPr>
          <w:p>
            <w:r>
              <w:t>0</w:t>
            </w:r>
          </w:p>
        </w:tc>
        <w:tc>
          <w:tcPr>
            <w:tcW w:type="dxa" w:w="1419"/>
            <w:vAlign w:val="center"/>
          </w:tcPr>
          <w:p>
            <w:r>
              <w:t>96</w:t>
            </w:r>
          </w:p>
        </w:tc>
      </w:tr>
      <w:tr>
        <w:tc>
          <w:tcPr>
            <w:tcW w:type="dxa" w:w="1419"/>
            <w:vAlign w:val="center"/>
          </w:tcPr>
          <w:p>
            <w:r>
              <w:t>2D</w:t>
            </w:r>
          </w:p>
        </w:tc>
        <w:tc>
          <w:tcPr>
            <w:tcW w:type="dxa" w:w="1419"/>
            <w:vAlign w:val="center"/>
          </w:tcPr>
          <w:p>
            <w:r>
              <w:t>GLSZM</w:t>
            </w:r>
          </w:p>
        </w:tc>
        <w:tc>
          <w:tcPr>
            <w:tcW w:type="dxa" w:w="1419"/>
            <w:vAlign w:val="center"/>
          </w:tcPr>
          <w:p>
            <w:r>
              <w:t>64</w:t>
            </w:r>
          </w:p>
        </w:tc>
        <w:tc>
          <w:tcPr>
            <w:tcW w:type="dxa" w:w="1419"/>
            <w:vAlign w:val="center"/>
          </w:tcPr>
          <w:p>
            <w:r>
              <w:t>21.9%</w:t>
            </w:r>
          </w:p>
        </w:tc>
        <w:tc>
          <w:tcPr>
            <w:tcW w:type="dxa" w:w="1419"/>
            <w:vAlign w:val="center"/>
          </w:tcPr>
          <w:p>
            <w:r>
              <w:t>11</w:t>
            </w:r>
          </w:p>
        </w:tc>
        <w:tc>
          <w:tcPr>
            <w:tcW w:type="dxa" w:w="1419"/>
            <w:vAlign w:val="center"/>
          </w:tcPr>
          <w:p>
            <w:r>
              <w:t>4</w:t>
            </w:r>
          </w:p>
        </w:tc>
        <w:tc>
          <w:tcPr>
            <w:tcW w:type="dxa" w:w="1419"/>
            <w:vAlign w:val="center"/>
          </w:tcPr>
          <w:p>
            <w:r>
              <w:t>7</w:t>
            </w:r>
          </w:p>
        </w:tc>
      </w:tr>
      <w:tr>
        <w:tc>
          <w:tcPr>
            <w:tcW w:type="dxa" w:w="1419"/>
            <w:vAlign w:val="center"/>
          </w:tcPr>
          <w:p>
            <w:r>
              <w:t>2D</w:t>
            </w:r>
          </w:p>
        </w:tc>
        <w:tc>
          <w:tcPr>
            <w:tcW w:type="dxa" w:w="1419"/>
            <w:vAlign w:val="center"/>
          </w:tcPr>
          <w:p>
            <w:r>
              <w:t>Intensity histogram</w:t>
            </w:r>
          </w:p>
        </w:tc>
        <w:tc>
          <w:tcPr>
            <w:tcW w:type="dxa" w:w="1419"/>
            <w:vAlign w:val="center"/>
          </w:tcPr>
          <w:p>
            <w:r>
              <w:t>46</w:t>
            </w:r>
          </w:p>
        </w:tc>
        <w:tc>
          <w:tcPr>
            <w:tcW w:type="dxa" w:w="1419"/>
            <w:vAlign w:val="center"/>
          </w:tcPr>
          <w:p>
            <w:r>
              <w:t>23.9%</w:t>
            </w:r>
          </w:p>
        </w:tc>
        <w:tc>
          <w:tcPr>
            <w:tcW w:type="dxa" w:w="1419"/>
            <w:vAlign w:val="center"/>
          </w:tcPr>
          <w:p>
            <w:r>
              <w:t>3</w:t>
            </w:r>
          </w:p>
        </w:tc>
        <w:tc>
          <w:tcPr>
            <w:tcW w:type="dxa" w:w="1419"/>
            <w:vAlign w:val="center"/>
          </w:tcPr>
          <w:p>
            <w:r>
              <w:t>3</w:t>
            </w:r>
          </w:p>
        </w:tc>
        <w:tc>
          <w:tcPr>
            <w:tcW w:type="dxa" w:w="1419"/>
            <w:vAlign w:val="center"/>
          </w:tcPr>
          <w:p>
            <w:r>
              <w:t>0</w:t>
            </w:r>
          </w:p>
        </w:tc>
      </w:tr>
      <w:tr>
        <w:tc>
          <w:tcPr>
            <w:tcW w:type="dxa" w:w="1419"/>
            <w:vAlign w:val="center"/>
          </w:tcPr>
          <w:p>
            <w:r>
              <w:t>2D</w:t>
            </w:r>
          </w:p>
        </w:tc>
        <w:tc>
          <w:tcPr>
            <w:tcW w:type="dxa" w:w="1419"/>
            <w:vAlign w:val="center"/>
          </w:tcPr>
          <w:p>
            <w:r>
              <w:t>Intensity-volume histogram</w:t>
            </w:r>
          </w:p>
        </w:tc>
        <w:tc>
          <w:tcPr>
            <w:tcW w:type="dxa" w:w="1419"/>
            <w:vAlign w:val="center"/>
          </w:tcPr>
          <w:p>
            <w:r>
              <w:t>14</w:t>
            </w:r>
          </w:p>
        </w:tc>
        <w:tc>
          <w:tcPr>
            <w:tcW w:type="dxa" w:w="1419"/>
            <w:vAlign w:val="center"/>
          </w:tcPr>
          <w:p>
            <w:r>
              <w:t>14.3%</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Local intensity peaks</w:t>
            </w:r>
          </w:p>
        </w:tc>
        <w:tc>
          <w:tcPr>
            <w:tcW w:type="dxa" w:w="1419"/>
            <w:vAlign w:val="center"/>
          </w:tcPr>
          <w:p>
            <w:r>
              <w:t>4</w:t>
            </w:r>
          </w:p>
        </w:tc>
        <w:tc>
          <w:tcPr>
            <w:tcW w:type="dxa" w:w="1419"/>
            <w:vAlign w:val="center"/>
          </w:tcPr>
          <w:p>
            <w:r>
              <w:t>75.0%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NGLDM</w:t>
            </w:r>
          </w:p>
        </w:tc>
        <w:tc>
          <w:tcPr>
            <w:tcW w:type="dxa" w:w="1419"/>
            <w:vAlign w:val="center"/>
          </w:tcPr>
          <w:p>
            <w:r>
              <w:t>68</w:t>
            </w:r>
          </w:p>
        </w:tc>
        <w:tc>
          <w:tcPr>
            <w:tcW w:type="dxa" w:w="1419"/>
            <w:vAlign w:val="center"/>
          </w:tcPr>
          <w:p>
            <w:r>
              <w:t>10.3%</w:t>
            </w:r>
          </w:p>
        </w:tc>
        <w:tc>
          <w:tcPr>
            <w:tcW w:type="dxa" w:w="1419"/>
            <w:vAlign w:val="center"/>
          </w:tcPr>
          <w:p>
            <w:r>
              <w:t>21</w:t>
            </w:r>
          </w:p>
        </w:tc>
        <w:tc>
          <w:tcPr>
            <w:tcW w:type="dxa" w:w="1419"/>
            <w:vAlign w:val="center"/>
          </w:tcPr>
          <w:p>
            <w:r>
              <w:t>3</w:t>
            </w:r>
          </w:p>
        </w:tc>
        <w:tc>
          <w:tcPr>
            <w:tcW w:type="dxa" w:w="1419"/>
            <w:vAlign w:val="center"/>
          </w:tcPr>
          <w:p>
            <w:r>
              <w:t>18</w:t>
            </w:r>
          </w:p>
        </w:tc>
      </w:tr>
      <w:tr>
        <w:tc>
          <w:tcPr>
            <w:tcW w:type="dxa" w:w="1419"/>
            <w:vAlign w:val="center"/>
          </w:tcPr>
          <w:p>
            <w:r>
              <w:t>2D</w:t>
            </w:r>
          </w:p>
        </w:tc>
        <w:tc>
          <w:tcPr>
            <w:tcW w:type="dxa" w:w="1419"/>
            <w:vAlign w:val="center"/>
          </w:tcPr>
          <w:p>
            <w:r>
              <w:t>NGTDM</w:t>
            </w:r>
          </w:p>
        </w:tc>
        <w:tc>
          <w:tcPr>
            <w:tcW w:type="dxa" w:w="1419"/>
            <w:vAlign w:val="center"/>
          </w:tcPr>
          <w:p>
            <w:r>
              <w:t>20</w:t>
            </w:r>
          </w:p>
        </w:tc>
        <w:tc>
          <w:tcPr>
            <w:tcW w:type="dxa" w:w="1419"/>
            <w:vAlign w:val="center"/>
          </w:tcPr>
          <w:p>
            <w:r>
              <w:t>10.0%</w:t>
            </w:r>
          </w:p>
        </w:tc>
        <w:tc>
          <w:tcPr>
            <w:tcW w:type="dxa" w:w="1419"/>
            <w:vAlign w:val="center"/>
          </w:tcPr>
          <w:p>
            <w:r>
              <w:t>1</w:t>
            </w:r>
          </w:p>
        </w:tc>
        <w:tc>
          <w:tcPr>
            <w:tcW w:type="dxa" w:w="1419"/>
            <w:vAlign w:val="center"/>
          </w:tcPr>
          <w:p>
            <w:r>
              <w:t>0</w:t>
            </w:r>
          </w:p>
        </w:tc>
        <w:tc>
          <w:tcPr>
            <w:tcW w:type="dxa" w:w="1419"/>
            <w:vAlign w:val="center"/>
          </w:tcPr>
          <w:p>
            <w:r>
              <w:t>1</w:t>
            </w:r>
          </w:p>
        </w:tc>
      </w:tr>
      <w:tr>
        <w:tc>
          <w:tcPr>
            <w:tcW w:type="dxa" w:w="1419"/>
            <w:vAlign w:val="center"/>
          </w:tcPr>
          <w:p>
            <w:r>
              <w:t>2D</w:t>
            </w:r>
          </w:p>
        </w:tc>
        <w:tc>
          <w:tcPr>
            <w:tcW w:type="dxa" w:w="1419"/>
            <w:vAlign w:val="center"/>
          </w:tcPr>
          <w:p>
            <w:r>
              <w:t>Shape</w:t>
            </w:r>
          </w:p>
        </w:tc>
        <w:tc>
          <w:tcPr>
            <w:tcW w:type="dxa" w:w="1419"/>
            <w:vAlign w:val="center"/>
          </w:tcPr>
          <w:p>
            <w:r>
              <w:t>46</w:t>
            </w:r>
          </w:p>
        </w:tc>
        <w:tc>
          <w:tcPr>
            <w:tcW w:type="dxa" w:w="1419"/>
            <w:vAlign w:val="center"/>
          </w:tcPr>
          <w:p>
            <w:r>
              <w:t>17.4%</w:t>
            </w:r>
          </w:p>
        </w:tc>
        <w:tc>
          <w:tcPr>
            <w:tcW w:type="dxa" w:w="1419"/>
            <w:vAlign w:val="center"/>
          </w:tcPr>
          <w:p>
            <w:r>
              <w:t>12</w:t>
            </w:r>
          </w:p>
        </w:tc>
        <w:tc>
          <w:tcPr>
            <w:tcW w:type="dxa" w:w="1419"/>
            <w:vAlign w:val="center"/>
          </w:tcPr>
          <w:p>
            <w:r>
              <w:t>0</w:t>
            </w:r>
          </w:p>
        </w:tc>
        <w:tc>
          <w:tcPr>
            <w:tcW w:type="dxa" w:w="1419"/>
            <w:vAlign w:val="center"/>
          </w:tcPr>
          <w:p>
            <w:r>
              <w:t>12</w:t>
            </w:r>
          </w:p>
        </w:tc>
      </w:tr>
    </w:tbl>
    <w:p/>
    <w:p>
      <w:r>
        <w:drawing>
          <wp:inline xmlns:a="http://schemas.openxmlformats.org/drawingml/2006/main" xmlns:pic="http://schemas.openxmlformats.org/drawingml/2006/picture">
            <wp:extent cx="5943600" cy="2377440"/>
            <wp:docPr id="6" name="Picture 6"/>
            <wp:cNvGraphicFramePr>
              <a:graphicFrameLocks noChangeAspect="1"/>
            </wp:cNvGraphicFramePr>
            <a:graphic>
              <a:graphicData uri="http://schemas.openxmlformats.org/drawingml/2006/picture">
                <pic:pic>
                  <pic:nvPicPr>
                    <pic:cNvPr id="0" name="feature_family_improvements.png"/>
                    <pic:cNvPicPr/>
                  </pic:nvPicPr>
                  <pic:blipFill>
                    <a:blip r:embed="rId14"/>
                    <a:stretch>
                      <a:fillRect/>
                    </a:stretch>
                  </pic:blipFill>
                  <pic:spPr>
                    <a:xfrm>
                      <a:off x="0" y="0"/>
                      <a:ext cx="5943600" cy="2377440"/>
                    </a:xfrm>
                    <a:prstGeom prst="rect"/>
                  </pic:spPr>
                </pic:pic>
              </a:graphicData>
            </a:graphic>
          </wp:inline>
        </w:drawing>
      </w:r>
    </w:p>
    <w:p>
      <w:pPr>
        <w:pStyle w:val="Caption"/>
        <w:jc w:val="center"/>
      </w:pPr>
      <w:r>
        <w:t>Şekil 3. Feature ailesi bazında CV ve pairwise farkın birlikte iyileştiği feature oranı.</w:t>
      </w:r>
    </w:p>
    <w:p>
      <w:pPr>
        <w:pStyle w:val="Heading1"/>
      </w:pPr>
      <w:r>
        <w:t>Resampling Kontrolü: World-space ve Registration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Mode</w:t>
            </w:r>
          </w:p>
        </w:tc>
        <w:tc>
          <w:tcPr>
            <w:tcW w:type="dxa" w:w="2484"/>
            <w:vAlign w:val="center"/>
          </w:tcPr>
          <w:p>
            <w:r>
              <w:rPr>
                <w:b/>
              </w:rPr>
              <w:t>Feature sayısı</w:t>
            </w:r>
          </w:p>
        </w:tc>
        <w:tc>
          <w:tcPr>
            <w:tcW w:type="dxa" w:w="2484"/>
            <w:vAlign w:val="center"/>
          </w:tcPr>
          <w:p>
            <w:r>
              <w:rPr>
                <w:b/>
              </w:rPr>
              <w:t>Organ-feature satırı</w:t>
            </w:r>
          </w:p>
        </w:tc>
        <w:tc>
          <w:tcPr>
            <w:tcW w:type="dxa" w:w="2484"/>
            <w:vAlign w:val="center"/>
          </w:tcPr>
          <w:p>
            <w:r>
              <w:rPr>
                <w:b/>
              </w:rPr>
              <w:t>Median relative fark</w:t>
            </w:r>
          </w:p>
        </w:tc>
      </w:tr>
      <w:tr>
        <w:tc>
          <w:tcPr>
            <w:tcW w:type="dxa" w:w="2484"/>
            <w:vAlign w:val="center"/>
          </w:tcPr>
          <w:p>
            <w:r>
              <w:t>3D</w:t>
            </w:r>
          </w:p>
        </w:tc>
        <w:tc>
          <w:tcPr>
            <w:tcW w:type="dxa" w:w="2484"/>
            <w:vAlign w:val="center"/>
          </w:tcPr>
          <w:p>
            <w:r>
              <w:t>209</w:t>
            </w:r>
          </w:p>
        </w:tc>
        <w:tc>
          <w:tcPr>
            <w:tcW w:type="dxa" w:w="2484"/>
            <w:vAlign w:val="center"/>
          </w:tcPr>
          <w:p>
            <w:r>
              <w:t>418</w:t>
            </w:r>
          </w:p>
        </w:tc>
        <w:tc>
          <w:tcPr>
            <w:tcW w:type="dxa" w:w="2484"/>
            <w:vAlign w:val="center"/>
          </w:tcPr>
          <w:p>
            <w:r>
              <w:t>0.1134</w:t>
            </w:r>
          </w:p>
        </w:tc>
      </w:tr>
      <w:tr>
        <w:tc>
          <w:tcPr>
            <w:tcW w:type="dxa" w:w="2484"/>
            <w:vAlign w:val="center"/>
          </w:tcPr>
          <w:p>
            <w:r>
              <w:t>2D</w:t>
            </w:r>
          </w:p>
        </w:tc>
        <w:tc>
          <w:tcPr>
            <w:tcW w:type="dxa" w:w="2484"/>
            <w:vAlign w:val="center"/>
          </w:tcPr>
          <w:p>
            <w:r>
              <w:t>345</w:t>
            </w:r>
          </w:p>
        </w:tc>
        <w:tc>
          <w:tcPr>
            <w:tcW w:type="dxa" w:w="2484"/>
            <w:vAlign w:val="center"/>
          </w:tcPr>
          <w:p>
            <w:r>
              <w:t>690</w:t>
            </w:r>
          </w:p>
        </w:tc>
        <w:tc>
          <w:tcPr>
            <w:tcW w:type="dxa" w:w="2484"/>
            <w:vAlign w:val="center"/>
          </w:tcPr>
          <w:p>
            <w:r>
              <w:t>0.0789</w:t>
            </w:r>
          </w:p>
        </w:tc>
      </w:tr>
    </w:tbl>
    <w:p/>
    <w:p>
      <w:r>
        <w:t>Identity/world-space kontrolündeki üç 20260402 pair’de spleen/aorta ROI’si fixed grid’e taşınmadığı için MIRP feature’ı üretilemedi; bu pair’ler B→C kontrolünden dışlandı. Bu nedenle bu aşamadaki world-space/registered karşılaştırma 85 ortak pair’i kapsar.</w:t>
      </w:r>
    </w:p>
    <w:p>
      <w:pPr>
        <w:pStyle w:val="Heading1"/>
      </w:pPr>
      <w:r>
        <w:t>Tüm-Çift Pairwise Raporu ve Analitik Sayfa</w:t>
      </w:r>
    </w:p>
    <w:p>
      <w:r>
        <w:t>Organ maskelerinin yalnızca tek bir fixed referansa göre değil, tüm seri çiftleri arasında da karşılaştırılabilmesi için SEP ve PCCT veri setleri için all-pairs pairwise raporları üretildi. Aynı oturum çiftleri kendi oturum referans grid'inde identity ile (zaten hizalı oldukları için), farklı oturum çiftleri ise fixed-referans registration sonrası karşılaştırıldı. Her çift için Dice, ASSD, HD95 ve clDice hesaplandı; sonuçlar Summary, Pairs, Improvements, Date_Summary ve Dice_Diagnostics sayfalarıyla Excel'e yazıldı.</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Veri seti</w:t>
            </w:r>
          </w:p>
        </w:tc>
        <w:tc>
          <w:tcPr>
            <w:tcW w:type="dxa" w:w="1987"/>
            <w:vAlign w:val="center"/>
          </w:tcPr>
          <w:p>
            <w:r>
              <w:rPr>
                <w:b/>
              </w:rPr>
              <w:t>Seri</w:t>
            </w:r>
          </w:p>
        </w:tc>
        <w:tc>
          <w:tcPr>
            <w:tcW w:type="dxa" w:w="1987"/>
            <w:vAlign w:val="center"/>
          </w:tcPr>
          <w:p>
            <w:r>
              <w:rPr>
                <w:b/>
              </w:rPr>
              <w:t>Pair</w:t>
            </w:r>
          </w:p>
        </w:tc>
        <w:tc>
          <w:tcPr>
            <w:tcW w:type="dxa" w:w="1987"/>
            <w:vAlign w:val="center"/>
          </w:tcPr>
          <w:p>
            <w:r>
              <w:rPr>
                <w:b/>
              </w:rPr>
              <w:t>Aynı oturum</w:t>
            </w:r>
          </w:p>
        </w:tc>
        <w:tc>
          <w:tcPr>
            <w:tcW w:type="dxa" w:w="1987"/>
            <w:vAlign w:val="center"/>
          </w:tcPr>
          <w:p>
            <w:r>
              <w:rPr>
                <w:b/>
              </w:rPr>
              <w:t>Farklı oturum</w:t>
            </w:r>
          </w:p>
        </w:tc>
      </w:tr>
      <w:tr>
        <w:tc>
          <w:tcPr>
            <w:tcW w:type="dxa" w:w="1987"/>
            <w:vAlign w:val="center"/>
          </w:tcPr>
          <w:p>
            <w:r>
              <w:t>SEP</w:t>
            </w:r>
          </w:p>
        </w:tc>
        <w:tc>
          <w:tcPr>
            <w:tcW w:type="dxa" w:w="1987"/>
            <w:vAlign w:val="center"/>
          </w:tcPr>
          <w:p>
            <w:r>
              <w:t>68</w:t>
            </w:r>
          </w:p>
        </w:tc>
        <w:tc>
          <w:tcPr>
            <w:tcW w:type="dxa" w:w="1987"/>
            <w:vAlign w:val="center"/>
          </w:tcPr>
          <w:p>
            <w:r>
              <w:t>2278</w:t>
            </w:r>
          </w:p>
        </w:tc>
        <w:tc>
          <w:tcPr>
            <w:tcW w:type="dxa" w:w="1987"/>
            <w:vAlign w:val="center"/>
          </w:tcPr>
          <w:p>
            <w:r>
              <w:t>389</w:t>
            </w:r>
          </w:p>
        </w:tc>
        <w:tc>
          <w:tcPr>
            <w:tcW w:type="dxa" w:w="1987"/>
            <w:vAlign w:val="center"/>
          </w:tcPr>
          <w:p>
            <w:r>
              <w:t>1889</w:t>
            </w:r>
          </w:p>
        </w:tc>
      </w:tr>
      <w:tr>
        <w:tc>
          <w:tcPr>
            <w:tcW w:type="dxa" w:w="1987"/>
            <w:vAlign w:val="center"/>
          </w:tcPr>
          <w:p>
            <w:r>
              <w:t>PCCT</w:t>
            </w:r>
          </w:p>
        </w:tc>
        <w:tc>
          <w:tcPr>
            <w:tcW w:type="dxa" w:w="1987"/>
            <w:vAlign w:val="center"/>
          </w:tcPr>
          <w:p>
            <w:r>
              <w:t>89</w:t>
            </w:r>
          </w:p>
        </w:tc>
        <w:tc>
          <w:tcPr>
            <w:tcW w:type="dxa" w:w="1987"/>
            <w:vAlign w:val="center"/>
          </w:tcPr>
          <w:p>
            <w:r>
              <w:t>3916</w:t>
            </w:r>
          </w:p>
        </w:tc>
        <w:tc>
          <w:tcPr>
            <w:tcW w:type="dxa" w:w="1987"/>
            <w:vAlign w:val="center"/>
          </w:tcPr>
          <w:p>
            <w:r>
              <w:t>186</w:t>
            </w:r>
          </w:p>
        </w:tc>
        <w:tc>
          <w:tcPr>
            <w:tcW w:type="dxa" w:w="1987"/>
            <w:vAlign w:val="center"/>
          </w:tcPr>
          <w:p>
            <w:r>
              <w:t>3730</w:t>
            </w:r>
          </w:p>
        </w:tc>
      </w:tr>
    </w:tbl>
    <w:p/>
    <w:p>
      <w:r>
        <w:t>Aynı oturum içindeki tekrarlar yüksek Dice verdi (identity); farklı oturumlarda rigid/landmark registration Dice'ı belirgin biçimde yükseltti. Düşük Dice'lı seriler dışlanmadı, gerekçeleriyle notlandı: SEP'te 20260731_t20 (zayıf rigid hizalama, HD95 4–5 mm) ve 20260128_t1 (identity; segmentasyon/şekil), PCCT'te 20260601_t1 (HD95 2.0 mm, aorta sınırlayıcı) ve 20260622_t3 (ince kemik kabuğu/şekil farkı). 20260622 _s1005 ise _s2087 ile aynı ışınlamadır; Dice'ı iyi olduğu için kalite nedeniyle değil, yalnızca çift sayımı kaygısıyla ayrıca belirtilmiştir.</w:t>
      </w:r>
    </w:p>
    <w:p>
      <w:r>
        <w:t>Etkileşimli analitik sayfa; tüm-çift Dice matrisini (mutlak Dice ve kazanç modları), Dice dağılımını, tarih-çifti kazanç sıralamasını ve düşük Dice tanılamasını içerir: https://erayakgunn.github.io/registration-overlay/analytics.html</w:t>
      </w:r>
    </w:p>
    <w:p>
      <w:pPr>
        <w:pStyle w:val="Heading1"/>
      </w:pPr>
      <w:r>
        <w:t>Zurich Test-Retest Doğrulaması: Zorlamasız Registration, VOI Şekli ve Değerlendirici Etkisi</w:t>
      </w:r>
    </w:p>
    <w:p>
      <w:r>
        <w:t>Zurich test-retest verisinde (PCCT 8 protokol × 10 tekrar; SEP 5 protokol × 10–20 tekrar) organ centroid farkı tüm pair'lerde ≤0.94 mm idi. Bu nedenle 5 mm skip eşiği ile registration'ın identity'de kalması beklenir. İki koşu karşılaştırıldı: skip0 (registration zorlandı) ve skip5 (identity).</w:t>
      </w:r>
    </w:p>
    <w:tbl>
      <w:tblPr>
        <w:tblStyle w:val="LightShading-Accent1"/>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tcPr>
          <w:p>
            <w:r>
              <w:rPr>
                <w:b/>
              </w:rPr>
              <w:t>Veri seti</w:t>
            </w:r>
          </w:p>
        </w:tc>
        <w:tc>
          <w:tcPr>
            <w:tcW w:type="dxa" w:w="1104"/>
            <w:vAlign w:val="center"/>
          </w:tcPr>
          <w:p>
            <w:r>
              <w:rPr>
                <w:b/>
              </w:rPr>
              <w:t>Organ</w:t>
            </w:r>
          </w:p>
        </w:tc>
        <w:tc>
          <w:tcPr>
            <w:tcW w:type="dxa" w:w="1104"/>
            <w:vAlign w:val="center"/>
          </w:tcPr>
          <w:p>
            <w:r>
              <w:rPr>
                <w:b/>
              </w:rPr>
              <w:t>skip0 önce</w:t>
            </w:r>
          </w:p>
        </w:tc>
        <w:tc>
          <w:tcPr>
            <w:tcW w:type="dxa" w:w="1104"/>
            <w:vAlign w:val="center"/>
          </w:tcPr>
          <w:p>
            <w:r>
              <w:rPr>
                <w:b/>
              </w:rPr>
              <w:t>skip0 sonra</w:t>
            </w:r>
          </w:p>
        </w:tc>
        <w:tc>
          <w:tcPr>
            <w:tcW w:type="dxa" w:w="1104"/>
            <w:vAlign w:val="center"/>
          </w:tcPr>
          <w:p>
            <w:r>
              <w:rPr>
                <w:b/>
              </w:rPr>
              <w:t>skip0 Δ</w:t>
            </w:r>
          </w:p>
        </w:tc>
        <w:tc>
          <w:tcPr>
            <w:tcW w:type="dxa" w:w="1104"/>
            <w:vAlign w:val="center"/>
          </w:tcPr>
          <w:p>
            <w:r>
              <w:rPr>
                <w:b/>
              </w:rPr>
              <w:t>skip5 önce</w:t>
            </w:r>
          </w:p>
        </w:tc>
        <w:tc>
          <w:tcPr>
            <w:tcW w:type="dxa" w:w="1104"/>
            <w:vAlign w:val="center"/>
          </w:tcPr>
          <w:p>
            <w:r>
              <w:rPr>
                <w:b/>
              </w:rPr>
              <w:t>skip5 sonra</w:t>
            </w:r>
          </w:p>
        </w:tc>
        <w:tc>
          <w:tcPr>
            <w:tcW w:type="dxa" w:w="1104"/>
            <w:vAlign w:val="center"/>
          </w:tcPr>
          <w:p>
            <w:r>
              <w:rPr>
                <w:b/>
              </w:rPr>
              <w:t>skip5 Δ</w:t>
            </w:r>
          </w:p>
        </w:tc>
        <w:tc>
          <w:tcPr>
            <w:tcW w:type="dxa" w:w="1104"/>
            <w:vAlign w:val="center"/>
          </w:tcPr>
          <w:p>
            <w:r>
              <w:rPr>
                <w:b/>
              </w:rPr>
              <w:t>N</w:t>
            </w:r>
          </w:p>
        </w:tc>
      </w:tr>
      <w:tr>
        <w:tc>
          <w:tcPr>
            <w:tcW w:type="dxa" w:w="1104"/>
            <w:vAlign w:val="center"/>
          </w:tcPr>
          <w:p>
            <w:r>
              <w:t>PCCT</w:t>
            </w:r>
          </w:p>
        </w:tc>
        <w:tc>
          <w:tcPr>
            <w:tcW w:type="dxa" w:w="1104"/>
            <w:vAlign w:val="center"/>
          </w:tcPr>
          <w:p>
            <w:r>
              <w:t>Spleen</w:t>
            </w:r>
          </w:p>
        </w:tc>
        <w:tc>
          <w:tcPr>
            <w:tcW w:type="dxa" w:w="1104"/>
            <w:vAlign w:val="center"/>
          </w:tcPr>
          <w:p>
            <w:r>
              <w:t>0.9653</w:t>
            </w:r>
          </w:p>
        </w:tc>
        <w:tc>
          <w:tcPr>
            <w:tcW w:type="dxa" w:w="1104"/>
            <w:vAlign w:val="center"/>
          </w:tcPr>
          <w:p>
            <w:r>
              <w:t>0.9661</w:t>
            </w:r>
          </w:p>
        </w:tc>
        <w:tc>
          <w:tcPr>
            <w:tcW w:type="dxa" w:w="1104"/>
            <w:vAlign w:val="center"/>
          </w:tcPr>
          <w:p>
            <w:r>
              <w:t>+0.0008</w:t>
            </w:r>
          </w:p>
        </w:tc>
        <w:tc>
          <w:tcPr>
            <w:tcW w:type="dxa" w:w="1104"/>
            <w:vAlign w:val="center"/>
          </w:tcPr>
          <w:p>
            <w:r>
              <w:t>0.9653</w:t>
            </w:r>
          </w:p>
        </w:tc>
        <w:tc>
          <w:tcPr>
            <w:tcW w:type="dxa" w:w="1104"/>
            <w:vAlign w:val="center"/>
          </w:tcPr>
          <w:p>
            <w:r>
              <w:t>0.9653</w:t>
            </w:r>
          </w:p>
        </w:tc>
        <w:tc>
          <w:tcPr>
            <w:tcW w:type="dxa" w:w="1104"/>
            <w:vAlign w:val="center"/>
          </w:tcPr>
          <w:p>
            <w:r>
              <w:t>+0.0000</w:t>
            </w:r>
          </w:p>
        </w:tc>
        <w:tc>
          <w:tcPr>
            <w:tcW w:type="dxa" w:w="1104"/>
            <w:vAlign w:val="center"/>
          </w:tcPr>
          <w:p>
            <w:r>
              <w:t>72</w:t>
            </w:r>
          </w:p>
        </w:tc>
      </w:tr>
      <w:tr>
        <w:tc>
          <w:tcPr>
            <w:tcW w:type="dxa" w:w="1104"/>
            <w:vAlign w:val="center"/>
          </w:tcPr>
          <w:p>
            <w:r>
              <w:t>PCCT</w:t>
            </w:r>
          </w:p>
        </w:tc>
        <w:tc>
          <w:tcPr>
            <w:tcW w:type="dxa" w:w="1104"/>
            <w:vAlign w:val="center"/>
          </w:tcPr>
          <w:p>
            <w:r>
              <w:t>Aorta</w:t>
            </w:r>
          </w:p>
        </w:tc>
        <w:tc>
          <w:tcPr>
            <w:tcW w:type="dxa" w:w="1104"/>
            <w:vAlign w:val="center"/>
          </w:tcPr>
          <w:p>
            <w:r>
              <w:t>0.9325</w:t>
            </w:r>
          </w:p>
        </w:tc>
        <w:tc>
          <w:tcPr>
            <w:tcW w:type="dxa" w:w="1104"/>
            <w:vAlign w:val="center"/>
          </w:tcPr>
          <w:p>
            <w:r>
              <w:t>0.9337</w:t>
            </w:r>
          </w:p>
        </w:tc>
        <w:tc>
          <w:tcPr>
            <w:tcW w:type="dxa" w:w="1104"/>
            <w:vAlign w:val="center"/>
          </w:tcPr>
          <w:p>
            <w:r>
              <w:t>+0.0012</w:t>
            </w:r>
          </w:p>
        </w:tc>
        <w:tc>
          <w:tcPr>
            <w:tcW w:type="dxa" w:w="1104"/>
            <w:vAlign w:val="center"/>
          </w:tcPr>
          <w:p>
            <w:r>
              <w:t>0.9325</w:t>
            </w:r>
          </w:p>
        </w:tc>
        <w:tc>
          <w:tcPr>
            <w:tcW w:type="dxa" w:w="1104"/>
            <w:vAlign w:val="center"/>
          </w:tcPr>
          <w:p>
            <w:r>
              <w:t>0.9325</w:t>
            </w:r>
          </w:p>
        </w:tc>
        <w:tc>
          <w:tcPr>
            <w:tcW w:type="dxa" w:w="1104"/>
            <w:vAlign w:val="center"/>
          </w:tcPr>
          <w:p>
            <w:r>
              <w:t>+0.0000</w:t>
            </w:r>
          </w:p>
        </w:tc>
        <w:tc>
          <w:tcPr>
            <w:tcW w:type="dxa" w:w="1104"/>
            <w:vAlign w:val="center"/>
          </w:tcPr>
          <w:p>
            <w:r>
              <w:t>72</w:t>
            </w:r>
          </w:p>
        </w:tc>
      </w:tr>
      <w:tr>
        <w:tc>
          <w:tcPr>
            <w:tcW w:type="dxa" w:w="1104"/>
            <w:vAlign w:val="center"/>
          </w:tcPr>
          <w:p>
            <w:r>
              <w:t>SEP</w:t>
            </w:r>
          </w:p>
        </w:tc>
        <w:tc>
          <w:tcPr>
            <w:tcW w:type="dxa" w:w="1104"/>
            <w:vAlign w:val="center"/>
          </w:tcPr>
          <w:p>
            <w:r>
              <w:t>Spleen</w:t>
            </w:r>
          </w:p>
        </w:tc>
        <w:tc>
          <w:tcPr>
            <w:tcW w:type="dxa" w:w="1104"/>
            <w:vAlign w:val="center"/>
          </w:tcPr>
          <w:p>
            <w:r>
              <w:t>0.9676</w:t>
            </w:r>
          </w:p>
        </w:tc>
        <w:tc>
          <w:tcPr>
            <w:tcW w:type="dxa" w:w="1104"/>
            <w:vAlign w:val="center"/>
          </w:tcPr>
          <w:p>
            <w:r>
              <w:t>0.9676</w:t>
            </w:r>
          </w:p>
        </w:tc>
        <w:tc>
          <w:tcPr>
            <w:tcW w:type="dxa" w:w="1104"/>
            <w:vAlign w:val="center"/>
          </w:tcPr>
          <w:p>
            <w:r>
              <w:t>+0.0000</w:t>
            </w:r>
          </w:p>
        </w:tc>
        <w:tc>
          <w:tcPr>
            <w:tcW w:type="dxa" w:w="1104"/>
            <w:vAlign w:val="center"/>
          </w:tcPr>
          <w:p>
            <w:r>
              <w:t>0.9676</w:t>
            </w:r>
          </w:p>
        </w:tc>
        <w:tc>
          <w:tcPr>
            <w:tcW w:type="dxa" w:w="1104"/>
            <w:vAlign w:val="center"/>
          </w:tcPr>
          <w:p>
            <w:r>
              <w:t>0.9676</w:t>
            </w:r>
          </w:p>
        </w:tc>
        <w:tc>
          <w:tcPr>
            <w:tcW w:type="dxa" w:w="1104"/>
            <w:vAlign w:val="center"/>
          </w:tcPr>
          <w:p>
            <w:r>
              <w:t>+0.0000</w:t>
            </w:r>
          </w:p>
        </w:tc>
        <w:tc>
          <w:tcPr>
            <w:tcW w:type="dxa" w:w="1104"/>
            <w:vAlign w:val="center"/>
          </w:tcPr>
          <w:p>
            <w:r>
              <w:t>55</w:t>
            </w:r>
          </w:p>
        </w:tc>
      </w:tr>
      <w:tr>
        <w:tc>
          <w:tcPr>
            <w:tcW w:type="dxa" w:w="1104"/>
            <w:vAlign w:val="center"/>
          </w:tcPr>
          <w:p>
            <w:r>
              <w:t>SEP</w:t>
            </w:r>
          </w:p>
        </w:tc>
        <w:tc>
          <w:tcPr>
            <w:tcW w:type="dxa" w:w="1104"/>
            <w:vAlign w:val="center"/>
          </w:tcPr>
          <w:p>
            <w:r>
              <w:t>Aorta</w:t>
            </w:r>
          </w:p>
        </w:tc>
        <w:tc>
          <w:tcPr>
            <w:tcW w:type="dxa" w:w="1104"/>
            <w:vAlign w:val="center"/>
          </w:tcPr>
          <w:p>
            <w:r>
              <w:t>0.9476</w:t>
            </w:r>
          </w:p>
        </w:tc>
        <w:tc>
          <w:tcPr>
            <w:tcW w:type="dxa" w:w="1104"/>
            <w:vAlign w:val="center"/>
          </w:tcPr>
          <w:p>
            <w:r>
              <w:t>0.9476</w:t>
            </w:r>
          </w:p>
        </w:tc>
        <w:tc>
          <w:tcPr>
            <w:tcW w:type="dxa" w:w="1104"/>
            <w:vAlign w:val="center"/>
          </w:tcPr>
          <w:p>
            <w:r>
              <w:t>+0.0000</w:t>
            </w:r>
          </w:p>
        </w:tc>
        <w:tc>
          <w:tcPr>
            <w:tcW w:type="dxa" w:w="1104"/>
            <w:vAlign w:val="center"/>
          </w:tcPr>
          <w:p>
            <w:r>
              <w:t>0.9476</w:t>
            </w:r>
          </w:p>
        </w:tc>
        <w:tc>
          <w:tcPr>
            <w:tcW w:type="dxa" w:w="1104"/>
            <w:vAlign w:val="center"/>
          </w:tcPr>
          <w:p>
            <w:r>
              <w:t>0.9476</w:t>
            </w:r>
          </w:p>
        </w:tc>
        <w:tc>
          <w:tcPr>
            <w:tcW w:type="dxa" w:w="1104"/>
            <w:vAlign w:val="center"/>
          </w:tcPr>
          <w:p>
            <w:r>
              <w:t>+0.0000</w:t>
            </w:r>
          </w:p>
        </w:tc>
        <w:tc>
          <w:tcPr>
            <w:tcW w:type="dxa" w:w="1104"/>
            <w:vAlign w:val="center"/>
          </w:tcPr>
          <w:p>
            <w:r>
              <w:t>55</w:t>
            </w:r>
          </w:p>
        </w:tc>
      </w:tr>
    </w:tbl>
    <w:p/>
    <w:p>
      <w:r>
        <w:t>skip5 koşusunda tüm pair'ler identity'ye düştü ve before == after (Δ = 0.0000) oldu. skip0'da PCCT'te 25/72 pair landmark/centroid ile zorla register edilmişti; SEP'te yalnız 1/55 pair. Bu nedenle test-retest Dice düşüşü registration'ın değil, gereksiz resampling'in sonucudur.</w:t>
      </w:r>
    </w:p>
    <w:p>
      <w:r>
        <w:t>Öğrenci değerlendiricisinde Ref maskesi kırpılmış crop'a, Target ise tam fixed grid'e resample ediliyor; identity'de bile ~0.001–0.003 yapay fark oluşabiliyor. Ek olarak 45 all-pairs medyanı ile 9 test-retest medyanı farklıdır. Aynı tam grid ve aynı pair seti kullanıldığında düşüş kaybolur; nitekim pilot metrics.csv değerleri skip5'te birebir eşittir.</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Veri seti</w:t>
            </w:r>
          </w:p>
        </w:tc>
        <w:tc>
          <w:tcPr>
            <w:tcW w:type="dxa" w:w="1656"/>
            <w:vAlign w:val="center"/>
          </w:tcPr>
          <w:p>
            <w:r>
              <w:rPr>
                <w:b/>
              </w:rPr>
              <w:t>Organ</w:t>
            </w:r>
          </w:p>
        </w:tc>
        <w:tc>
          <w:tcPr>
            <w:tcW w:type="dxa" w:w="1656"/>
            <w:vAlign w:val="center"/>
          </w:tcPr>
          <w:p>
            <w:r>
              <w:rPr>
                <w:b/>
              </w:rPr>
              <w:t>VOI şekli</w:t>
            </w:r>
          </w:p>
        </w:tc>
        <w:tc>
          <w:tcPr>
            <w:tcW w:type="dxa" w:w="1656"/>
            <w:vAlign w:val="center"/>
          </w:tcPr>
          <w:p>
            <w:r>
              <w:rPr>
                <w:b/>
              </w:rPr>
              <w:t>VOI Dice</w:t>
            </w:r>
          </w:p>
        </w:tc>
        <w:tc>
          <w:tcPr>
            <w:tcW w:type="dxa" w:w="1656"/>
            <w:vAlign w:val="center"/>
          </w:tcPr>
          <w:p>
            <w:r>
              <w:rPr>
                <w:b/>
              </w:rPr>
              <w:t>Tam-organ Dice</w:t>
            </w:r>
          </w:p>
        </w:tc>
        <w:tc>
          <w:tcPr>
            <w:tcW w:type="dxa" w:w="1656"/>
            <w:vAlign w:val="center"/>
          </w:tcPr>
          <w:p>
            <w:r>
              <w:rPr>
                <w:b/>
              </w:rPr>
              <w:t>N</w:t>
            </w:r>
          </w:p>
        </w:tc>
      </w:tr>
      <w:tr>
        <w:tc>
          <w:tcPr>
            <w:tcW w:type="dxa" w:w="1656"/>
            <w:vAlign w:val="center"/>
          </w:tcPr>
          <w:p>
            <w:r>
              <w:t>zurich_pcct</w:t>
            </w:r>
          </w:p>
        </w:tc>
        <w:tc>
          <w:tcPr>
            <w:tcW w:type="dxa" w:w="1656"/>
            <w:vAlign w:val="center"/>
          </w:tcPr>
          <w:p>
            <w:r>
              <w:t>aorta</w:t>
            </w:r>
          </w:p>
        </w:tc>
        <w:tc>
          <w:tcPr>
            <w:tcW w:type="dxa" w:w="1656"/>
            <w:vAlign w:val="center"/>
          </w:tcPr>
          <w:p>
            <w:r>
              <w:t>cube</w:t>
            </w:r>
          </w:p>
        </w:tc>
        <w:tc>
          <w:tcPr>
            <w:tcW w:type="dxa" w:w="1656"/>
            <w:vAlign w:val="center"/>
          </w:tcPr>
          <w:p>
            <w:r>
              <w:t>0.9935</w:t>
            </w:r>
          </w:p>
        </w:tc>
        <w:tc>
          <w:tcPr>
            <w:tcW w:type="dxa" w:w="1656"/>
            <w:vAlign w:val="center"/>
          </w:tcPr>
          <w:p>
            <w:r>
              <w:t>0.9325</w:t>
            </w:r>
          </w:p>
        </w:tc>
        <w:tc>
          <w:tcPr>
            <w:tcW w:type="dxa" w:w="1656"/>
            <w:vAlign w:val="center"/>
          </w:tcPr>
          <w:p>
            <w:r>
              <w:t>72</w:t>
            </w:r>
          </w:p>
        </w:tc>
      </w:tr>
      <w:tr>
        <w:tc>
          <w:tcPr>
            <w:tcW w:type="dxa" w:w="1656"/>
            <w:vAlign w:val="center"/>
          </w:tcPr>
          <w:p>
            <w:r>
              <w:t>zurich_pcct</w:t>
            </w:r>
          </w:p>
        </w:tc>
        <w:tc>
          <w:tcPr>
            <w:tcW w:type="dxa" w:w="1656"/>
            <w:vAlign w:val="center"/>
          </w:tcPr>
          <w:p>
            <w:r>
              <w:t>aorta</w:t>
            </w:r>
          </w:p>
        </w:tc>
        <w:tc>
          <w:tcPr>
            <w:tcW w:type="dxa" w:w="1656"/>
            <w:vAlign w:val="center"/>
          </w:tcPr>
          <w:p>
            <w:r>
              <w:t>sphere</w:t>
            </w:r>
          </w:p>
        </w:tc>
        <w:tc>
          <w:tcPr>
            <w:tcW w:type="dxa" w:w="1656"/>
            <w:vAlign w:val="center"/>
          </w:tcPr>
          <w:p>
            <w:r>
              <w:t>1.0000</w:t>
            </w:r>
          </w:p>
        </w:tc>
        <w:tc>
          <w:tcPr>
            <w:tcW w:type="dxa" w:w="1656"/>
            <w:vAlign w:val="center"/>
          </w:tcPr>
          <w:p>
            <w:r>
              <w:t>0.9325</w:t>
            </w:r>
          </w:p>
        </w:tc>
        <w:tc>
          <w:tcPr>
            <w:tcW w:type="dxa" w:w="1656"/>
            <w:vAlign w:val="center"/>
          </w:tcPr>
          <w:p>
            <w:r>
              <w:t>72</w:t>
            </w:r>
          </w:p>
        </w:tc>
      </w:tr>
      <w:tr>
        <w:tc>
          <w:tcPr>
            <w:tcW w:type="dxa" w:w="1656"/>
            <w:vAlign w:val="center"/>
          </w:tcPr>
          <w:p>
            <w:r>
              <w:t>zurich_pcct</w:t>
            </w:r>
          </w:p>
        </w:tc>
        <w:tc>
          <w:tcPr>
            <w:tcW w:type="dxa" w:w="1656"/>
            <w:vAlign w:val="center"/>
          </w:tcPr>
          <w:p>
            <w:r>
              <w:t>liver</w:t>
            </w:r>
          </w:p>
        </w:tc>
        <w:tc>
          <w:tcPr>
            <w:tcW w:type="dxa" w:w="1656"/>
            <w:vAlign w:val="center"/>
          </w:tcPr>
          <w:p>
            <w:r>
              <w:t>cube</w:t>
            </w:r>
          </w:p>
        </w:tc>
        <w:tc>
          <w:tcPr>
            <w:tcW w:type="dxa" w:w="1656"/>
            <w:vAlign w:val="center"/>
          </w:tcPr>
          <w:p>
            <w:r>
              <w:t>0.9971</w:t>
            </w:r>
          </w:p>
        </w:tc>
        <w:tc>
          <w:tcPr>
            <w:tcW w:type="dxa" w:w="1656"/>
            <w:vAlign w:val="center"/>
          </w:tcPr>
          <w:p>
            <w:r>
              <w:t>0.9811</w:t>
            </w:r>
          </w:p>
        </w:tc>
        <w:tc>
          <w:tcPr>
            <w:tcW w:type="dxa" w:w="1656"/>
            <w:vAlign w:val="center"/>
          </w:tcPr>
          <w:p>
            <w:r>
              <w:t>54</w:t>
            </w:r>
          </w:p>
        </w:tc>
      </w:tr>
      <w:tr>
        <w:tc>
          <w:tcPr>
            <w:tcW w:type="dxa" w:w="1656"/>
            <w:vAlign w:val="center"/>
          </w:tcPr>
          <w:p>
            <w:r>
              <w:t>zurich_pcct</w:t>
            </w:r>
          </w:p>
        </w:tc>
        <w:tc>
          <w:tcPr>
            <w:tcW w:type="dxa" w:w="1656"/>
            <w:vAlign w:val="center"/>
          </w:tcPr>
          <w:p>
            <w:r>
              <w:t>liver</w:t>
            </w:r>
          </w:p>
        </w:tc>
        <w:tc>
          <w:tcPr>
            <w:tcW w:type="dxa" w:w="1656"/>
            <w:vAlign w:val="center"/>
          </w:tcPr>
          <w:p>
            <w:r>
              <w:t>sphere</w:t>
            </w:r>
          </w:p>
        </w:tc>
        <w:tc>
          <w:tcPr>
            <w:tcW w:type="dxa" w:w="1656"/>
            <w:vAlign w:val="center"/>
          </w:tcPr>
          <w:p>
            <w:r>
              <w:t>0.9980</w:t>
            </w:r>
          </w:p>
        </w:tc>
        <w:tc>
          <w:tcPr>
            <w:tcW w:type="dxa" w:w="1656"/>
            <w:vAlign w:val="center"/>
          </w:tcPr>
          <w:p>
            <w:r>
              <w:t>0.9811</w:t>
            </w:r>
          </w:p>
        </w:tc>
        <w:tc>
          <w:tcPr>
            <w:tcW w:type="dxa" w:w="1656"/>
            <w:vAlign w:val="center"/>
          </w:tcPr>
          <w:p>
            <w:r>
              <w:t>54</w:t>
            </w:r>
          </w:p>
        </w:tc>
      </w:tr>
      <w:tr>
        <w:tc>
          <w:tcPr>
            <w:tcW w:type="dxa" w:w="1656"/>
            <w:vAlign w:val="center"/>
          </w:tcPr>
          <w:p>
            <w:r>
              <w:t>zurich_sep</w:t>
            </w:r>
          </w:p>
        </w:tc>
        <w:tc>
          <w:tcPr>
            <w:tcW w:type="dxa" w:w="1656"/>
            <w:vAlign w:val="center"/>
          </w:tcPr>
          <w:p>
            <w:r>
              <w:t>aorta</w:t>
            </w:r>
          </w:p>
        </w:tc>
        <w:tc>
          <w:tcPr>
            <w:tcW w:type="dxa" w:w="1656"/>
            <w:vAlign w:val="center"/>
          </w:tcPr>
          <w:p>
            <w:r>
              <w:t>cube</w:t>
            </w:r>
          </w:p>
        </w:tc>
        <w:tc>
          <w:tcPr>
            <w:tcW w:type="dxa" w:w="1656"/>
            <w:vAlign w:val="center"/>
          </w:tcPr>
          <w:p>
            <w:r>
              <w:t>0.9951</w:t>
            </w:r>
          </w:p>
        </w:tc>
        <w:tc>
          <w:tcPr>
            <w:tcW w:type="dxa" w:w="1656"/>
            <w:vAlign w:val="center"/>
          </w:tcPr>
          <w:p>
            <w:r>
              <w:t>0.9476</w:t>
            </w:r>
          </w:p>
        </w:tc>
        <w:tc>
          <w:tcPr>
            <w:tcW w:type="dxa" w:w="1656"/>
            <w:vAlign w:val="center"/>
          </w:tcPr>
          <w:p>
            <w:r>
              <w:t>55</w:t>
            </w:r>
          </w:p>
        </w:tc>
      </w:tr>
      <w:tr>
        <w:tc>
          <w:tcPr>
            <w:tcW w:type="dxa" w:w="1656"/>
            <w:vAlign w:val="center"/>
          </w:tcPr>
          <w:p>
            <w:r>
              <w:t>zurich_sep</w:t>
            </w:r>
          </w:p>
        </w:tc>
        <w:tc>
          <w:tcPr>
            <w:tcW w:type="dxa" w:w="1656"/>
            <w:vAlign w:val="center"/>
          </w:tcPr>
          <w:p>
            <w:r>
              <w:t>aorta</w:t>
            </w:r>
          </w:p>
        </w:tc>
        <w:tc>
          <w:tcPr>
            <w:tcW w:type="dxa" w:w="1656"/>
            <w:vAlign w:val="center"/>
          </w:tcPr>
          <w:p>
            <w:r>
              <w:t>sphere</w:t>
            </w:r>
          </w:p>
        </w:tc>
        <w:tc>
          <w:tcPr>
            <w:tcW w:type="dxa" w:w="1656"/>
            <w:vAlign w:val="center"/>
          </w:tcPr>
          <w:p>
            <w:r>
              <w:t>1.0000</w:t>
            </w:r>
          </w:p>
        </w:tc>
        <w:tc>
          <w:tcPr>
            <w:tcW w:type="dxa" w:w="1656"/>
            <w:vAlign w:val="center"/>
          </w:tcPr>
          <w:p>
            <w:r>
              <w:t>0.9476</w:t>
            </w:r>
          </w:p>
        </w:tc>
        <w:tc>
          <w:tcPr>
            <w:tcW w:type="dxa" w:w="1656"/>
            <w:vAlign w:val="center"/>
          </w:tcPr>
          <w:p>
            <w:r>
              <w:t>55</w:t>
            </w:r>
          </w:p>
        </w:tc>
      </w:tr>
      <w:tr>
        <w:tc>
          <w:tcPr>
            <w:tcW w:type="dxa" w:w="1656"/>
            <w:vAlign w:val="center"/>
          </w:tcPr>
          <w:p>
            <w:r>
              <w:t>zurich_sep</w:t>
            </w:r>
          </w:p>
        </w:tc>
        <w:tc>
          <w:tcPr>
            <w:tcW w:type="dxa" w:w="1656"/>
            <w:vAlign w:val="center"/>
          </w:tcPr>
          <w:p>
            <w:r>
              <w:t>liver</w:t>
            </w:r>
          </w:p>
        </w:tc>
        <w:tc>
          <w:tcPr>
            <w:tcW w:type="dxa" w:w="1656"/>
            <w:vAlign w:val="center"/>
          </w:tcPr>
          <w:p>
            <w:r>
              <w:t>cube</w:t>
            </w:r>
          </w:p>
        </w:tc>
        <w:tc>
          <w:tcPr>
            <w:tcW w:type="dxa" w:w="1656"/>
            <w:vAlign w:val="center"/>
          </w:tcPr>
          <w:p>
            <w:r>
              <w:t>0.9997</w:t>
            </w:r>
          </w:p>
        </w:tc>
        <w:tc>
          <w:tcPr>
            <w:tcW w:type="dxa" w:w="1656"/>
            <w:vAlign w:val="center"/>
          </w:tcPr>
          <w:p>
            <w:r>
              <w:t>0.9814</w:t>
            </w:r>
          </w:p>
        </w:tc>
        <w:tc>
          <w:tcPr>
            <w:tcW w:type="dxa" w:w="1656"/>
            <w:vAlign w:val="center"/>
          </w:tcPr>
          <w:p>
            <w:r>
              <w:t>55</w:t>
            </w:r>
          </w:p>
        </w:tc>
      </w:tr>
      <w:tr>
        <w:tc>
          <w:tcPr>
            <w:tcW w:type="dxa" w:w="1656"/>
            <w:vAlign w:val="center"/>
          </w:tcPr>
          <w:p>
            <w:r>
              <w:t>zurich_sep</w:t>
            </w:r>
          </w:p>
        </w:tc>
        <w:tc>
          <w:tcPr>
            <w:tcW w:type="dxa" w:w="1656"/>
            <w:vAlign w:val="center"/>
          </w:tcPr>
          <w:p>
            <w:r>
              <w:t>liver</w:t>
            </w:r>
          </w:p>
        </w:tc>
        <w:tc>
          <w:tcPr>
            <w:tcW w:type="dxa" w:w="1656"/>
            <w:vAlign w:val="center"/>
          </w:tcPr>
          <w:p>
            <w:r>
              <w:t>sphere</w:t>
            </w:r>
          </w:p>
        </w:tc>
        <w:tc>
          <w:tcPr>
            <w:tcW w:type="dxa" w:w="1656"/>
            <w:vAlign w:val="center"/>
          </w:tcPr>
          <w:p>
            <w:r>
              <w:t>1.0000</w:t>
            </w:r>
          </w:p>
        </w:tc>
        <w:tc>
          <w:tcPr>
            <w:tcW w:type="dxa" w:w="1656"/>
            <w:vAlign w:val="center"/>
          </w:tcPr>
          <w:p>
            <w:r>
              <w:t>0.9814</w:t>
            </w:r>
          </w:p>
        </w:tc>
        <w:tc>
          <w:tcPr>
            <w:tcW w:type="dxa" w:w="1656"/>
            <w:vAlign w:val="center"/>
          </w:tcPr>
          <w:p>
            <w:r>
              <w:t>55</w:t>
            </w:r>
          </w:p>
        </w:tc>
      </w:tr>
    </w:tbl>
    <w:p/>
    <w:p>
      <w:r>
        <w:t>VOI organın içinde tanımlı olduğundan VOI Dice 0.99–1.00 aralığında doyuyor. Özellikle 10 mm aort küresi tamamen organ içinde kaldığı için maskenin tamamı 1 oluyor ve Dice trivially 1.0 çıkıyor. Bu nedenle VOI Dice registration QC metriği değildir; VOI feature (HU/radiomics) stabilitesi için kullanılmalı, registration QC için tam-organ Dice kullanılmalıdır. Küre küpe göre daha homojen HU verir (SD daha düşük) ama Dice ayırt ediciliği yoktur.</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Veri seti</w:t>
            </w:r>
          </w:p>
        </w:tc>
        <w:tc>
          <w:tcPr>
            <w:tcW w:type="dxa" w:w="1656"/>
            <w:vAlign w:val="center"/>
          </w:tcPr>
          <w:p>
            <w:r>
              <w:rPr>
                <w:b/>
              </w:rPr>
              <w:t>Organ</w:t>
            </w:r>
          </w:p>
        </w:tc>
        <w:tc>
          <w:tcPr>
            <w:tcW w:type="dxa" w:w="1656"/>
            <w:vAlign w:val="center"/>
          </w:tcPr>
          <w:p>
            <w:r>
              <w:rPr>
                <w:b/>
              </w:rPr>
              <w:t>Önce (identity)</w:t>
            </w:r>
          </w:p>
        </w:tc>
        <w:tc>
          <w:tcPr>
            <w:tcW w:type="dxa" w:w="1656"/>
            <w:vAlign w:val="center"/>
          </w:tcPr>
          <w:p>
            <w:r>
              <w:rPr>
                <w:b/>
              </w:rPr>
              <w:t>Sonra (registered)</w:t>
            </w:r>
          </w:p>
        </w:tc>
        <w:tc>
          <w:tcPr>
            <w:tcW w:type="dxa" w:w="1656"/>
            <w:vAlign w:val="center"/>
          </w:tcPr>
          <w:p>
            <w:r>
              <w:rPr>
                <w:b/>
              </w:rPr>
              <w:t>Δ</w:t>
            </w:r>
          </w:p>
        </w:tc>
        <w:tc>
          <w:tcPr>
            <w:tcW w:type="dxa" w:w="1656"/>
            <w:vAlign w:val="center"/>
          </w:tcPr>
          <w:p>
            <w:r>
              <w:rPr>
                <w:b/>
              </w:rPr>
              <w:t>N</w:t>
            </w:r>
          </w:p>
        </w:tc>
      </w:tr>
      <w:tr>
        <w:tc>
          <w:tcPr>
            <w:tcW w:type="dxa" w:w="1656"/>
            <w:vAlign w:val="center"/>
          </w:tcPr>
          <w:p>
            <w:r>
              <w:t>PCCT</w:t>
            </w:r>
          </w:p>
        </w:tc>
        <w:tc>
          <w:tcPr>
            <w:tcW w:type="dxa" w:w="1656"/>
            <w:vAlign w:val="center"/>
          </w:tcPr>
          <w:p>
            <w:r>
              <w:t>Spleen</w:t>
            </w:r>
          </w:p>
        </w:tc>
        <w:tc>
          <w:tcPr>
            <w:tcW w:type="dxa" w:w="1656"/>
            <w:vAlign w:val="center"/>
          </w:tcPr>
          <w:p>
            <w:r>
              <w:t>0.0346</w:t>
            </w:r>
          </w:p>
        </w:tc>
        <w:tc>
          <w:tcPr>
            <w:tcW w:type="dxa" w:w="1656"/>
            <w:vAlign w:val="center"/>
          </w:tcPr>
          <w:p>
            <w:r>
              <w:t>0.9644</w:t>
            </w:r>
          </w:p>
        </w:tc>
        <w:tc>
          <w:tcPr>
            <w:tcW w:type="dxa" w:w="1656"/>
            <w:vAlign w:val="center"/>
          </w:tcPr>
          <w:p>
            <w:r>
              <w:t>+0.9298</w:t>
            </w:r>
          </w:p>
        </w:tc>
        <w:tc>
          <w:tcPr>
            <w:tcW w:type="dxa" w:w="1656"/>
            <w:vAlign w:val="center"/>
          </w:tcPr>
          <w:p>
            <w:r>
              <w:t>88</w:t>
            </w:r>
          </w:p>
        </w:tc>
      </w:tr>
      <w:tr>
        <w:tc>
          <w:tcPr>
            <w:tcW w:type="dxa" w:w="1656"/>
            <w:vAlign w:val="center"/>
          </w:tcPr>
          <w:p>
            <w:r>
              <w:t>PCCT</w:t>
            </w:r>
          </w:p>
        </w:tc>
        <w:tc>
          <w:tcPr>
            <w:tcW w:type="dxa" w:w="1656"/>
            <w:vAlign w:val="center"/>
          </w:tcPr>
          <w:p>
            <w:r>
              <w:t>Aorta</w:t>
            </w:r>
          </w:p>
        </w:tc>
        <w:tc>
          <w:tcPr>
            <w:tcW w:type="dxa" w:w="1656"/>
            <w:vAlign w:val="center"/>
          </w:tcPr>
          <w:p>
            <w:r>
              <w:t>0.1263</w:t>
            </w:r>
          </w:p>
        </w:tc>
        <w:tc>
          <w:tcPr>
            <w:tcW w:type="dxa" w:w="1656"/>
            <w:vAlign w:val="center"/>
          </w:tcPr>
          <w:p>
            <w:r>
              <w:t>0.9306</w:t>
            </w:r>
          </w:p>
        </w:tc>
        <w:tc>
          <w:tcPr>
            <w:tcW w:type="dxa" w:w="1656"/>
            <w:vAlign w:val="center"/>
          </w:tcPr>
          <w:p>
            <w:r>
              <w:t>+0.8044</w:t>
            </w:r>
          </w:p>
        </w:tc>
        <w:tc>
          <w:tcPr>
            <w:tcW w:type="dxa" w:w="1656"/>
            <w:vAlign w:val="center"/>
          </w:tcPr>
          <w:p>
            <w:r>
              <w:t>88</w:t>
            </w:r>
          </w:p>
        </w:tc>
      </w:tr>
      <w:tr>
        <w:tc>
          <w:tcPr>
            <w:tcW w:type="dxa" w:w="1656"/>
            <w:vAlign w:val="center"/>
          </w:tcPr>
          <w:p>
            <w:r>
              <w:t>SEP</w:t>
            </w:r>
          </w:p>
        </w:tc>
        <w:tc>
          <w:tcPr>
            <w:tcW w:type="dxa" w:w="1656"/>
            <w:vAlign w:val="center"/>
          </w:tcPr>
          <w:p>
            <w:r>
              <w:t>Spleen</w:t>
            </w:r>
          </w:p>
        </w:tc>
        <w:tc>
          <w:tcPr>
            <w:tcW w:type="dxa" w:w="1656"/>
            <w:vAlign w:val="center"/>
          </w:tcPr>
          <w:p>
            <w:r>
              <w:t>0.0000</w:t>
            </w:r>
          </w:p>
        </w:tc>
        <w:tc>
          <w:tcPr>
            <w:tcW w:type="dxa" w:w="1656"/>
            <w:vAlign w:val="center"/>
          </w:tcPr>
          <w:p>
            <w:r>
              <w:t>0.9620</w:t>
            </w:r>
          </w:p>
        </w:tc>
        <w:tc>
          <w:tcPr>
            <w:tcW w:type="dxa" w:w="1656"/>
            <w:vAlign w:val="center"/>
          </w:tcPr>
          <w:p>
            <w:r>
              <w:t>+0.9620</w:t>
            </w:r>
          </w:p>
        </w:tc>
        <w:tc>
          <w:tcPr>
            <w:tcW w:type="dxa" w:w="1656"/>
            <w:vAlign w:val="center"/>
          </w:tcPr>
          <w:p>
            <w:r>
              <w:t>67</w:t>
            </w:r>
          </w:p>
        </w:tc>
      </w:tr>
      <w:tr>
        <w:tc>
          <w:tcPr>
            <w:tcW w:type="dxa" w:w="1656"/>
            <w:vAlign w:val="center"/>
          </w:tcPr>
          <w:p>
            <w:r>
              <w:t>SEP</w:t>
            </w:r>
          </w:p>
        </w:tc>
        <w:tc>
          <w:tcPr>
            <w:tcW w:type="dxa" w:w="1656"/>
            <w:vAlign w:val="center"/>
          </w:tcPr>
          <w:p>
            <w:r>
              <w:t>Aorta</w:t>
            </w:r>
          </w:p>
        </w:tc>
        <w:tc>
          <w:tcPr>
            <w:tcW w:type="dxa" w:w="1656"/>
            <w:vAlign w:val="center"/>
          </w:tcPr>
          <w:p>
            <w:r>
              <w:t>0.0000</w:t>
            </w:r>
          </w:p>
        </w:tc>
        <w:tc>
          <w:tcPr>
            <w:tcW w:type="dxa" w:w="1656"/>
            <w:vAlign w:val="center"/>
          </w:tcPr>
          <w:p>
            <w:r>
              <w:t>0.9274</w:t>
            </w:r>
          </w:p>
        </w:tc>
        <w:tc>
          <w:tcPr>
            <w:tcW w:type="dxa" w:w="1656"/>
            <w:vAlign w:val="center"/>
          </w:tcPr>
          <w:p>
            <w:r>
              <w:t>+0.9274</w:t>
            </w:r>
          </w:p>
        </w:tc>
        <w:tc>
          <w:tcPr>
            <w:tcW w:type="dxa" w:w="1656"/>
            <w:vAlign w:val="center"/>
          </w:tcPr>
          <w:p>
            <w:r>
              <w:t>67</w:t>
            </w:r>
          </w:p>
        </w:tc>
      </w:tr>
    </w:tbl>
    <w:p/>
    <w:p>
      <w:r>
        <w:t>Cross-date'te registration'ın faydası belirgindir: PCCT'te spleen 0.035→0.964, aorta 0.126→0.931; SEP'te 0.000→0.962 ve 0.000→0.927. Test-retest'te registration gereksiz, cross-date'te zorunludur.</w:t>
      </w:r>
    </w:p>
    <w:p>
      <w:pPr>
        <w:pStyle w:val="Heading1"/>
      </w:pPr>
      <w:r>
        <w:t>Tartışma</w:t>
      </w:r>
    </w:p>
    <w:p>
      <w:r>
        <w:t>v1.0.0, organ maskelerinin spatial overlap’ını kuvvetle artırdı. Aynı zamanda session-aware analiz, radyomik repeatability etkisinin feature-dependent olduğunu gösterdi. Registered ve identity/world-space arasındaki feature farkları resampling/interpolation etkisini de içerir. Dolayısıyla geometrik Dice iyileşmesi doğrudan radiomic reproducibility iyileşmesi olarak yorumlanmamalıdır. Özellikle GLCM/GLRLM gibi texture ailelerinde 2D/3D tanımları ve pooling yöntemleri ayrı değerlendirilmelidir.</w:t>
      </w:r>
    </w:p>
    <w:p>
      <w:pPr>
        <w:pStyle w:val="Heading1"/>
      </w:pPr>
      <w:r>
        <w:t>Sınırlılıklar ve Sonraki İşler</w:t>
      </w:r>
    </w:p>
    <w:p>
      <w:pPr>
        <w:pStyle w:val="ListBullet"/>
      </w:pPr>
      <w:r>
        <w:t>Reference tek bir seri (20260805 take1) olduğundan farklı reference/medoid stratejileri sensitivity analysis olarak test edilmelidir.</w:t>
      </w:r>
    </w:p>
    <w:p>
      <w:pPr>
        <w:pStyle w:val="ListBullet"/>
      </w:pPr>
      <w:r>
        <w:t>Düşük Dice kalan pair’lerde görsel QC gereklidir; Dice segmentasyon değişkenliği ve FOV’dan da etkilenir.</w:t>
      </w:r>
    </w:p>
    <w:p>
      <w:pPr>
        <w:pStyle w:val="ListBullet"/>
      </w:pPr>
      <w:r>
        <w:t>Aorta için aynı-oturum TotalSegmentator maksimum Dice 0.9892 olduğundan 0.99 katı eşiği ölçülebilir segmentation tavanıyla uyumsuzdur.</w:t>
      </w:r>
    </w:p>
    <w:p>
      <w:pPr>
        <w:pStyle w:val="ListBullet"/>
      </w:pPr>
      <w:r>
        <w:t>Feature aileleri ve organlar ayrı raporlanmalı; near-zero/kararsız feature’lar relative fark analizinden çıkarılmalı veya özel işaretlenmelidir.</w:t>
      </w:r>
    </w:p>
    <w:p>
      <w:pPr>
        <w:pStyle w:val="ListBullet"/>
      </w:pPr>
      <w:r>
        <w:t>Companion organ-coordinate yönteminin kodu/çıktıları bu paket içinde bulunmadığından, aynı pair ve MIRP ayarlarında doğrudan karşılaştırma henüz yapılamadı.</w:t>
      </w:r>
    </w:p>
    <w:p>
      <w:pPr>
        <w:pStyle w:val="ListBullet"/>
      </w:pPr>
      <w:r>
        <w:t>Test-retest’te registration zorlanmamalıdır (5 mm skip, identity); VOI Dice registration QC metriği değildir, registration QC için tam-organ Dice kullanılmalıdır.</w:t>
      </w:r>
    </w:p>
    <w:p>
      <w:pPr>
        <w:pStyle w:val="ListBullet"/>
      </w:pPr>
      <w:r>
        <w:t>Değerlendirici karşılaştırmalarında Ref ve Target aynı tam fixed grid üzerinde hesaplanmalı; crop/full-grid karışımı identity’de bile yapay fark üretir.</w:t>
      </w:r>
    </w:p>
    <w:p>
      <w:pPr>
        <w:pStyle w:val="Heading1"/>
      </w:pPr>
      <w:r>
        <w:t>Sonuç</w:t>
      </w:r>
    </w:p>
    <w:p>
      <w:r>
        <w:t>v1.0.0’da rigid ve landmark/centroid tabanlı spatial standardization, longitudinal PhantomX organ maskelerinin geometrik uyumunu belirgin biçimde artırdı. Ancak radiomic repeatability’de kazanım tüm feature’lara yayılmadı; bazı feature ailelerinde iyileşme, bazılarında kötüleşme görüldü. Bu nedenle registration’ın gerekliliği organ ve feature ailesi bazında değerlendirilmeli; identity/world-space resampling kontrolü ve companion yöntem karşılaştırması tamamlanmadan tüm radiomics için genel üstünlük iddia edilmemelidir. Zurich test-retest doğrulaması bu ayrımı destekler: zaten hizalı veride identity en iyi sonucu verirken, cross-date’te registration zorunludur; VOI ise feature stabilitesi için tanımlıdır, Dice/registration QC metriği değildir.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