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900"/>
        <w:jc w:val="center"/>
      </w:pPr>
      <w:r>
        <w:rPr>
          <w:b/>
          <w:bCs/>
          <w:caps/>
          <w:color w:val="595959"/>
          <w:sz w:val="20"/>
          <w:szCs w:val="20"/>
        </w:rPr>
        <w:t xml:space="preserve">OFFICIAL</w:t>
      </w:r>
    </w:p>
    <w:p>
      <w:pPr>
        <w:spacing w:after="100" w:before="1100"/>
        <w:jc w:val="center"/>
      </w:pPr>
      <w:r>
        <w:rPr>
          <w:b/>
          <w:bCs/>
          <w:color w:val="1F3A5F"/>
          <w:sz w:val="50"/>
          <w:szCs w:val="50"/>
        </w:rPr>
        <w:t xml:space="preserve">MCP in the Public Sector:</w:t>
      </w:r>
    </w:p>
    <w:p>
      <w:pPr>
        <w:spacing w:after="260"/>
        <w:jc w:val="center"/>
      </w:pPr>
      <w:r>
        <w:rPr>
          <w:b/>
          <w:bCs/>
          <w:color w:val="1F3A5F"/>
          <w:sz w:val="50"/>
          <w:szCs w:val="50"/>
        </w:rPr>
        <w:t xml:space="preserve">Proven Precedents</w:t>
      </w:r>
    </w:p>
    <w:p>
      <w:pPr>
        <w:spacing w:after="200"/>
        <w:jc w:val="center"/>
      </w:pPr>
      <w:r>
        <w:rPr>
          <w:i/>
          <w:iCs/>
          <w:color w:val="2E5A88"/>
          <w:sz w:val="26"/>
          <w:szCs w:val="26"/>
        </w:rPr>
        <w:t xml:space="preserve">Government is already connecting AI to trusted data safely — why ONS should be next</w:t>
      </w:r>
    </w:p>
    <w:p>
      <w:pPr>
        <w:pBdr>
          <w:top w:val="single" w:color="1F3A5F" w:sz="6" w:space="6"/>
        </w:pBdr>
        <w:spacing w:before="120"/>
        <w:jc w:val="center"/>
      </w:pPr>
      <w:r>
        <w:rPr>
          <w:sz w:val="2"/>
          <w:szCs w:val="2"/>
        </w:rPr>
        <w:t xml:space="preserve"/>
      </w:r>
    </w:p>
    <w:p>
      <w:pPr>
        <w:spacing w:after="50" w:before="320"/>
        <w:jc w:val="center"/>
      </w:pPr>
      <w:r>
        <w:rPr>
          <w:b/>
          <w:bCs/>
          <w:sz w:val="24"/>
          <w:szCs w:val="24"/>
        </w:rPr>
        <w:t xml:space="preserve">Companion evidence note to the MCP platform business case</w:t>
      </w:r>
    </w:p>
    <w:p>
      <w:pPr>
        <w:spacing w:after="40"/>
        <w:jc w:val="center"/>
      </w:pPr>
      <w:r>
        <w:rPr>
          <w:color w:val="595959"/>
          <w:sz w:val="22"/>
          <w:szCs w:val="22"/>
        </w:rPr>
        <w:t xml:space="preserve">June 2026   ·   Version 1.0   ·   Classification: OFFICIAL</w:t>
      </w:r>
    </w:p>
    <w:p>
      <w:r>
        <w:br w:type="page"/>
      </w:r>
    </w:p>
    <w:p>
      <w:pPr>
        <w:pStyle w:val="Heading1"/>
      </w:pPr>
      <w:r>
        <w:t xml:space="preserve">1. Why this matters</w:t>
      </w:r>
    </w:p>
    <w:p>
      <w:pPr>
        <w:spacing w:after="180" w:line="288"/>
        <w:jc w:val="both"/>
      </w:pPr>
      <w:r>
        <w:rPr>
          <w:i/>
          <w:iCs/>
          <w:color w:val="2E5A88"/>
          <w:sz w:val="24"/>
          <w:szCs w:val="24"/>
        </w:rPr>
        <w:t xml:space="preserve">The proposal is not speculative. In the past eighteen months, UK departments, the central digital function of government, and at least one peer national statistics office have built precisely what we are proposing: secure MCP servers that connect AI to live, trusted government data.</w:t>
      </w:r>
    </w:p>
    <w:p>
      <w:pPr>
        <w:spacing w:after="160" w:line="276"/>
        <w:jc w:val="both"/>
      </w:pPr>
      <w:r>
        <w:t xml:space="preserve">This note sets out the leading, verifiable precedents — each a public, documented example — and what each means for ONS. It is a direct response to a question senior leaders rightly ask: has anyone in government actually done this safely? The answer is yes, and the pattern is consistent: build an MCP server on top of existing security and platforms, return answers with citations to the source record, and reuse the capability across many AI tools. The most relevant example of all is a national statistics office that has already shipped an MCP server over its official statistics.</w:t>
      </w:r>
    </w:p>
    <w:p>
      <w:pPr>
        <w:pStyle w:val="Heading1"/>
      </w:pPr>
      <w:r>
        <w:t xml:space="preserve">2. At a glance</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50"/>
        <w:gridCol w:w="3250"/>
        <w:gridCol w:w="2450"/>
        <w:gridCol w:w="1276"/>
      </w:tblGrid>
      <w:tr>
        <w:trPr>
          <w:tblHeader/>
        </w:trPr>
        <w:tc>
          <w:tcPr>
            <w:tcW w:type="dxa" w:w="2050"/>
            <w:tcBorders>
              <w:top w:val="single" w:color="BFCEDF" w:sz="1"/>
              <w:left w:val="single" w:color="BFCEDF" w:sz="1"/>
              <w:bottom w:val="single" w:color="BFCEDF" w:sz="1"/>
              <w:right w:val="single" w:color="BFCEDF" w:sz="1"/>
            </w:tcBorders>
            <w:shd w:fill="DCE6F1" w:color="auto" w:val="clear"/>
            <w:tcMar>
              <w:top w:type="dxa" w:w="60"/>
              <w:left w:type="dxa" w:w="100"/>
              <w:bottom w:type="dxa" w:w="60"/>
              <w:right w:type="dxa" w:w="100"/>
            </w:tcMar>
            <w:vAlign w:val="top"/>
          </w:tcPr>
          <w:p>
            <w:pPr>
              <w:spacing w:after="0" w:line="240"/>
            </w:pPr>
            <w:r>
              <w:rPr>
                <w:b/>
                <w:bCs/>
                <w:color w:val="1F3A5F"/>
                <w:sz w:val="18"/>
                <w:szCs w:val="18"/>
              </w:rPr>
              <w:t xml:space="preserve">Organisation</w:t>
            </w:r>
          </w:p>
        </w:tc>
        <w:tc>
          <w:tcPr>
            <w:tcW w:type="dxa" w:w="3250"/>
            <w:tcBorders>
              <w:top w:val="single" w:color="BFCEDF" w:sz="1"/>
              <w:left w:val="single" w:color="BFCEDF" w:sz="1"/>
              <w:bottom w:val="single" w:color="BFCEDF" w:sz="1"/>
              <w:right w:val="single" w:color="BFCEDF" w:sz="1"/>
            </w:tcBorders>
            <w:shd w:fill="DCE6F1" w:color="auto" w:val="clear"/>
            <w:tcMar>
              <w:top w:type="dxa" w:w="60"/>
              <w:left w:type="dxa" w:w="100"/>
              <w:bottom w:type="dxa" w:w="60"/>
              <w:right w:type="dxa" w:w="100"/>
            </w:tcMar>
            <w:vAlign w:val="top"/>
          </w:tcPr>
          <w:p>
            <w:pPr>
              <w:spacing w:after="0" w:line="240"/>
            </w:pPr>
            <w:r>
              <w:rPr>
                <w:b/>
                <w:bCs/>
                <w:color w:val="1F3A5F"/>
                <w:sz w:val="18"/>
                <w:szCs w:val="18"/>
              </w:rPr>
              <w:t xml:space="preserve">What they built</w:t>
            </w:r>
          </w:p>
        </w:tc>
        <w:tc>
          <w:tcPr>
            <w:tcW w:type="dxa" w:w="2450"/>
            <w:tcBorders>
              <w:top w:val="single" w:color="BFCEDF" w:sz="1"/>
              <w:left w:val="single" w:color="BFCEDF" w:sz="1"/>
              <w:bottom w:val="single" w:color="BFCEDF" w:sz="1"/>
              <w:right w:val="single" w:color="BFCEDF" w:sz="1"/>
            </w:tcBorders>
            <w:shd w:fill="DCE6F1" w:color="auto" w:val="clear"/>
            <w:tcMar>
              <w:top w:type="dxa" w:w="60"/>
              <w:left w:type="dxa" w:w="100"/>
              <w:bottom w:type="dxa" w:w="60"/>
              <w:right w:type="dxa" w:w="100"/>
            </w:tcMar>
            <w:vAlign w:val="top"/>
          </w:tcPr>
          <w:p>
            <w:pPr>
              <w:spacing w:after="0" w:line="240"/>
            </w:pPr>
            <w:r>
              <w:rPr>
                <w:b/>
                <w:bCs/>
                <w:color w:val="1F3A5F"/>
                <w:sz w:val="18"/>
                <w:szCs w:val="18"/>
              </w:rPr>
              <w:t xml:space="preserve">Security &amp; approach</w:t>
            </w:r>
          </w:p>
        </w:tc>
        <w:tc>
          <w:tcPr>
            <w:tcW w:type="dxa" w:w="1276"/>
            <w:tcBorders>
              <w:top w:val="single" w:color="BFCEDF" w:sz="1"/>
              <w:left w:val="single" w:color="BFCEDF" w:sz="1"/>
              <w:bottom w:val="single" w:color="BFCEDF" w:sz="1"/>
              <w:right w:val="single" w:color="BFCEDF" w:sz="1"/>
            </w:tcBorders>
            <w:shd w:fill="DCE6F1" w:color="auto" w:val="clear"/>
            <w:tcMar>
              <w:top w:type="dxa" w:w="60"/>
              <w:left w:type="dxa" w:w="100"/>
              <w:bottom w:type="dxa" w:w="60"/>
              <w:right w:type="dxa" w:w="100"/>
            </w:tcMar>
            <w:vAlign w:val="top"/>
          </w:tcPr>
          <w:p>
            <w:pPr>
              <w:spacing w:after="0" w:line="240"/>
            </w:pPr>
            <w:r>
              <w:rPr>
                <w:b/>
                <w:bCs/>
                <w:color w:val="1F3A5F"/>
                <w:sz w:val="18"/>
                <w:szCs w:val="18"/>
              </w:rPr>
              <w:t xml:space="preserve">Status</w:t>
            </w:r>
          </w:p>
        </w:tc>
      </w:tr>
      <w:tr>
        <w:tc>
          <w:tcPr>
            <w:tcW w:type="dxa" w:w="2050"/>
            <w:tcBorders>
              <w:top w:val="single" w:color="BFCEDF" w:sz="1"/>
              <w:left w:val="single" w:color="BFCEDF" w:sz="1"/>
              <w:bottom w:val="single" w:color="BFCEDF" w:sz="1"/>
              <w:right w:val="single" w:color="BFCEDF" w:sz="1"/>
            </w:tcBorders>
            <w:shd w:fill="FFFFFF" w:color="auto" w:val="clear"/>
            <w:tcMar>
              <w:top w:type="dxa" w:w="60"/>
              <w:left w:type="dxa" w:w="100"/>
              <w:bottom w:type="dxa" w:w="60"/>
              <w:right w:type="dxa" w:w="100"/>
            </w:tcMar>
            <w:vAlign w:val="top"/>
          </w:tcPr>
          <w:p>
            <w:pPr>
              <w:spacing w:after="0" w:line="240"/>
            </w:pPr>
            <w:r>
              <w:rPr>
                <w:b w:val="false"/>
                <w:bCs w:val="false"/>
                <w:color w:val="000000"/>
                <w:sz w:val="18"/>
                <w:szCs w:val="18"/>
              </w:rPr>
              <w:t xml:space="preserve">Dept for Business &amp; Trade (DBT)</w:t>
            </w:r>
          </w:p>
        </w:tc>
        <w:tc>
          <w:tcPr>
            <w:tcW w:type="dxa" w:w="3250"/>
            <w:tcBorders>
              <w:top w:val="single" w:color="BFCEDF" w:sz="1"/>
              <w:left w:val="single" w:color="BFCEDF" w:sz="1"/>
              <w:bottom w:val="single" w:color="BFCEDF" w:sz="1"/>
              <w:right w:val="single" w:color="BFCEDF" w:sz="1"/>
            </w:tcBorders>
            <w:shd w:fill="FFFFFF" w:color="auto" w:val="clear"/>
            <w:tcMar>
              <w:top w:type="dxa" w:w="60"/>
              <w:left w:type="dxa" w:w="100"/>
              <w:bottom w:type="dxa" w:w="60"/>
              <w:right w:type="dxa" w:w="100"/>
            </w:tcMar>
            <w:vAlign w:val="top"/>
          </w:tcPr>
          <w:p>
            <w:pPr>
              <w:spacing w:after="0" w:line="240"/>
            </w:pPr>
            <w:r>
              <w:rPr>
                <w:b w:val="false"/>
                <w:bCs w:val="false"/>
                <w:color w:val="000000"/>
                <w:sz w:val="18"/>
                <w:szCs w:val="18"/>
              </w:rPr>
              <w:t xml:space="preserve">“DBT Assist” AI tool connected to the live Data Hub CRM via an MCP server; natural-language queries answered with citations to source records.</w:t>
            </w:r>
          </w:p>
        </w:tc>
        <w:tc>
          <w:tcPr>
            <w:tcW w:type="dxa" w:w="2450"/>
            <w:tcBorders>
              <w:top w:val="single" w:color="BFCEDF" w:sz="1"/>
              <w:left w:val="single" w:color="BFCEDF" w:sz="1"/>
              <w:bottom w:val="single" w:color="BFCEDF" w:sz="1"/>
              <w:right w:val="single" w:color="BFCEDF" w:sz="1"/>
            </w:tcBorders>
            <w:shd w:fill="FFFFFF" w:color="auto" w:val="clear"/>
            <w:tcMar>
              <w:top w:type="dxa" w:w="60"/>
              <w:left w:type="dxa" w:w="100"/>
              <w:bottom w:type="dxa" w:w="60"/>
              <w:right w:type="dxa" w:w="100"/>
            </w:tcMar>
            <w:vAlign w:val="top"/>
          </w:tcPr>
          <w:p>
            <w:pPr>
              <w:spacing w:after="0" w:line="240"/>
            </w:pPr>
            <w:r>
              <w:rPr>
                <w:b w:val="false"/>
                <w:bCs w:val="false"/>
                <w:color w:val="000000"/>
                <w:sz w:val="18"/>
                <w:szCs w:val="18"/>
              </w:rPr>
              <w:t xml:space="preserve">Reused existing GOV.UK Single Sign-On; runs in a private cloud with no external access points.</w:t>
            </w:r>
          </w:p>
        </w:tc>
        <w:tc>
          <w:tcPr>
            <w:tcW w:type="dxa" w:w="1276"/>
            <w:tcBorders>
              <w:top w:val="single" w:color="BFCEDF" w:sz="1"/>
              <w:left w:val="single" w:color="BFCEDF" w:sz="1"/>
              <w:bottom w:val="single" w:color="BFCEDF" w:sz="1"/>
              <w:right w:val="single" w:color="BFCEDF" w:sz="1"/>
            </w:tcBorders>
            <w:shd w:fill="FFFFFF" w:color="auto" w:val="clear"/>
            <w:tcMar>
              <w:top w:type="dxa" w:w="60"/>
              <w:left w:type="dxa" w:w="100"/>
              <w:bottom w:type="dxa" w:w="60"/>
              <w:right w:type="dxa" w:w="100"/>
            </w:tcMar>
            <w:vAlign w:val="top"/>
          </w:tcPr>
          <w:p>
            <w:pPr>
              <w:spacing w:after="0" w:line="240"/>
            </w:pPr>
            <w:r>
              <w:rPr>
                <w:b w:val="false"/>
                <w:bCs w:val="false"/>
                <w:color w:val="000000"/>
                <w:sz w:val="18"/>
                <w:szCs w:val="18"/>
              </w:rPr>
              <w:t xml:space="preserve">Live (May 2026)</w:t>
            </w:r>
          </w:p>
        </w:tc>
      </w:tr>
      <w:tr>
        <w:tc>
          <w:tcPr>
            <w:tcW w:type="dxa" w:w="2050"/>
            <w:tcBorders>
              <w:top w:val="single" w:color="BFCEDF" w:sz="1"/>
              <w:left w:val="single" w:color="BFCEDF" w:sz="1"/>
              <w:bottom w:val="single" w:color="BFCEDF" w:sz="1"/>
              <w:right w:val="single" w:color="BFCEDF" w:sz="1"/>
            </w:tcBorders>
            <w:shd w:fill="F2F6FB" w:color="auto" w:val="clear"/>
            <w:tcMar>
              <w:top w:type="dxa" w:w="60"/>
              <w:left w:type="dxa" w:w="100"/>
              <w:bottom w:type="dxa" w:w="60"/>
              <w:right w:type="dxa" w:w="100"/>
            </w:tcMar>
            <w:vAlign w:val="top"/>
          </w:tcPr>
          <w:p>
            <w:pPr>
              <w:spacing w:after="0" w:line="240"/>
            </w:pPr>
            <w:r>
              <w:rPr>
                <w:b w:val="false"/>
                <w:bCs w:val="false"/>
                <w:color w:val="000000"/>
                <w:sz w:val="18"/>
                <w:szCs w:val="18"/>
              </w:rPr>
              <w:t xml:space="preserve">National Statistical Office, India (MoSPI)</w:t>
            </w:r>
          </w:p>
        </w:tc>
        <w:tc>
          <w:tcPr>
            <w:tcW w:type="dxa" w:w="3250"/>
            <w:tcBorders>
              <w:top w:val="single" w:color="BFCEDF" w:sz="1"/>
              <w:left w:val="single" w:color="BFCEDF" w:sz="1"/>
              <w:bottom w:val="single" w:color="BFCEDF" w:sz="1"/>
              <w:right w:val="single" w:color="BFCEDF" w:sz="1"/>
            </w:tcBorders>
            <w:shd w:fill="F2F6FB" w:color="auto" w:val="clear"/>
            <w:tcMar>
              <w:top w:type="dxa" w:w="60"/>
              <w:left w:type="dxa" w:w="100"/>
              <w:bottom w:type="dxa" w:w="60"/>
              <w:right w:type="dxa" w:w="100"/>
            </w:tcMar>
            <w:vAlign w:val="top"/>
          </w:tcPr>
          <w:p>
            <w:pPr>
              <w:spacing w:after="0" w:line="240"/>
            </w:pPr>
            <w:r>
              <w:rPr>
                <w:b w:val="false"/>
                <w:bCs w:val="false"/>
                <w:color w:val="000000"/>
                <w:sz w:val="18"/>
                <w:szCs w:val="18"/>
              </w:rPr>
              <w:t xml:space="preserve">Public MCP server over the eSankhyiki official-statistics portal exposing ~22 datasets (CPI, labour force, GDP, industrial output…) to AI assistants.</w:t>
            </w:r>
          </w:p>
        </w:tc>
        <w:tc>
          <w:tcPr>
            <w:tcW w:type="dxa" w:w="2450"/>
            <w:tcBorders>
              <w:top w:val="single" w:color="BFCEDF" w:sz="1"/>
              <w:left w:val="single" w:color="BFCEDF" w:sz="1"/>
              <w:bottom w:val="single" w:color="BFCEDF" w:sz="1"/>
              <w:right w:val="single" w:color="BFCEDF" w:sz="1"/>
            </w:tcBorders>
            <w:shd w:fill="F2F6FB" w:color="auto" w:val="clear"/>
            <w:tcMar>
              <w:top w:type="dxa" w:w="60"/>
              <w:left w:type="dxa" w:w="100"/>
              <w:bottom w:type="dxa" w:w="60"/>
              <w:right w:type="dxa" w:w="100"/>
            </w:tcMar>
            <w:vAlign w:val="top"/>
          </w:tcPr>
          <w:p>
            <w:pPr>
              <w:spacing w:after="0" w:line="240"/>
            </w:pPr>
            <w:r>
              <w:rPr>
                <w:b w:val="false"/>
                <w:bCs w:val="false"/>
                <w:color w:val="000000"/>
                <w:sz w:val="18"/>
                <w:szCs w:val="18"/>
              </w:rPr>
              <w:t xml:space="preserve">Open-data APIs; metadata-first tool workflow; open-source (MIT); production deployment with monitoring.</w:t>
            </w:r>
          </w:p>
        </w:tc>
        <w:tc>
          <w:tcPr>
            <w:tcW w:type="dxa" w:w="1276"/>
            <w:tcBorders>
              <w:top w:val="single" w:color="BFCEDF" w:sz="1"/>
              <w:left w:val="single" w:color="BFCEDF" w:sz="1"/>
              <w:bottom w:val="single" w:color="BFCEDF" w:sz="1"/>
              <w:right w:val="single" w:color="BFCEDF" w:sz="1"/>
            </w:tcBorders>
            <w:shd w:fill="F2F6FB" w:color="auto" w:val="clear"/>
            <w:tcMar>
              <w:top w:type="dxa" w:w="60"/>
              <w:left w:type="dxa" w:w="100"/>
              <w:bottom w:type="dxa" w:w="60"/>
              <w:right w:type="dxa" w:w="100"/>
            </w:tcMar>
            <w:vAlign w:val="top"/>
          </w:tcPr>
          <w:p>
            <w:pPr>
              <w:spacing w:after="0" w:line="240"/>
            </w:pPr>
            <w:r>
              <w:rPr>
                <w:b w:val="false"/>
                <w:bCs w:val="false"/>
                <w:color w:val="000000"/>
                <w:sz w:val="18"/>
                <w:szCs w:val="18"/>
              </w:rPr>
              <w:t xml:space="preserve">Beta Feb 2026; 7 → 22 datasets</w:t>
            </w:r>
          </w:p>
        </w:tc>
      </w:tr>
      <w:tr>
        <w:tc>
          <w:tcPr>
            <w:tcW w:type="dxa" w:w="2050"/>
            <w:tcBorders>
              <w:top w:val="single" w:color="BFCEDF" w:sz="1"/>
              <w:left w:val="single" w:color="BFCEDF" w:sz="1"/>
              <w:bottom w:val="single" w:color="BFCEDF" w:sz="1"/>
              <w:right w:val="single" w:color="BFCEDF" w:sz="1"/>
            </w:tcBorders>
            <w:shd w:fill="FFFFFF" w:color="auto" w:val="clear"/>
            <w:tcMar>
              <w:top w:type="dxa" w:w="60"/>
              <w:left w:type="dxa" w:w="100"/>
              <w:bottom w:type="dxa" w:w="60"/>
              <w:right w:type="dxa" w:w="100"/>
            </w:tcMar>
            <w:vAlign w:val="top"/>
          </w:tcPr>
          <w:p>
            <w:pPr>
              <w:spacing w:after="0" w:line="240"/>
            </w:pPr>
            <w:r>
              <w:rPr>
                <w:b w:val="false"/>
                <w:bCs w:val="false"/>
                <w:color w:val="000000"/>
                <w:sz w:val="18"/>
                <w:szCs w:val="18"/>
              </w:rPr>
              <w:t xml:space="preserve">Incubator for AI (i.AI), UK</w:t>
            </w:r>
          </w:p>
        </w:tc>
        <w:tc>
          <w:tcPr>
            <w:tcW w:type="dxa" w:w="3250"/>
            <w:tcBorders>
              <w:top w:val="single" w:color="BFCEDF" w:sz="1"/>
              <w:left w:val="single" w:color="BFCEDF" w:sz="1"/>
              <w:bottom w:val="single" w:color="BFCEDF" w:sz="1"/>
              <w:right w:val="single" w:color="BFCEDF" w:sz="1"/>
            </w:tcBorders>
            <w:shd w:fill="FFFFFF" w:color="auto" w:val="clear"/>
            <w:tcMar>
              <w:top w:type="dxa" w:w="60"/>
              <w:left w:type="dxa" w:w="100"/>
              <w:bottom w:type="dxa" w:w="60"/>
              <w:right w:type="dxa" w:w="100"/>
            </w:tcMar>
            <w:vAlign w:val="top"/>
          </w:tcPr>
          <w:p>
            <w:pPr>
              <w:spacing w:after="0" w:line="240"/>
            </w:pPr>
            <w:r>
              <w:rPr>
                <w:b w:val="false"/>
                <w:bCs w:val="false"/>
                <w:color w:val="000000"/>
                <w:sz w:val="18"/>
                <w:szCs w:val="18"/>
              </w:rPr>
              <w:t xml:space="preserve">“Lex” — an MCP server and API over the UK statute book and case law (legislation 1267–present), with semantic search.</w:t>
            </w:r>
          </w:p>
        </w:tc>
        <w:tc>
          <w:tcPr>
            <w:tcW w:type="dxa" w:w="2450"/>
            <w:tcBorders>
              <w:top w:val="single" w:color="BFCEDF" w:sz="1"/>
              <w:left w:val="single" w:color="BFCEDF" w:sz="1"/>
              <w:bottom w:val="single" w:color="BFCEDF" w:sz="1"/>
              <w:right w:val="single" w:color="BFCEDF" w:sz="1"/>
            </w:tcBorders>
            <w:shd w:fill="FFFFFF" w:color="auto" w:val="clear"/>
            <w:tcMar>
              <w:top w:type="dxa" w:w="60"/>
              <w:left w:type="dxa" w:w="100"/>
              <w:bottom w:type="dxa" w:w="60"/>
              <w:right w:type="dxa" w:w="100"/>
            </w:tcMar>
            <w:vAlign w:val="top"/>
          </w:tcPr>
          <w:p>
            <w:pPr>
              <w:spacing w:after="0" w:line="240"/>
            </w:pPr>
            <w:r>
              <w:rPr>
                <w:b w:val="false"/>
                <w:bCs w:val="false"/>
                <w:color w:val="000000"/>
                <w:sz w:val="18"/>
                <w:szCs w:val="18"/>
              </w:rPr>
              <w:t xml:space="preserve">Open standard plus OpenAPI REST; built with The National Archives &amp; MoJ; open-source (MIT); experimental.</w:t>
            </w:r>
          </w:p>
        </w:tc>
        <w:tc>
          <w:tcPr>
            <w:tcW w:type="dxa" w:w="1276"/>
            <w:tcBorders>
              <w:top w:val="single" w:color="BFCEDF" w:sz="1"/>
              <w:left w:val="single" w:color="BFCEDF" w:sz="1"/>
              <w:bottom w:val="single" w:color="BFCEDF" w:sz="1"/>
              <w:right w:val="single" w:color="BFCEDF" w:sz="1"/>
            </w:tcBorders>
            <w:shd w:fill="FFFFFF" w:color="auto" w:val="clear"/>
            <w:tcMar>
              <w:top w:type="dxa" w:w="60"/>
              <w:left w:type="dxa" w:w="100"/>
              <w:bottom w:type="dxa" w:w="60"/>
              <w:right w:type="dxa" w:w="100"/>
            </w:tcMar>
            <w:vAlign w:val="top"/>
          </w:tcPr>
          <w:p>
            <w:pPr>
              <w:spacing w:after="0" w:line="240"/>
            </w:pPr>
            <w:r>
              <w:rPr>
                <w:b w:val="false"/>
                <w:bCs w:val="false"/>
                <w:color w:val="000000"/>
                <w:sz w:val="18"/>
                <w:szCs w:val="18"/>
              </w:rPr>
              <w:t xml:space="preserve">Live (experimental)</w:t>
            </w:r>
          </w:p>
        </w:tc>
      </w:tr>
      <w:tr>
        <w:tc>
          <w:tcPr>
            <w:tcW w:type="dxa" w:w="2050"/>
            <w:tcBorders>
              <w:top w:val="single" w:color="BFCEDF" w:sz="1"/>
              <w:left w:val="single" w:color="BFCEDF" w:sz="1"/>
              <w:bottom w:val="single" w:color="BFCEDF" w:sz="1"/>
              <w:right w:val="single" w:color="BFCEDF" w:sz="1"/>
            </w:tcBorders>
            <w:shd w:fill="F2F6FB" w:color="auto" w:val="clear"/>
            <w:tcMar>
              <w:top w:type="dxa" w:w="60"/>
              <w:left w:type="dxa" w:w="100"/>
              <w:bottom w:type="dxa" w:w="60"/>
              <w:right w:type="dxa" w:w="100"/>
            </w:tcMar>
            <w:vAlign w:val="top"/>
          </w:tcPr>
          <w:p>
            <w:pPr>
              <w:spacing w:after="0" w:line="240"/>
            </w:pPr>
            <w:r>
              <w:rPr>
                <w:b w:val="false"/>
                <w:bCs w:val="false"/>
                <w:color w:val="000000"/>
                <w:sz w:val="18"/>
                <w:szCs w:val="18"/>
              </w:rPr>
              <w:t xml:space="preserve">GDS + The National Archives</w:t>
            </w:r>
          </w:p>
        </w:tc>
        <w:tc>
          <w:tcPr>
            <w:tcW w:type="dxa" w:w="3250"/>
            <w:tcBorders>
              <w:top w:val="single" w:color="BFCEDF" w:sz="1"/>
              <w:left w:val="single" w:color="BFCEDF" w:sz="1"/>
              <w:bottom w:val="single" w:color="BFCEDF" w:sz="1"/>
              <w:right w:val="single" w:color="BFCEDF" w:sz="1"/>
            </w:tcBorders>
            <w:shd w:fill="F2F6FB" w:color="auto" w:val="clear"/>
            <w:tcMar>
              <w:top w:type="dxa" w:w="60"/>
              <w:left w:type="dxa" w:w="100"/>
              <w:bottom w:type="dxa" w:w="60"/>
              <w:right w:type="dxa" w:w="100"/>
            </w:tcMar>
            <w:vAlign w:val="top"/>
          </w:tcPr>
          <w:p>
            <w:pPr>
              <w:spacing w:after="0" w:line="240"/>
            </w:pPr>
            <w:r>
              <w:rPr>
                <w:b w:val="false"/>
                <w:bCs w:val="false"/>
                <w:color w:val="000000"/>
                <w:sz w:val="18"/>
                <w:szCs w:val="18"/>
              </w:rPr>
              <w:t xml:space="preserve">Data-maturity-led pilot to expose legislation and case law via MCP; cross-government hackathon with DBT and MoJ.</w:t>
            </w:r>
          </w:p>
        </w:tc>
        <w:tc>
          <w:tcPr>
            <w:tcW w:type="dxa" w:w="2450"/>
            <w:tcBorders>
              <w:top w:val="single" w:color="BFCEDF" w:sz="1"/>
              <w:left w:val="single" w:color="BFCEDF" w:sz="1"/>
              <w:bottom w:val="single" w:color="BFCEDF" w:sz="1"/>
              <w:right w:val="single" w:color="BFCEDF" w:sz="1"/>
            </w:tcBorders>
            <w:shd w:fill="F2F6FB" w:color="auto" w:val="clear"/>
            <w:tcMar>
              <w:top w:type="dxa" w:w="60"/>
              <w:left w:type="dxa" w:w="100"/>
              <w:bottom w:type="dxa" w:w="60"/>
              <w:right w:type="dxa" w:w="100"/>
            </w:tcMar>
            <w:vAlign w:val="top"/>
          </w:tcPr>
          <w:p>
            <w:pPr>
              <w:spacing w:after="0" w:line="240"/>
            </w:pPr>
            <w:r>
              <w:rPr>
                <w:b w:val="false"/>
                <w:bCs w:val="false"/>
                <w:color w:val="000000"/>
                <w:sz w:val="18"/>
                <w:szCs w:val="18"/>
              </w:rPr>
              <w:t xml:space="preserve">Assurance-first: data-maturity assessment before committing to technology.</w:t>
            </w:r>
          </w:p>
        </w:tc>
        <w:tc>
          <w:tcPr>
            <w:tcW w:type="dxa" w:w="1276"/>
            <w:tcBorders>
              <w:top w:val="single" w:color="BFCEDF" w:sz="1"/>
              <w:left w:val="single" w:color="BFCEDF" w:sz="1"/>
              <w:bottom w:val="single" w:color="BFCEDF" w:sz="1"/>
              <w:right w:val="single" w:color="BFCEDF" w:sz="1"/>
            </w:tcBorders>
            <w:shd w:fill="F2F6FB" w:color="auto" w:val="clear"/>
            <w:tcMar>
              <w:top w:type="dxa" w:w="60"/>
              <w:left w:type="dxa" w:w="100"/>
              <w:bottom w:type="dxa" w:w="60"/>
              <w:right w:type="dxa" w:w="100"/>
            </w:tcMar>
            <w:vAlign w:val="top"/>
          </w:tcPr>
          <w:p>
            <w:pPr>
              <w:spacing w:after="0" w:line="240"/>
            </w:pPr>
            <w:r>
              <w:rPr>
                <w:b w:val="false"/>
                <w:bCs w:val="false"/>
                <w:color w:val="000000"/>
                <w:sz w:val="18"/>
                <w:szCs w:val="18"/>
              </w:rPr>
              <w:t xml:space="preserve">Discovery done Apr 2026; now Alpha</w:t>
            </w:r>
          </w:p>
        </w:tc>
      </w:tr>
    </w:tbl>
    <w:p>
      <w:pPr>
        <w:pStyle w:val="Heading1"/>
      </w:pPr>
      <w:r>
        <w:t xml:space="preserve">3. The precedents in detail</w:t>
      </w:r>
    </w:p>
    <w:p>
      <w:pPr>
        <w:pStyle w:val="Heading2"/>
      </w:pPr>
      <w:r>
        <w:t xml:space="preserve">Department for Business and Trade — “DBT Assist” and Data Hub</w:t>
      </w:r>
    </w:p>
    <w:p>
      <w:pPr>
        <w:spacing w:after="160" w:line="276"/>
        <w:jc w:val="both"/>
      </w:pPr>
      <w:r>
        <w:t xml:space="preserve">DBT’s data engineering team built an MCP server to connect their AI assistant, DBT Assist, to the live Data Hub customer-relationship system. Investment advisers in the Office for Investment can now ask natural-language questions such as “What previous interactions has DBT had with Company X?” and receive real-time answers, enriched with insight and — importantly — citations linking back to the original Data Hub records. Critically, the team reused DBT’s existing GOV.UK Single Sign-On and ran the server inside a virtual private cloud with no external access points, so no new security model was needed. They report reduced manual effort, faster access to trusted information and higher confidence in data use, and the server is reusable by other AI applications across the department.</w:t>
      </w:r>
    </w:p>
    <w:p>
      <w:pPr>
        <w:spacing w:after="200" w:line="270"/>
      </w:pPr>
      <w:r>
        <w:rPr>
          <w:b/>
          <w:bCs/>
          <w:color w:val="1F3A5F"/>
        </w:rPr>
        <w:t xml:space="preserve">Why it matters for ONS — </w:t>
      </w:r>
      <w:r>
        <w:rPr>
          <w:i/>
          <w:iCs/>
        </w:rPr>
        <w:t xml:space="preserve">this is the exact pattern we propose — an MCP server layered on existing single sign-on, answers cited to source, and reusable across tools — already proven on live, sensitive UK government data. It is the closest UK analogue to our plan and a ready reference for our own security design.</w:t>
      </w:r>
    </w:p>
    <w:p>
      <w:pPr>
        <w:pStyle w:val="Heading2"/>
      </w:pPr>
      <w:r>
        <w:t xml:space="preserve">National Statistical Office, India (MoSPI) — the eSankhyiki MCP server</w:t>
      </w:r>
    </w:p>
    <w:p>
      <w:pPr>
        <w:spacing w:after="160" w:line="276"/>
        <w:jc w:val="both"/>
      </w:pPr>
      <w:r>
        <w:t xml:space="preserve">This is the single most relevant precedent: a peer national statistics office has already launched a public MCP server over its official statistics. India’s National Statistical Office, through its Data Innovation Lab, released a beta MCP server in February 2026 across its eSankhyiki statistics portal, beginning with seven flagship products and now spanning around twenty-two datasets — including the Consumer Price Index, the Periodic Labour Force Survey, National Accounts (GDP) and the Index of Industrial Production. It bridges mainstream AI assistants to the office’s open-data APIs, letting users query verified statistics in natural language and in real time, without downloading files. The design is notably disciplined: a four-step tool workflow (discover datasets, list indicators, fetch metadata, then retrieve data) deliberately forces an agent to ground each query in official metadata before returning a figure. It is open-source under the MIT licence, with production deployment and built-in observability.</w:t>
      </w:r>
    </w:p>
    <w:p>
      <w:pPr>
        <w:spacing w:after="200" w:line="270"/>
      </w:pPr>
      <w:r>
        <w:rPr>
          <w:b/>
          <w:bCs/>
          <w:color w:val="1F3A5F"/>
        </w:rPr>
        <w:t xml:space="preserve">Why it matters for ONS — </w:t>
      </w:r>
      <w:r>
        <w:rPr>
          <w:i/>
          <w:iCs/>
        </w:rPr>
        <w:t xml:space="preserve">a direct peer has demonstrated that a statistics office can expose official figures to AI agents safely, model-agnostically, and metadata-first. It de-risks both the concept and the design choices in our proposal, and it sets a benchmark the ONS can match — and, in the UK context, lead.</w:t>
      </w:r>
    </w:p>
    <w:p>
      <w:pPr>
        <w:pStyle w:val="Heading2"/>
      </w:pPr>
      <w:r>
        <w:t xml:space="preserve">Incubator for AI (i.AI), UK — “Lex”</w:t>
      </w:r>
    </w:p>
    <w:p>
      <w:pPr>
        <w:spacing w:after="160" w:line="276"/>
        <w:jc w:val="both"/>
      </w:pPr>
      <w:r>
        <w:t xml:space="preserve">The UK government’s Incubator for AI built Lex, an MCP server and API over the UK statute book and case law — millions of legal documents spanning legislation from 1267 to the present, plus judgments — with hybrid semantic search. It is offered through a modern web interface, a documented OpenAPI REST API and MCP tools, and was built with support from The National Archives and the Ministry of Justice. It is open-source under the MIT licence and presented as an experimental service rather than a production dependency.</w:t>
      </w:r>
    </w:p>
    <w:p>
      <w:pPr>
        <w:spacing w:after="200" w:line="270"/>
      </w:pPr>
      <w:r>
        <w:rPr>
          <w:b/>
          <w:bCs/>
          <w:color w:val="1F3A5F"/>
        </w:rPr>
        <w:t xml:space="preserve">Why it matters for ONS — </w:t>
      </w:r>
      <w:r>
        <w:rPr>
          <w:i/>
          <w:iCs/>
        </w:rPr>
        <w:t xml:space="preserve">it shows a central government team exposing a large, authoritative public dataset to AI agents through MCP at scale, and pairing MCP with a conventional API — the very “complement, not replace” principle in our business case.</w:t>
      </w:r>
    </w:p>
    <w:p>
      <w:pPr>
        <w:pStyle w:val="Heading2"/>
      </w:pPr>
      <w:r>
        <w:t xml:space="preserve">GDS and The National Archives — a data-maturity-led pilot</w:t>
      </w:r>
    </w:p>
    <w:p>
      <w:pPr>
        <w:spacing w:after="160" w:line="276"/>
        <w:jc w:val="both"/>
      </w:pPr>
      <w:r>
        <w:t xml:space="preserve">Rather than rushing to build a chatbot, the Government Digital Service and The National Archives first used a “data maturity” assessment to judge whether the data — and the organisation around it — were genuinely ready for AI. They then partnered with DBT and the Ministry of Justice to run a hackathon (forty lawyers, policymakers, data scientists and engineers) to test exposing legislation and case law via MCP. The discovery phase completed in April 2026 and the work has moved into Alpha; early evidence indicated that MCP makes a significant positive difference to the quality of AI outputs.</w:t>
      </w:r>
    </w:p>
    <w:p>
      <w:pPr>
        <w:spacing w:after="200" w:line="270"/>
      </w:pPr>
      <w:r>
        <w:rPr>
          <w:b/>
          <w:bCs/>
          <w:color w:val="1F3A5F"/>
        </w:rPr>
        <w:t xml:space="preserve">Why it matters for ONS — </w:t>
      </w:r>
      <w:r>
        <w:rPr>
          <w:i/>
          <w:iCs/>
        </w:rPr>
        <w:t xml:space="preserve">it models the measured, assurance-first approach in our roadmap — prove readiness and value on a contained scope before scaling — and shows this discipline is the cross-government norm, not an outlier.</w:t>
      </w:r>
    </w:p>
    <w:p>
      <w:pPr>
        <w:pStyle w:val="Heading1"/>
      </w:pPr>
      <w:r>
        <w:t xml:space="preserve">4. Policy and evidence backing</w:t>
      </w:r>
    </w:p>
    <w:p>
      <w:pPr>
        <w:spacing w:after="160" w:line="276"/>
        <w:jc w:val="both"/>
      </w:pPr>
      <w:r>
        <w:t xml:space="preserve">This is not only being done; it is being recommended. The GDS guidance “Making government datasets ready for AI” explicitly names the Model Context Protocol (alongside GraphQL) as the access layer for “agentic, single-record access,” within a four-pillar framework for AI-ready data covering technical optimisation, data and metadata quality, organisational context, and legal, security and ethical compliance. In other words, an MCP route for ONS data would align with current cross-government guidance rather than running ahead of it.</w:t>
      </w:r>
    </w:p>
    <w:p>
      <w:pPr>
        <w:spacing w:after="160" w:line="276"/>
        <w:jc w:val="both"/>
      </w:pPr>
      <w:r>
        <w:t xml:space="preserve">The evidence base is also maturing fast. The UK AI Safety Institute analysed more than 177,000 MCP tools published between November 2024 and February 2026 — a sign both of how quickly the ecosystem is consolidating and of why disciplined controls (least privilege, monitoring, human oversight) matter. That reinforces, rather than undercuts, the security-first design at the heart of our proposal.</w:t>
      </w:r>
    </w:p>
    <w:p>
      <w:pPr>
        <w:pStyle w:val="Heading1"/>
      </w:pPr>
      <w:r>
        <w:t xml:space="preserve">5. What the precedents have in common</w:t>
      </w:r>
    </w:p>
    <w:p>
      <w:pPr>
        <w:spacing w:after="160" w:line="276"/>
        <w:jc w:val="both"/>
      </w:pPr>
      <w:r>
        <w:t xml:space="preserve">Across these examples the same design choices recur — and they map directly onto our proposal:</w:t>
      </w:r>
    </w:p>
    <w:p>
      <w:pPr>
        <w:pStyle w:val="ListParagraph"/>
        <w:numPr>
          <w:ilvl w:val="0"/>
          <w:numId w:val="2"/>
        </w:numPr>
        <w:spacing w:after="90" w:line="270"/>
      </w:pPr>
      <w:r>
        <w:rPr>
          <w:b/>
          <w:bCs/>
        </w:rPr>
        <w:t xml:space="preserve">Build on existing security. </w:t>
      </w:r>
      <w:r>
        <w:t xml:space="preserve">Reusing single sign-on and existing platforms sped adoption and added no new attack surface.</w:t>
      </w:r>
    </w:p>
    <w:p>
      <w:pPr>
        <w:pStyle w:val="ListParagraph"/>
        <w:numPr>
          <w:ilvl w:val="0"/>
          <w:numId w:val="2"/>
        </w:numPr>
        <w:spacing w:after="90" w:line="270"/>
      </w:pPr>
      <w:r>
        <w:rPr>
          <w:b/>
          <w:bCs/>
        </w:rPr>
        <w:t xml:space="preserve">Build once, reuse many times. </w:t>
      </w:r>
      <w:r>
        <w:t xml:space="preserve">Each MCP server became a shared capability for multiple AI tools and teams.</w:t>
      </w:r>
    </w:p>
    <w:p>
      <w:pPr>
        <w:pStyle w:val="ListParagraph"/>
        <w:numPr>
          <w:ilvl w:val="0"/>
          <w:numId w:val="2"/>
        </w:numPr>
        <w:spacing w:after="90" w:line="270"/>
      </w:pPr>
      <w:r>
        <w:rPr>
          <w:b/>
          <w:bCs/>
        </w:rPr>
        <w:t xml:space="preserve">Cite the source. </w:t>
      </w:r>
      <w:r>
        <w:t xml:space="preserve">Answers are traceable to the authoritative record — the antidote to misquotation.</w:t>
      </w:r>
    </w:p>
    <w:p>
      <w:pPr>
        <w:pStyle w:val="ListParagraph"/>
        <w:numPr>
          <w:ilvl w:val="0"/>
          <w:numId w:val="2"/>
        </w:numPr>
        <w:spacing w:after="90" w:line="270"/>
      </w:pPr>
      <w:r>
        <w:rPr>
          <w:b/>
          <w:bCs/>
        </w:rPr>
        <w:t xml:space="preserve">Metadata-first and model-agnostic. </w:t>
      </w:r>
      <w:r>
        <w:t xml:space="preserve">An open standard that works with any model; figures grounded in official metadata.</w:t>
      </w:r>
    </w:p>
    <w:p>
      <w:pPr>
        <w:pStyle w:val="ListParagraph"/>
        <w:numPr>
          <w:ilvl w:val="0"/>
          <w:numId w:val="2"/>
        </w:numPr>
        <w:spacing w:after="90" w:line="270"/>
      </w:pPr>
      <w:r>
        <w:rPr>
          <w:b/>
          <w:bCs/>
        </w:rPr>
        <w:t xml:space="preserve">Start small, assurance-led. </w:t>
      </w:r>
      <w:r>
        <w:t xml:space="preserve">Public or contained data first; prove readiness and value before scaling.</w:t>
      </w:r>
    </w:p>
    <w:p>
      <w:pPr>
        <w:pStyle w:val="Heading1"/>
      </w:pPr>
      <w:r>
        <w:t xml:space="preserve">6. What this means for ONS</w:t>
      </w:r>
    </w:p>
    <w:p>
      <w:pPr>
        <w:spacing w:after="160" w:line="276"/>
        <w:jc w:val="both"/>
      </w:pPr>
      <w:r>
        <w:t xml:space="preserve">The question is no longer whether this can be done safely in government — it has been, repeatedly, and in the case of India’s National Statistical Office, for official statistics specifically. DBT proves the pattern on live, sensitive UK data; i.AI proves it at scale on an authoritative national dataset; GDS proves the assurance-led method; and GDS guidance recommends MCP as the access layer. ONS is exceptionally well placed to follow this proven path — applying our Five Safes, our existing platform and our metadata expertise — and to become the UK’s reference implementation for AI-ready official statistics. The proof of concept we propose is the same modest first step each of these teams took.</w:t>
      </w:r>
    </w:p>
    <w:p>
      <w:r>
        <w:br w:type="page"/>
      </w:r>
    </w:p>
    <w:p>
      <w:pPr>
        <w:pStyle w:val="Heading1"/>
      </w:pPr>
      <w:r>
        <w:t xml:space="preserve">Sources</w:t>
      </w:r>
    </w:p>
    <w:p>
      <w:pPr>
        <w:spacing w:after="160" w:line="276"/>
        <w:jc w:val="both"/>
      </w:pPr>
      <w:r>
        <w:t xml:space="preserve">All sources are public and current as at June 2026.</w:t>
      </w:r>
    </w:p>
    <w:p>
      <w:pPr>
        <w:spacing w:after="60" w:line="250"/>
      </w:pPr>
      <w:r>
        <w:rPr>
          <w:color w:val="595959"/>
        </w:rPr>
        <w:t xml:space="preserve">• </w:t>
      </w:r>
      <w:hyperlink w:history="1" r:id="rIdbn09jqh1bpcs9afnu6nts">
        <w:r>
          <w:rPr>
            <w:rStyle w:val="Hyperlink"/>
            <w:sz w:val="18"/>
            <w:szCs w:val="18"/>
          </w:rPr>
          <w:t xml:space="preserve">DBT — Using single sign-on and MCP to safely connect AI to live government data (Digital trade blog, 14 May 2026)</w:t>
        </w:r>
      </w:hyperlink>
    </w:p>
    <w:p>
      <w:pPr>
        <w:spacing w:after="60" w:line="250"/>
      </w:pPr>
      <w:r>
        <w:rPr>
          <w:color w:val="595959"/>
        </w:rPr>
        <w:t xml:space="preserve">• </w:t>
      </w:r>
      <w:hyperlink w:history="1" r:id="rId7e61zwgkrsrhanjqjniog">
        <w:r>
          <w:rPr>
            <w:rStyle w:val="Hyperlink"/>
            <w:sz w:val="18"/>
            <w:szCs w:val="18"/>
          </w:rPr>
          <w:t xml:space="preserve">MoSPI / National Statistical Office (India) — eSankhyiki MCP server source code (GitHub, MIT)</w:t>
        </w:r>
      </w:hyperlink>
    </w:p>
    <w:p>
      <w:pPr>
        <w:spacing w:after="60" w:line="250"/>
      </w:pPr>
      <w:r>
        <w:rPr>
          <w:color w:val="595959"/>
        </w:rPr>
        <w:t xml:space="preserve">• </w:t>
      </w:r>
      <w:hyperlink w:history="1" r:id="rIdisrs1yvoa-rrociewpy_x">
        <w:r>
          <w:rPr>
            <w:rStyle w:val="Hyperlink"/>
            <w:sz w:val="18"/>
            <w:szCs w:val="18"/>
          </w:rPr>
          <w:t xml:space="preserve">National Statistics Office unveils MCP to plug official data into AI tools (Business Today, Feb 2026)</w:t>
        </w:r>
      </w:hyperlink>
    </w:p>
    <w:p>
      <w:pPr>
        <w:spacing w:after="60" w:line="250"/>
      </w:pPr>
      <w:r>
        <w:rPr>
          <w:color w:val="595959"/>
        </w:rPr>
        <w:t xml:space="preserve">• </w:t>
      </w:r>
      <w:hyperlink w:history="1" r:id="rIdiiwwibh6jgcpljmqbme49">
        <w:r>
          <w:rPr>
            <w:rStyle w:val="Hyperlink"/>
            <w:sz w:val="18"/>
            <w:szCs w:val="18"/>
          </w:rPr>
          <w:t xml:space="preserve">i.AI — Lex project (UK Incubator for AI)</w:t>
        </w:r>
      </w:hyperlink>
    </w:p>
    <w:p>
      <w:pPr>
        <w:spacing w:after="60" w:line="250"/>
      </w:pPr>
      <w:r>
        <w:rPr>
          <w:color w:val="595959"/>
        </w:rPr>
        <w:t xml:space="preserve">• </w:t>
      </w:r>
      <w:hyperlink w:history="1" r:id="rIddy0tafzxr2is_93tdfdom">
        <w:r>
          <w:rPr>
            <w:rStyle w:val="Hyperlink"/>
            <w:sz w:val="18"/>
            <w:szCs w:val="18"/>
          </w:rPr>
          <w:t xml:space="preserve">GDS — Data maturity: the foundation for AI-ready public sector data (4 June 2026)</w:t>
        </w:r>
      </w:hyperlink>
    </w:p>
    <w:p>
      <w:pPr>
        <w:spacing w:after="60" w:line="250"/>
      </w:pPr>
      <w:r>
        <w:rPr>
          <w:color w:val="595959"/>
        </w:rPr>
        <w:t xml:space="preserve">• </w:t>
      </w:r>
      <w:hyperlink w:history="1" r:id="rIdxw1dkqmke1nd6derzabjh">
        <w:r>
          <w:rPr>
            <w:rStyle w:val="Hyperlink"/>
            <w:sz w:val="18"/>
            <w:szCs w:val="18"/>
          </w:rPr>
          <w:t xml:space="preserve">GOV.UK — Guidelines and best practices for making government datasets ready for AI</w:t>
        </w:r>
      </w:hyperlink>
    </w:p>
    <w:p>
      <w:pPr>
        <w:spacing w:after="60" w:line="250"/>
      </w:pPr>
      <w:r>
        <w:rPr>
          <w:color w:val="595959"/>
        </w:rPr>
        <w:t xml:space="preserve">• </w:t>
      </w:r>
      <w:hyperlink w:history="1" r:id="rIdww70kx6ipv2oiq6nh3q_e">
        <w:r>
          <w:rPr>
            <w:rStyle w:val="Hyperlink"/>
            <w:sz w:val="18"/>
            <w:szCs w:val="18"/>
          </w:rPr>
          <w:t xml:space="preserve">AI Safety Institute — How are AI agents used? Evidence from 177,000 MCP tools</w:t>
        </w:r>
      </w:hyperlink>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4"/>
      </w:pBdr>
      <w:tabs>
        <w:tab w:val="right" w:pos="9026"/>
      </w:tabs>
    </w:pPr>
    <w:r>
      <w:rPr>
        <w:color w:val="595959"/>
        <w:sz w:val="16"/>
        <w:szCs w:val="16"/>
      </w:rPr>
      <w:t xml:space="preserve">OFFICIAL — Companion to the MCP platform business case</w:t>
    </w:r>
    <w:r>
      <w:rPr>
        <w:color w:val="595959"/>
        <w:sz w:val="16"/>
        <w:szCs w:val="16"/>
      </w:rPr>
      <w:t xml:space="preserve">	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4"/>
      </w:pBdr>
      <w:tabs>
        <w:tab w:val="right" w:pos="9026"/>
      </w:tabs>
    </w:pPr>
    <w:r>
      <w:rPr>
        <w:color w:val="595959"/>
        <w:sz w:val="16"/>
        <w:szCs w:val="16"/>
      </w:rPr>
      <w:t xml:space="preserve">MCP in the Public Sector — Proven Precedents</w:t>
    </w:r>
    <w:r>
      <w:rPr>
        <w:b/>
        <w:bCs/>
        <w:color w:val="595959"/>
        <w:sz w:val="16"/>
        <w:szCs w:val="16"/>
      </w:rPr>
      <w:t xml:space="preserve">	OFFICIAL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1212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CE6F1" w:sz="4" w:space="4"/>
      </w:pBdr>
      <w:spacing w:after="150" w:before="300"/>
      <w:outlineLvl w:val="0"/>
    </w:pPr>
    <w:rPr>
      <w:rFonts w:ascii="Arial" w:cs="Arial" w:eastAsia="Arial" w:hAnsi="Arial"/>
      <w:b/>
      <w:bCs/>
      <w:color w:val="1F3A5F"/>
      <w:sz w:val="30"/>
      <w:szCs w:val="30"/>
    </w:rPr>
  </w:style>
  <w:style w:type="paragraph" w:styleId="Heading2">
    <w:name w:val="Heading 2"/>
    <w:basedOn w:val="Normal"/>
    <w:next w:val="Normal"/>
    <w:qFormat/>
    <w:pPr>
      <w:spacing w:after="90" w:before="220"/>
      <w:outlineLvl w:val="1"/>
    </w:pPr>
    <w:rPr>
      <w:rFonts w:ascii="Arial" w:cs="Arial" w:eastAsia="Arial" w:hAnsi="Arial"/>
      <w:b/>
      <w:bCs/>
      <w:color w:val="2E5A88"/>
      <w:sz w:val="24"/>
      <w:szCs w:val="24"/>
    </w:rPr>
  </w:style>
  <w:style w:type="paragraph" w:styleId="Hyperlink">
    <w:name w:val="Hyperlink"/>
    <w:basedOn w:val="Normal"/>
    <w:rPr>
      <w:color w:val="2E5A88"/>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bn09jqh1bpcs9afnu6nts" Type="http://schemas.openxmlformats.org/officeDocument/2006/relationships/hyperlink" Target="https://digitaltrade.blog.gov.uk/2026/05/14/using-single-sign-on-and-mcp-to-safely-connect-ai-to-live-government-data/" TargetMode="External"/><Relationship Id="rId7e61zwgkrsrhanjqjniog" Type="http://schemas.openxmlformats.org/officeDocument/2006/relationships/hyperlink" Target="https://github.com/nso-india/esankhyiki-mcp" TargetMode="External"/><Relationship Id="rIdisrs1yvoa-rrociewpy_x" Type="http://schemas.openxmlformats.org/officeDocument/2006/relationships/hyperlink" Target="https://www.businesstoday.in/technology/news/story/national-statistics-office-unveils-mcp-to-plug-official-data-directly-into-ai-and-analytics-tools-515093-2026-02-07" TargetMode="External"/><Relationship Id="rIdiiwwibh6jgcpljmqbme49" Type="http://schemas.openxmlformats.org/officeDocument/2006/relationships/hyperlink" Target="https://ai.gov.uk/projects/lex/" TargetMode="External"/><Relationship Id="rIddy0tafzxr2is_93tdfdom" Type="http://schemas.openxmlformats.org/officeDocument/2006/relationships/hyperlink" Target="https://gds.blog.gov.uk/2026/06/04/data-maturity-the-foundation-for-ai-ready-public-sector-data/" TargetMode="External"/><Relationship Id="rIdxw1dkqmke1nd6derzabjh" Type="http://schemas.openxmlformats.org/officeDocument/2006/relationships/hyperlink" Target="https://www.gov.uk/government/publications/making-government-datasets-ready-for-ai/guidelines-and-best-practices-for-making-government-datasets-ready-for-ai" TargetMode="External"/><Relationship Id="rIdww70kx6ipv2oiq6nh3q_e" Type="http://schemas.openxmlformats.org/officeDocument/2006/relationships/hyperlink" Target="https://www.aisi.gov.uk/research/how-are-ai-agents-used-evidence-from-177-000-mcp-tools" TargetMode="External"/><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MCP in the Public Sector — Proven Precedents</dc:title>
  <dc:creator>Strategy &amp; Data Office</dc:creator>
  <cp:lastModifiedBy>Un-named</cp:lastModifiedBy>
  <cp:revision>1</cp:revision>
  <dcterms:created xsi:type="dcterms:W3CDTF">2026-06-26T05:05:58.537Z</dcterms:created>
  <dcterms:modified xsi:type="dcterms:W3CDTF">2026-06-26T05:05:58.539Z</dcterms:modified>
</cp:coreProperties>
</file>

<file path=docProps/custom.xml><?xml version="1.0" encoding="utf-8"?>
<Properties xmlns="http://schemas.openxmlformats.org/officeDocument/2006/custom-properties" xmlns:vt="http://schemas.openxmlformats.org/officeDocument/2006/docPropsVTypes"/>
</file>