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900"/>
        <w:jc w:val="center"/>
      </w:pPr>
      <w:r>
        <w:rPr>
          <w:b/>
          <w:bCs/>
          <w:color w:val="595959"/>
          <w:sz w:val="20"/>
          <w:szCs w:val="20"/>
        </w:rPr>
        <w:t xml:space="preserve">OFFICIAL</w:t>
      </w:r>
    </w:p>
    <w:p>
      <w:pPr>
        <w:spacing w:after="100" w:before="1100"/>
        <w:jc w:val="center"/>
      </w:pPr>
      <w:r>
        <w:rPr>
          <w:b/>
          <w:bCs/>
          <w:color w:val="1F3A5F"/>
          <w:sz w:val="48"/>
          <w:szCs w:val="48"/>
        </w:rPr>
        <w:t xml:space="preserve">Hosting an MCP Server:</w:t>
      </w:r>
    </w:p>
    <w:p>
      <w:pPr>
        <w:spacing w:after="240"/>
        <w:jc w:val="center"/>
      </w:pPr>
      <w:r>
        <w:rPr>
          <w:b/>
          <w:bCs/>
          <w:color w:val="1F3A5F"/>
          <w:sz w:val="48"/>
          <w:szCs w:val="48"/>
        </w:rPr>
        <w:t xml:space="preserve">AWS, Google Cloud and Azure</w:t>
      </w:r>
    </w:p>
    <w:p>
      <w:pPr>
        <w:spacing w:after="220"/>
        <w:jc w:val="center"/>
      </w:pPr>
      <w:r>
        <w:rPr>
          <w:i/>
          <w:iCs/>
          <w:color w:val="2E5A88"/>
          <w:sz w:val="26"/>
          <w:szCs w:val="26"/>
        </w:rPr>
        <w:t xml:space="preserve">Current managed options, and the recommended path for ONS</w:t>
      </w:r>
    </w:p>
    <w:p>
      <w:pPr>
        <w:pBdr>
          <w:top w:val="single" w:color="1F3A5F" w:sz="6" w:space="6"/>
        </w:pBdr>
        <w:spacing w:before="120"/>
        <w:jc w:val="center"/>
      </w:pPr>
      <w:r>
        <w:rPr>
          <w:sz w:val="2"/>
          <w:szCs w:val="2"/>
        </w:rPr>
        <w:t xml:space="preserve"/>
      </w:r>
    </w:p>
    <w:p>
      <w:pPr>
        <w:spacing w:after="50" w:before="320"/>
        <w:jc w:val="center"/>
      </w:pPr>
      <w:r>
        <w:rPr>
          <w:b/>
          <w:bCs/>
          <w:sz w:val="24"/>
          <w:szCs w:val="24"/>
        </w:rPr>
        <w:t xml:space="preserve">Companion technical note to the MCP platform business case</w:t>
      </w:r>
    </w:p>
    <w:p>
      <w:pPr>
        <w:spacing w:after="40"/>
        <w:jc w:val="center"/>
      </w:pPr>
      <w:r>
        <w:rPr>
          <w:color w:val="595959"/>
          <w:sz w:val="22"/>
          <w:szCs w:val="22"/>
        </w:rPr>
        <w:t xml:space="preserve">June 2026   ·   Classification: OFFICIAL</w:t>
      </w:r>
    </w:p>
    <w:p>
      <w:r>
        <w:br w:type="page"/>
      </w:r>
    </w:p>
    <w:p>
      <w:pPr>
        <w:pStyle w:val="Heading1"/>
      </w:pPr>
      <w:r>
        <w:t xml:space="preserve">1. In short</w:t>
      </w:r>
    </w:p>
    <w:p>
      <w:pPr>
        <w:spacing w:after="180" w:line="288"/>
        <w:jc w:val="both"/>
      </w:pPr>
      <w:r>
        <w:rPr>
          <w:i/>
          <w:iCs/>
          <w:color w:val="2E5A88"/>
          <w:sz w:val="24"/>
          <w:szCs w:val="24"/>
        </w:rPr>
        <w:t xml:space="preserve">Hosting an MCP server is now a solved, managed problem on all three major clouds. None of this requires bespoke infrastructure — each hyperscaler offers a native, managed route, and the right choice for ONS is the cloud we already run on.</w:t>
      </w:r>
    </w:p>
    <w:p>
      <w:pPr>
        <w:spacing w:after="150" w:line="276"/>
        <w:jc w:val="both"/>
      </w:pPr>
      <w:r>
        <w:t xml:space="preserve">A common question from technical and security reviewers is, simply, “how would we host it?” As of mid-2026 the answer is reassuring: AWS, Google Cloud and Microsoft Azure have each added first-class, managed support for running and governing MCP servers. ONS would not be breaking new ground or hand-building a platform — it would be using a maturing managed capability inside its existing cloud estate.</w:t>
      </w:r>
    </w:p>
    <w:p>
      <w:pPr>
        <w:pStyle w:val="Heading1"/>
      </w:pPr>
      <w:r>
        <w:t xml:space="preserve">2. Two ways to stand one up — the same on every cloud</w:t>
      </w:r>
    </w:p>
    <w:p>
      <w:pPr>
        <w:spacing w:after="150" w:line="276"/>
        <w:jc w:val="both"/>
      </w:pPr>
      <w:r>
        <w:t xml:space="preserve">Across all three clouds, an MCP capability is delivered in one of two ways, often combined:</w:t>
      </w:r>
    </w:p>
    <w:p>
      <w:pPr>
        <w:pStyle w:val="ListParagraph"/>
        <w:numPr>
          <w:ilvl w:val="0"/>
          <w:numId w:val="2"/>
        </w:numPr>
        <w:spacing w:after="90" w:line="268"/>
      </w:pPr>
      <w:r>
        <w:rPr>
          <w:b/>
          <w:bCs/>
        </w:rPr>
        <w:t xml:space="preserve">Host a custom MCP server </w:t>
      </w:r>
      <w:r>
        <w:t xml:space="preserve">on a managed, serverless runtime — you package the server as a container and the platform handles scaling, networking and isolation.</w:t>
      </w:r>
    </w:p>
    <w:p>
      <w:pPr>
        <w:pStyle w:val="ListParagraph"/>
        <w:numPr>
          <w:ilvl w:val="0"/>
          <w:numId w:val="2"/>
        </w:numPr>
        <w:spacing w:after="90" w:line="268"/>
      </w:pPr>
      <w:r>
        <w:rPr>
          <w:b/>
          <w:bCs/>
        </w:rPr>
        <w:t xml:space="preserve">Expose existing APIs or databases as MCP </w:t>
      </w:r>
      <w:r>
        <w:t xml:space="preserve">through a managed gateway — your current services become agent-callable tools without rewriting them.</w:t>
      </w:r>
    </w:p>
    <w:p>
      <w:pPr>
        <w:spacing w:after="150" w:line="276"/>
        <w:jc w:val="both"/>
      </w:pPr>
      <w:r>
        <w:t xml:space="preserve">Crucially for a public-sector reviewer, all three centre on a managed gateway that consolidates identity, authentication (OAuth 2.0 / OpenID Connect), authorisation, rate limiting, monitoring and audit in front of the MCP server. That is exactly the zero-trust, least-privilege control point described in our security model — provided by the platform rather than built from scratch.</w:t>
      </w:r>
    </w:p>
    <w:p>
      <w:pPr>
        <w:pStyle w:val="Heading1"/>
      </w:pPr>
      <w:r>
        <w:t xml:space="preserve">3. At a glance</w:t>
      </w:r>
    </w:p>
    <w:p>
      <w:pPr>
        <w:spacing w:after="5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242"/>
        <w:gridCol w:w="2242"/>
        <w:gridCol w:w="2242"/>
      </w:tblGrid>
      <w:tr>
        <w:trPr>
          <w:tblHeader/>
        </w:trPr>
        <w:tc>
          <w:tcPr>
            <w:tcW w:type="dxa" w:w="2300"/>
            <w:tcBorders>
              <w:top w:val="single" w:color="BFCEDF" w:sz="1"/>
              <w:left w:val="single" w:color="BFCEDF" w:sz="1"/>
              <w:bottom w:val="single" w:color="BFCEDF" w:sz="1"/>
              <w:right w:val="single" w:color="BFCEDF" w:sz="1"/>
            </w:tcBorders>
            <w:shd w:fill="DCE6F1" w:color="auto" w:val="clear"/>
            <w:tcMar>
              <w:top w:type="dxa" w:w="55"/>
              <w:left w:type="dxa" w:w="90"/>
              <w:bottom w:type="dxa" w:w="55"/>
              <w:right w:type="dxa" w:w="90"/>
            </w:tcMar>
            <w:vAlign w:val="top"/>
          </w:tcPr>
          <w:p>
            <w:pPr>
              <w:spacing w:after="0" w:line="232"/>
            </w:pPr>
            <w:r>
              <w:rPr>
                <w:b/>
                <w:bCs/>
                <w:color w:val="1F3A5F"/>
                <w:sz w:val="17"/>
                <w:szCs w:val="17"/>
              </w:rPr>
              <w:t xml:space="preserve">Capability</w:t>
            </w:r>
          </w:p>
        </w:tc>
        <w:tc>
          <w:tcPr>
            <w:tcW w:type="dxa" w:w="2242"/>
            <w:tcBorders>
              <w:top w:val="single" w:color="BFCEDF" w:sz="1"/>
              <w:left w:val="single" w:color="BFCEDF" w:sz="1"/>
              <w:bottom w:val="single" w:color="BFCEDF" w:sz="1"/>
              <w:right w:val="single" w:color="BFCEDF" w:sz="1"/>
            </w:tcBorders>
            <w:shd w:fill="DCE6F1" w:color="auto" w:val="clear"/>
            <w:tcMar>
              <w:top w:type="dxa" w:w="55"/>
              <w:left w:type="dxa" w:w="90"/>
              <w:bottom w:type="dxa" w:w="55"/>
              <w:right w:type="dxa" w:w="90"/>
            </w:tcMar>
            <w:vAlign w:val="top"/>
          </w:tcPr>
          <w:p>
            <w:pPr>
              <w:spacing w:after="0" w:line="232"/>
            </w:pPr>
            <w:r>
              <w:rPr>
                <w:b/>
                <w:bCs/>
                <w:color w:val="1F3A5F"/>
                <w:sz w:val="17"/>
                <w:szCs w:val="17"/>
              </w:rPr>
              <w:t xml:space="preserve">Amazon Web Services</w:t>
            </w:r>
          </w:p>
        </w:tc>
        <w:tc>
          <w:tcPr>
            <w:tcW w:type="dxa" w:w="2242"/>
            <w:tcBorders>
              <w:top w:val="single" w:color="BFCEDF" w:sz="1"/>
              <w:left w:val="single" w:color="BFCEDF" w:sz="1"/>
              <w:bottom w:val="single" w:color="BFCEDF" w:sz="1"/>
              <w:right w:val="single" w:color="BFCEDF" w:sz="1"/>
            </w:tcBorders>
            <w:shd w:fill="DCE6F1" w:color="auto" w:val="clear"/>
            <w:tcMar>
              <w:top w:type="dxa" w:w="55"/>
              <w:left w:type="dxa" w:w="90"/>
              <w:bottom w:type="dxa" w:w="55"/>
              <w:right w:type="dxa" w:w="90"/>
            </w:tcMar>
            <w:vAlign w:val="top"/>
          </w:tcPr>
          <w:p>
            <w:pPr>
              <w:spacing w:after="0" w:line="232"/>
            </w:pPr>
            <w:r>
              <w:rPr>
                <w:b/>
                <w:bCs/>
                <w:color w:val="1F3A5F"/>
                <w:sz w:val="17"/>
                <w:szCs w:val="17"/>
              </w:rPr>
              <w:t xml:space="preserve">Google Cloud</w:t>
            </w:r>
          </w:p>
        </w:tc>
        <w:tc>
          <w:tcPr>
            <w:tcW w:type="dxa" w:w="2242"/>
            <w:tcBorders>
              <w:top w:val="single" w:color="BFCEDF" w:sz="1"/>
              <w:left w:val="single" w:color="BFCEDF" w:sz="1"/>
              <w:bottom w:val="single" w:color="BFCEDF" w:sz="1"/>
              <w:right w:val="single" w:color="BFCEDF" w:sz="1"/>
            </w:tcBorders>
            <w:shd w:fill="DCE6F1" w:color="auto" w:val="clear"/>
            <w:tcMar>
              <w:top w:type="dxa" w:w="55"/>
              <w:left w:type="dxa" w:w="90"/>
              <w:bottom w:type="dxa" w:w="55"/>
              <w:right w:type="dxa" w:w="90"/>
            </w:tcMar>
            <w:vAlign w:val="top"/>
          </w:tcPr>
          <w:p>
            <w:pPr>
              <w:spacing w:after="0" w:line="232"/>
            </w:pPr>
            <w:r>
              <w:rPr>
                <w:b/>
                <w:bCs/>
                <w:color w:val="1F3A5F"/>
                <w:sz w:val="17"/>
                <w:szCs w:val="17"/>
              </w:rPr>
              <w:t xml:space="preserve">Microsoft Azure</w:t>
            </w:r>
          </w:p>
        </w:tc>
      </w:tr>
      <w:tr>
        <w:tc>
          <w:tcPr>
            <w:tcW w:type="dxa" w:w="2300"/>
            <w:tcBorders>
              <w:top w:val="single" w:color="BFCEDF" w:sz="1"/>
              <w:left w:val="single" w:color="BFCEDF" w:sz="1"/>
              <w:bottom w:val="single" w:color="BFCEDF" w:sz="1"/>
              <w:right w:val="single" w:color="BFCEDF" w:sz="1"/>
            </w:tcBorders>
            <w:shd w:fill="FFFFFF" w:color="auto" w:val="clear"/>
            <w:tcMar>
              <w:top w:type="dxa" w:w="55"/>
              <w:left w:type="dxa" w:w="90"/>
              <w:bottom w:type="dxa" w:w="55"/>
              <w:right w:type="dxa" w:w="90"/>
            </w:tcMar>
            <w:vAlign w:val="top"/>
          </w:tcPr>
          <w:p>
            <w:pPr>
              <w:spacing w:after="0" w:line="232"/>
            </w:pPr>
            <w:r>
              <w:rPr>
                <w:b/>
                <w:bCs/>
                <w:color w:val="1F3A5F"/>
                <w:sz w:val="16"/>
                <w:szCs w:val="16"/>
              </w:rPr>
              <w:t xml:space="preserve">Host a custom MCP server (managed)</w:t>
            </w:r>
          </w:p>
        </w:tc>
        <w:tc>
          <w:tcPr>
            <w:tcW w:type="dxa" w:w="2242"/>
            <w:tcBorders>
              <w:top w:val="single" w:color="BFCEDF" w:sz="1"/>
              <w:left w:val="single" w:color="BFCEDF" w:sz="1"/>
              <w:bottom w:val="single" w:color="BFCEDF" w:sz="1"/>
              <w:right w:val="single" w:color="BFCEDF" w:sz="1"/>
            </w:tcBorders>
            <w:shd w:fill="FFFFFF" w:color="auto" w:val="clear"/>
            <w:tcMar>
              <w:top w:type="dxa" w:w="55"/>
              <w:left w:type="dxa" w:w="90"/>
              <w:bottom w:type="dxa" w:w="55"/>
              <w:right w:type="dxa" w:w="90"/>
            </w:tcMar>
            <w:vAlign w:val="top"/>
          </w:tcPr>
          <w:p>
            <w:pPr>
              <w:spacing w:after="0" w:line="232"/>
            </w:pPr>
            <w:r>
              <w:rPr>
                <w:b w:val="false"/>
                <w:bCs w:val="false"/>
                <w:color w:val="000000"/>
                <w:sz w:val="16"/>
                <w:szCs w:val="16"/>
              </w:rPr>
              <w:t xml:space="preserve">Bedrock AgentCore Runtime (also AWS Lambda, ECS/Fargate)</w:t>
            </w:r>
          </w:p>
        </w:tc>
        <w:tc>
          <w:tcPr>
            <w:tcW w:type="dxa" w:w="2242"/>
            <w:tcBorders>
              <w:top w:val="single" w:color="BFCEDF" w:sz="1"/>
              <w:left w:val="single" w:color="BFCEDF" w:sz="1"/>
              <w:bottom w:val="single" w:color="BFCEDF" w:sz="1"/>
              <w:right w:val="single" w:color="BFCEDF" w:sz="1"/>
            </w:tcBorders>
            <w:shd w:fill="FFFFFF" w:color="auto" w:val="clear"/>
            <w:tcMar>
              <w:top w:type="dxa" w:w="55"/>
              <w:left w:type="dxa" w:w="90"/>
              <w:bottom w:type="dxa" w:w="55"/>
              <w:right w:type="dxa" w:w="90"/>
            </w:tcMar>
            <w:vAlign w:val="top"/>
          </w:tcPr>
          <w:p>
            <w:pPr>
              <w:spacing w:after="0" w:line="232"/>
            </w:pPr>
            <w:r>
              <w:rPr>
                <w:b w:val="false"/>
                <w:bCs w:val="false"/>
                <w:color w:val="000000"/>
                <w:sz w:val="16"/>
                <w:szCs w:val="16"/>
              </w:rPr>
              <w:t xml:space="preserve">Cloud Run — deploy as container or source; managed remote MCP server</w:t>
            </w:r>
          </w:p>
        </w:tc>
        <w:tc>
          <w:tcPr>
            <w:tcW w:type="dxa" w:w="2242"/>
            <w:tcBorders>
              <w:top w:val="single" w:color="BFCEDF" w:sz="1"/>
              <w:left w:val="single" w:color="BFCEDF" w:sz="1"/>
              <w:bottom w:val="single" w:color="BFCEDF" w:sz="1"/>
              <w:right w:val="single" w:color="BFCEDF" w:sz="1"/>
            </w:tcBorders>
            <w:shd w:fill="FFFFFF" w:color="auto" w:val="clear"/>
            <w:tcMar>
              <w:top w:type="dxa" w:w="55"/>
              <w:left w:type="dxa" w:w="90"/>
              <w:bottom w:type="dxa" w:w="55"/>
              <w:right w:type="dxa" w:w="90"/>
            </w:tcMar>
            <w:vAlign w:val="top"/>
          </w:tcPr>
          <w:p>
            <w:pPr>
              <w:spacing w:after="0" w:line="232"/>
            </w:pPr>
            <w:r>
              <w:rPr>
                <w:b w:val="false"/>
                <w:bCs w:val="false"/>
                <w:color w:val="000000"/>
                <w:sz w:val="16"/>
                <w:szCs w:val="16"/>
              </w:rPr>
              <w:t xml:space="preserve">Azure Container Apps; Azure Functions (remote MCP, preview)</w:t>
            </w:r>
          </w:p>
        </w:tc>
      </w:tr>
      <w:tr>
        <w:tc>
          <w:tcPr>
            <w:tcW w:type="dxa" w:w="2300"/>
            <w:tcBorders>
              <w:top w:val="single" w:color="BFCEDF" w:sz="1"/>
              <w:left w:val="single" w:color="BFCEDF" w:sz="1"/>
              <w:bottom w:val="single" w:color="BFCEDF" w:sz="1"/>
              <w:right w:val="single" w:color="BFCEDF" w:sz="1"/>
            </w:tcBorders>
            <w:shd w:fill="F2F6FB" w:color="auto" w:val="clear"/>
            <w:tcMar>
              <w:top w:type="dxa" w:w="55"/>
              <w:left w:type="dxa" w:w="90"/>
              <w:bottom w:type="dxa" w:w="55"/>
              <w:right w:type="dxa" w:w="90"/>
            </w:tcMar>
            <w:vAlign w:val="top"/>
          </w:tcPr>
          <w:p>
            <w:pPr>
              <w:spacing w:after="0" w:line="232"/>
            </w:pPr>
            <w:r>
              <w:rPr>
                <w:b/>
                <w:bCs/>
                <w:color w:val="1F3A5F"/>
                <w:sz w:val="16"/>
                <w:szCs w:val="16"/>
              </w:rPr>
              <w:t xml:space="preserve">Expose existing APIs / data as MCP</w:t>
            </w:r>
          </w:p>
        </w:tc>
        <w:tc>
          <w:tcPr>
            <w:tcW w:type="dxa" w:w="2242"/>
            <w:tcBorders>
              <w:top w:val="single" w:color="BFCEDF" w:sz="1"/>
              <w:left w:val="single" w:color="BFCEDF" w:sz="1"/>
              <w:bottom w:val="single" w:color="BFCEDF" w:sz="1"/>
              <w:right w:val="single" w:color="BFCEDF" w:sz="1"/>
            </w:tcBorders>
            <w:shd w:fill="F2F6FB" w:color="auto" w:val="clear"/>
            <w:tcMar>
              <w:top w:type="dxa" w:w="55"/>
              <w:left w:type="dxa" w:w="90"/>
              <w:bottom w:type="dxa" w:w="55"/>
              <w:right w:type="dxa" w:w="90"/>
            </w:tcMar>
            <w:vAlign w:val="top"/>
          </w:tcPr>
          <w:p>
            <w:pPr>
              <w:spacing w:after="0" w:line="232"/>
            </w:pPr>
            <w:r>
              <w:rPr>
                <w:b w:val="false"/>
                <w:bCs w:val="false"/>
                <w:color w:val="000000"/>
                <w:sz w:val="16"/>
                <w:szCs w:val="16"/>
              </w:rPr>
              <w:t xml:space="preserve">AgentCore Gateway — turns APIs &amp; Lambda into MCP tools</w:t>
            </w:r>
          </w:p>
        </w:tc>
        <w:tc>
          <w:tcPr>
            <w:tcW w:type="dxa" w:w="2242"/>
            <w:tcBorders>
              <w:top w:val="single" w:color="BFCEDF" w:sz="1"/>
              <w:left w:val="single" w:color="BFCEDF" w:sz="1"/>
              <w:bottom w:val="single" w:color="BFCEDF" w:sz="1"/>
              <w:right w:val="single" w:color="BFCEDF" w:sz="1"/>
            </w:tcBorders>
            <w:shd w:fill="F2F6FB" w:color="auto" w:val="clear"/>
            <w:tcMar>
              <w:top w:type="dxa" w:w="55"/>
              <w:left w:type="dxa" w:w="90"/>
              <w:bottom w:type="dxa" w:w="55"/>
              <w:right w:type="dxa" w:w="90"/>
            </w:tcMar>
            <w:vAlign w:val="top"/>
          </w:tcPr>
          <w:p>
            <w:pPr>
              <w:spacing w:after="0" w:line="232"/>
            </w:pPr>
            <w:r>
              <w:rPr>
                <w:b w:val="false"/>
                <w:bCs w:val="false"/>
                <w:color w:val="000000"/>
                <w:sz w:val="16"/>
                <w:szCs w:val="16"/>
              </w:rPr>
              <w:t xml:space="preserve">Apigee; MCP Toolbox for Databases</w:t>
            </w:r>
          </w:p>
        </w:tc>
        <w:tc>
          <w:tcPr>
            <w:tcW w:type="dxa" w:w="2242"/>
            <w:tcBorders>
              <w:top w:val="single" w:color="BFCEDF" w:sz="1"/>
              <w:left w:val="single" w:color="BFCEDF" w:sz="1"/>
              <w:bottom w:val="single" w:color="BFCEDF" w:sz="1"/>
              <w:right w:val="single" w:color="BFCEDF" w:sz="1"/>
            </w:tcBorders>
            <w:shd w:fill="F2F6FB" w:color="auto" w:val="clear"/>
            <w:tcMar>
              <w:top w:type="dxa" w:w="55"/>
              <w:left w:type="dxa" w:w="90"/>
              <w:bottom w:type="dxa" w:w="55"/>
              <w:right w:type="dxa" w:w="90"/>
            </w:tcMar>
            <w:vAlign w:val="top"/>
          </w:tcPr>
          <w:p>
            <w:pPr>
              <w:spacing w:after="0" w:line="232"/>
            </w:pPr>
            <w:r>
              <w:rPr>
                <w:b w:val="false"/>
                <w:bCs w:val="false"/>
                <w:color w:val="000000"/>
                <w:sz w:val="16"/>
                <w:szCs w:val="16"/>
              </w:rPr>
              <w:t xml:space="preserve">API Management — expose a REST API as an MCP server</w:t>
            </w:r>
          </w:p>
        </w:tc>
      </w:tr>
      <w:tr>
        <w:tc>
          <w:tcPr>
            <w:tcW w:type="dxa" w:w="2300"/>
            <w:tcBorders>
              <w:top w:val="single" w:color="BFCEDF" w:sz="1"/>
              <w:left w:val="single" w:color="BFCEDF" w:sz="1"/>
              <w:bottom w:val="single" w:color="BFCEDF" w:sz="1"/>
              <w:right w:val="single" w:color="BFCEDF" w:sz="1"/>
            </w:tcBorders>
            <w:shd w:fill="FFFFFF" w:color="auto" w:val="clear"/>
            <w:tcMar>
              <w:top w:type="dxa" w:w="55"/>
              <w:left w:type="dxa" w:w="90"/>
              <w:bottom w:type="dxa" w:w="55"/>
              <w:right w:type="dxa" w:w="90"/>
            </w:tcMar>
            <w:vAlign w:val="top"/>
          </w:tcPr>
          <w:p>
            <w:pPr>
              <w:spacing w:after="0" w:line="232"/>
            </w:pPr>
            <w:r>
              <w:rPr>
                <w:b/>
                <w:bCs/>
                <w:color w:val="1F3A5F"/>
                <w:sz w:val="16"/>
                <w:szCs w:val="16"/>
              </w:rPr>
              <w:t xml:space="preserve">Ready-made data/database MCP</w:t>
            </w:r>
          </w:p>
        </w:tc>
        <w:tc>
          <w:tcPr>
            <w:tcW w:type="dxa" w:w="2242"/>
            <w:tcBorders>
              <w:top w:val="single" w:color="BFCEDF" w:sz="1"/>
              <w:left w:val="single" w:color="BFCEDF" w:sz="1"/>
              <w:bottom w:val="single" w:color="BFCEDF" w:sz="1"/>
              <w:right w:val="single" w:color="BFCEDF" w:sz="1"/>
            </w:tcBorders>
            <w:shd w:fill="FFFFFF" w:color="auto" w:val="clear"/>
            <w:tcMar>
              <w:top w:type="dxa" w:w="55"/>
              <w:left w:type="dxa" w:w="90"/>
              <w:bottom w:type="dxa" w:w="55"/>
              <w:right w:type="dxa" w:w="90"/>
            </w:tcMar>
            <w:vAlign w:val="top"/>
          </w:tcPr>
          <w:p>
            <w:pPr>
              <w:spacing w:after="0" w:line="232"/>
            </w:pPr>
            <w:r>
              <w:rPr>
                <w:b w:val="false"/>
                <w:bCs w:val="false"/>
                <w:color w:val="000000"/>
                <w:sz w:val="16"/>
                <w:szCs w:val="16"/>
              </w:rPr>
              <w:t xml:space="preserve">AWS Labs open-source MCP servers</w:t>
            </w:r>
          </w:p>
        </w:tc>
        <w:tc>
          <w:tcPr>
            <w:tcW w:type="dxa" w:w="2242"/>
            <w:tcBorders>
              <w:top w:val="single" w:color="BFCEDF" w:sz="1"/>
              <w:left w:val="single" w:color="BFCEDF" w:sz="1"/>
              <w:bottom w:val="single" w:color="BFCEDF" w:sz="1"/>
              <w:right w:val="single" w:color="BFCEDF" w:sz="1"/>
            </w:tcBorders>
            <w:shd w:fill="FFFFFF" w:color="auto" w:val="clear"/>
            <w:tcMar>
              <w:top w:type="dxa" w:w="55"/>
              <w:left w:type="dxa" w:w="90"/>
              <w:bottom w:type="dxa" w:w="55"/>
              <w:right w:type="dxa" w:w="90"/>
            </w:tcMar>
            <w:vAlign w:val="top"/>
          </w:tcPr>
          <w:p>
            <w:pPr>
              <w:spacing w:after="0" w:line="232"/>
            </w:pPr>
            <w:r>
              <w:rPr>
                <w:b w:val="false"/>
                <w:bCs w:val="false"/>
                <w:color w:val="000000"/>
                <w:sz w:val="16"/>
                <w:szCs w:val="16"/>
              </w:rPr>
              <w:t xml:space="preserve">MCP Toolbox for Databases: BigQuery, Cloud SQL, AlloyDB, Spanner, Firestore, Bigtable</w:t>
            </w:r>
          </w:p>
        </w:tc>
        <w:tc>
          <w:tcPr>
            <w:tcW w:type="dxa" w:w="2242"/>
            <w:tcBorders>
              <w:top w:val="single" w:color="BFCEDF" w:sz="1"/>
              <w:left w:val="single" w:color="BFCEDF" w:sz="1"/>
              <w:bottom w:val="single" w:color="BFCEDF" w:sz="1"/>
              <w:right w:val="single" w:color="BFCEDF" w:sz="1"/>
            </w:tcBorders>
            <w:shd w:fill="FFFFFF" w:color="auto" w:val="clear"/>
            <w:tcMar>
              <w:top w:type="dxa" w:w="55"/>
              <w:left w:type="dxa" w:w="90"/>
              <w:bottom w:type="dxa" w:w="55"/>
              <w:right w:type="dxa" w:w="90"/>
            </w:tcMar>
            <w:vAlign w:val="top"/>
          </w:tcPr>
          <w:p>
            <w:pPr>
              <w:spacing w:after="0" w:line="232"/>
            </w:pPr>
            <w:r>
              <w:rPr>
                <w:b w:val="false"/>
                <w:bCs w:val="false"/>
                <w:color w:val="000000"/>
                <w:sz w:val="16"/>
                <w:szCs w:val="16"/>
              </w:rPr>
              <w:t xml:space="preserve">Azure MCP Server (Azure resources)</w:t>
            </w:r>
          </w:p>
        </w:tc>
      </w:tr>
      <w:tr>
        <w:tc>
          <w:tcPr>
            <w:tcW w:type="dxa" w:w="2300"/>
            <w:tcBorders>
              <w:top w:val="single" w:color="BFCEDF" w:sz="1"/>
              <w:left w:val="single" w:color="BFCEDF" w:sz="1"/>
              <w:bottom w:val="single" w:color="BFCEDF" w:sz="1"/>
              <w:right w:val="single" w:color="BFCEDF" w:sz="1"/>
            </w:tcBorders>
            <w:shd w:fill="F2F6FB" w:color="auto" w:val="clear"/>
            <w:tcMar>
              <w:top w:type="dxa" w:w="55"/>
              <w:left w:type="dxa" w:w="90"/>
              <w:bottom w:type="dxa" w:w="55"/>
              <w:right w:type="dxa" w:w="90"/>
            </w:tcMar>
            <w:vAlign w:val="top"/>
          </w:tcPr>
          <w:p>
            <w:pPr>
              <w:spacing w:after="0" w:line="232"/>
            </w:pPr>
            <w:r>
              <w:rPr>
                <w:b/>
                <w:bCs/>
                <w:color w:val="1F3A5F"/>
                <w:sz w:val="16"/>
                <w:szCs w:val="16"/>
              </w:rPr>
              <w:t xml:space="preserve">Identity &amp; authentication</w:t>
            </w:r>
          </w:p>
        </w:tc>
        <w:tc>
          <w:tcPr>
            <w:tcW w:type="dxa" w:w="2242"/>
            <w:tcBorders>
              <w:top w:val="single" w:color="BFCEDF" w:sz="1"/>
              <w:left w:val="single" w:color="BFCEDF" w:sz="1"/>
              <w:bottom w:val="single" w:color="BFCEDF" w:sz="1"/>
              <w:right w:val="single" w:color="BFCEDF" w:sz="1"/>
            </w:tcBorders>
            <w:shd w:fill="F2F6FB" w:color="auto" w:val="clear"/>
            <w:tcMar>
              <w:top w:type="dxa" w:w="55"/>
              <w:left w:type="dxa" w:w="90"/>
              <w:bottom w:type="dxa" w:w="55"/>
              <w:right w:type="dxa" w:w="90"/>
            </w:tcMar>
            <w:vAlign w:val="top"/>
          </w:tcPr>
          <w:p>
            <w:pPr>
              <w:spacing w:after="0" w:line="232"/>
            </w:pPr>
            <w:r>
              <w:rPr>
                <w:b w:val="false"/>
                <w:bCs w:val="false"/>
                <w:color w:val="000000"/>
                <w:sz w:val="16"/>
                <w:szCs w:val="16"/>
              </w:rPr>
              <w:t xml:space="preserve">OAuth 2.0 on-behalf-of; AWS IAM</w:t>
            </w:r>
          </w:p>
        </w:tc>
        <w:tc>
          <w:tcPr>
            <w:tcW w:type="dxa" w:w="2242"/>
            <w:tcBorders>
              <w:top w:val="single" w:color="BFCEDF" w:sz="1"/>
              <w:left w:val="single" w:color="BFCEDF" w:sz="1"/>
              <w:bottom w:val="single" w:color="BFCEDF" w:sz="1"/>
              <w:right w:val="single" w:color="BFCEDF" w:sz="1"/>
            </w:tcBorders>
            <w:shd w:fill="F2F6FB" w:color="auto" w:val="clear"/>
            <w:tcMar>
              <w:top w:type="dxa" w:w="55"/>
              <w:left w:type="dxa" w:w="90"/>
              <w:bottom w:type="dxa" w:w="55"/>
              <w:right w:type="dxa" w:w="90"/>
            </w:tcMar>
            <w:vAlign w:val="top"/>
          </w:tcPr>
          <w:p>
            <w:pPr>
              <w:spacing w:after="0" w:line="232"/>
            </w:pPr>
            <w:r>
              <w:rPr>
                <w:b w:val="false"/>
                <w:bCs w:val="false"/>
                <w:color w:val="000000"/>
                <w:sz w:val="16"/>
                <w:szCs w:val="16"/>
              </w:rPr>
              <w:t xml:space="preserve">Cloud IAM / OAuth; Cloud Run auth</w:t>
            </w:r>
          </w:p>
        </w:tc>
        <w:tc>
          <w:tcPr>
            <w:tcW w:type="dxa" w:w="2242"/>
            <w:tcBorders>
              <w:top w:val="single" w:color="BFCEDF" w:sz="1"/>
              <w:left w:val="single" w:color="BFCEDF" w:sz="1"/>
              <w:bottom w:val="single" w:color="BFCEDF" w:sz="1"/>
              <w:right w:val="single" w:color="BFCEDF" w:sz="1"/>
            </w:tcBorders>
            <w:shd w:fill="F2F6FB" w:color="auto" w:val="clear"/>
            <w:tcMar>
              <w:top w:type="dxa" w:w="55"/>
              <w:left w:type="dxa" w:w="90"/>
              <w:bottom w:type="dxa" w:w="55"/>
              <w:right w:type="dxa" w:w="90"/>
            </w:tcMar>
            <w:vAlign w:val="top"/>
          </w:tcPr>
          <w:p>
            <w:pPr>
              <w:spacing w:after="0" w:line="232"/>
            </w:pPr>
            <w:r>
              <w:rPr>
                <w:b w:val="false"/>
                <w:bCs w:val="false"/>
                <w:color w:val="000000"/>
                <w:sz w:val="16"/>
                <w:szCs w:val="16"/>
              </w:rPr>
              <w:t xml:space="preserve">Microsoft Entra ID (JWT / OAuth)</w:t>
            </w:r>
          </w:p>
        </w:tc>
      </w:tr>
      <w:tr>
        <w:tc>
          <w:tcPr>
            <w:tcW w:type="dxa" w:w="2300"/>
            <w:tcBorders>
              <w:top w:val="single" w:color="BFCEDF" w:sz="1"/>
              <w:left w:val="single" w:color="BFCEDF" w:sz="1"/>
              <w:bottom w:val="single" w:color="BFCEDF" w:sz="1"/>
              <w:right w:val="single" w:color="BFCEDF" w:sz="1"/>
            </w:tcBorders>
            <w:shd w:fill="FFFFFF" w:color="auto" w:val="clear"/>
            <w:tcMar>
              <w:top w:type="dxa" w:w="55"/>
              <w:left w:type="dxa" w:w="90"/>
              <w:bottom w:type="dxa" w:w="55"/>
              <w:right w:type="dxa" w:w="90"/>
            </w:tcMar>
            <w:vAlign w:val="top"/>
          </w:tcPr>
          <w:p>
            <w:pPr>
              <w:spacing w:after="0" w:line="232"/>
            </w:pPr>
            <w:r>
              <w:rPr>
                <w:b/>
                <w:bCs/>
                <w:color w:val="1F3A5F"/>
                <w:sz w:val="16"/>
                <w:szCs w:val="16"/>
              </w:rPr>
              <w:t xml:space="preserve">Governance &amp; audit gateway</w:t>
            </w:r>
          </w:p>
        </w:tc>
        <w:tc>
          <w:tcPr>
            <w:tcW w:type="dxa" w:w="2242"/>
            <w:tcBorders>
              <w:top w:val="single" w:color="BFCEDF" w:sz="1"/>
              <w:left w:val="single" w:color="BFCEDF" w:sz="1"/>
              <w:bottom w:val="single" w:color="BFCEDF" w:sz="1"/>
              <w:right w:val="single" w:color="BFCEDF" w:sz="1"/>
            </w:tcBorders>
            <w:shd w:fill="FFFFFF" w:color="auto" w:val="clear"/>
            <w:tcMar>
              <w:top w:type="dxa" w:w="55"/>
              <w:left w:type="dxa" w:w="90"/>
              <w:bottom w:type="dxa" w:w="55"/>
              <w:right w:type="dxa" w:w="90"/>
            </w:tcMar>
            <w:vAlign w:val="top"/>
          </w:tcPr>
          <w:p>
            <w:pPr>
              <w:spacing w:after="0" w:line="232"/>
            </w:pPr>
            <w:r>
              <w:rPr>
                <w:b w:val="false"/>
                <w:bCs w:val="false"/>
                <w:color w:val="000000"/>
                <w:sz w:val="16"/>
                <w:szCs w:val="16"/>
              </w:rPr>
              <w:t xml:space="preserve">AgentCore Gateway (auth, observability, policy)</w:t>
            </w:r>
          </w:p>
        </w:tc>
        <w:tc>
          <w:tcPr>
            <w:tcW w:type="dxa" w:w="2242"/>
            <w:tcBorders>
              <w:top w:val="single" w:color="BFCEDF" w:sz="1"/>
              <w:left w:val="single" w:color="BFCEDF" w:sz="1"/>
              <w:bottom w:val="single" w:color="BFCEDF" w:sz="1"/>
              <w:right w:val="single" w:color="BFCEDF" w:sz="1"/>
            </w:tcBorders>
            <w:shd w:fill="FFFFFF" w:color="auto" w:val="clear"/>
            <w:tcMar>
              <w:top w:type="dxa" w:w="55"/>
              <w:left w:type="dxa" w:w="90"/>
              <w:bottom w:type="dxa" w:w="55"/>
              <w:right w:type="dxa" w:w="90"/>
            </w:tcMar>
            <w:vAlign w:val="top"/>
          </w:tcPr>
          <w:p>
            <w:pPr>
              <w:spacing w:after="0" w:line="232"/>
            </w:pPr>
            <w:r>
              <w:rPr>
                <w:b w:val="false"/>
                <w:bCs w:val="false"/>
                <w:color w:val="000000"/>
                <w:sz w:val="16"/>
                <w:szCs w:val="16"/>
              </w:rPr>
              <w:t xml:space="preserve">Apigee / Cloud Run controls</w:t>
            </w:r>
          </w:p>
        </w:tc>
        <w:tc>
          <w:tcPr>
            <w:tcW w:type="dxa" w:w="2242"/>
            <w:tcBorders>
              <w:top w:val="single" w:color="BFCEDF" w:sz="1"/>
              <w:left w:val="single" w:color="BFCEDF" w:sz="1"/>
              <w:bottom w:val="single" w:color="BFCEDF" w:sz="1"/>
              <w:right w:val="single" w:color="BFCEDF" w:sz="1"/>
            </w:tcBorders>
            <w:shd w:fill="FFFFFF" w:color="auto" w:val="clear"/>
            <w:tcMar>
              <w:top w:type="dxa" w:w="55"/>
              <w:left w:type="dxa" w:w="90"/>
              <w:bottom w:type="dxa" w:w="55"/>
              <w:right w:type="dxa" w:w="90"/>
            </w:tcMar>
            <w:vAlign w:val="top"/>
          </w:tcPr>
          <w:p>
            <w:pPr>
              <w:spacing w:after="0" w:line="232"/>
            </w:pPr>
            <w:r>
              <w:rPr>
                <w:b w:val="false"/>
                <w:bCs w:val="false"/>
                <w:color w:val="000000"/>
                <w:sz w:val="16"/>
                <w:szCs w:val="16"/>
              </w:rPr>
              <w:t xml:space="preserve">API Management (auth, rate limit, IP filter, caching, monitoring)</w:t>
            </w:r>
          </w:p>
        </w:tc>
      </w:tr>
      <w:tr>
        <w:tc>
          <w:tcPr>
            <w:tcW w:type="dxa" w:w="2300"/>
            <w:tcBorders>
              <w:top w:val="single" w:color="BFCEDF" w:sz="1"/>
              <w:left w:val="single" w:color="BFCEDF" w:sz="1"/>
              <w:bottom w:val="single" w:color="BFCEDF" w:sz="1"/>
              <w:right w:val="single" w:color="BFCEDF" w:sz="1"/>
            </w:tcBorders>
            <w:shd w:fill="F2F6FB" w:color="auto" w:val="clear"/>
            <w:tcMar>
              <w:top w:type="dxa" w:w="55"/>
              <w:left w:type="dxa" w:w="90"/>
              <w:bottom w:type="dxa" w:w="55"/>
              <w:right w:type="dxa" w:w="90"/>
            </w:tcMar>
            <w:vAlign w:val="top"/>
          </w:tcPr>
          <w:p>
            <w:pPr>
              <w:spacing w:after="0" w:line="232"/>
            </w:pPr>
            <w:r>
              <w:rPr>
                <w:b/>
                <w:bCs/>
                <w:color w:val="1F3A5F"/>
                <w:sz w:val="16"/>
                <w:szCs w:val="16"/>
              </w:rPr>
              <w:t xml:space="preserve">UK region / data residency</w:t>
            </w:r>
          </w:p>
        </w:tc>
        <w:tc>
          <w:tcPr>
            <w:tcW w:type="dxa" w:w="2242"/>
            <w:tcBorders>
              <w:top w:val="single" w:color="BFCEDF" w:sz="1"/>
              <w:left w:val="single" w:color="BFCEDF" w:sz="1"/>
              <w:bottom w:val="single" w:color="BFCEDF" w:sz="1"/>
              <w:right w:val="single" w:color="BFCEDF" w:sz="1"/>
            </w:tcBorders>
            <w:shd w:fill="F2F6FB" w:color="auto" w:val="clear"/>
            <w:tcMar>
              <w:top w:type="dxa" w:w="55"/>
              <w:left w:type="dxa" w:w="90"/>
              <w:bottom w:type="dxa" w:w="55"/>
              <w:right w:type="dxa" w:w="90"/>
            </w:tcMar>
            <w:vAlign w:val="top"/>
          </w:tcPr>
          <w:p>
            <w:pPr>
              <w:spacing w:after="0" w:line="232"/>
            </w:pPr>
            <w:r>
              <w:rPr>
                <w:b w:val="false"/>
                <w:bCs w:val="false"/>
                <w:color w:val="000000"/>
                <w:sz w:val="16"/>
                <w:szCs w:val="16"/>
              </w:rPr>
              <w:t xml:space="preserve">London (eu-west-2)</w:t>
            </w:r>
          </w:p>
        </w:tc>
        <w:tc>
          <w:tcPr>
            <w:tcW w:type="dxa" w:w="2242"/>
            <w:tcBorders>
              <w:top w:val="single" w:color="BFCEDF" w:sz="1"/>
              <w:left w:val="single" w:color="BFCEDF" w:sz="1"/>
              <w:bottom w:val="single" w:color="BFCEDF" w:sz="1"/>
              <w:right w:val="single" w:color="BFCEDF" w:sz="1"/>
            </w:tcBorders>
            <w:shd w:fill="F2F6FB" w:color="auto" w:val="clear"/>
            <w:tcMar>
              <w:top w:type="dxa" w:w="55"/>
              <w:left w:type="dxa" w:w="90"/>
              <w:bottom w:type="dxa" w:w="55"/>
              <w:right w:type="dxa" w:w="90"/>
            </w:tcMar>
            <w:vAlign w:val="top"/>
          </w:tcPr>
          <w:p>
            <w:pPr>
              <w:spacing w:after="0" w:line="232"/>
            </w:pPr>
            <w:r>
              <w:rPr>
                <w:b w:val="false"/>
                <w:bCs w:val="false"/>
                <w:color w:val="000000"/>
                <w:sz w:val="16"/>
                <w:szCs w:val="16"/>
              </w:rPr>
              <w:t xml:space="preserve">London (europe-west2)</w:t>
            </w:r>
          </w:p>
        </w:tc>
        <w:tc>
          <w:tcPr>
            <w:tcW w:type="dxa" w:w="2242"/>
            <w:tcBorders>
              <w:top w:val="single" w:color="BFCEDF" w:sz="1"/>
              <w:left w:val="single" w:color="BFCEDF" w:sz="1"/>
              <w:bottom w:val="single" w:color="BFCEDF" w:sz="1"/>
              <w:right w:val="single" w:color="BFCEDF" w:sz="1"/>
            </w:tcBorders>
            <w:shd w:fill="F2F6FB" w:color="auto" w:val="clear"/>
            <w:tcMar>
              <w:top w:type="dxa" w:w="55"/>
              <w:left w:type="dxa" w:w="90"/>
              <w:bottom w:type="dxa" w:w="55"/>
              <w:right w:type="dxa" w:w="90"/>
            </w:tcMar>
            <w:vAlign w:val="top"/>
          </w:tcPr>
          <w:p>
            <w:pPr>
              <w:spacing w:after="0" w:line="232"/>
            </w:pPr>
            <w:r>
              <w:rPr>
                <w:b w:val="false"/>
                <w:bCs w:val="false"/>
                <w:color w:val="000000"/>
                <w:sz w:val="16"/>
                <w:szCs w:val="16"/>
              </w:rPr>
              <w:t xml:space="preserve">UK South / UK West</w:t>
            </w:r>
          </w:p>
        </w:tc>
      </w:tr>
    </w:tbl>
    <w:p>
      <w:pPr>
        <w:pStyle w:val="Heading1"/>
      </w:pPr>
      <w:r>
        <w:t xml:space="preserve">4. The three clouds in brief</w:t>
      </w:r>
    </w:p>
    <w:p>
      <w:pPr>
        <w:pStyle w:val="Heading2"/>
      </w:pPr>
      <w:r>
        <w:t xml:space="preserve">Amazon Web Services — Bedrock AgentCore</w:t>
      </w:r>
    </w:p>
    <w:p>
      <w:pPr>
        <w:spacing w:after="150" w:line="276"/>
        <w:jc w:val="both"/>
      </w:pPr>
      <w:r>
        <w:t xml:space="preserve">AWS’s managed agent platform, Bedrock AgentCore, hosts MCP servers as managed endpoints through its Runtime (handling containers, networking, session isolation and scaling), while its Gateway provides a single, governed entry point that turns existing APIs and Lambda functions into MCP tools and consolidates authentication, observability and policy. As of March 2026 the Runtime also supports stateful MCP features, and the Gateway supports OAuth 2.0 on-behalf-of token exchange for delegated access. Simpler self-managed routes (Lambda, ECS/Fargate, API Gateway) remain available.</w:t>
      </w:r>
    </w:p>
    <w:p>
      <w:pPr>
        <w:spacing w:after="190" w:line="270"/>
      </w:pPr>
      <w:r>
        <w:rPr>
          <w:b/>
          <w:bCs/>
          <w:color w:val="1F3A5F"/>
        </w:rPr>
        <w:t xml:space="preserve">Relevance to ONS — </w:t>
      </w:r>
      <w:r>
        <w:rPr>
          <w:i/>
          <w:iCs/>
        </w:rPr>
        <w:t xml:space="preserve">a strong option if a partner department is AWS-based, or for multi-cloud reach; the Gateway’s centralised auth and policy maps cleanly to our security model.</w:t>
      </w:r>
    </w:p>
    <w:p>
      <w:pPr>
        <w:pStyle w:val="Heading2"/>
      </w:pPr>
      <w:r>
        <w:t xml:space="preserve">Google Cloud — Cloud Run and the MCP Toolbox for Databases</w:t>
      </w:r>
    </w:p>
    <w:p>
      <w:pPr>
        <w:spacing w:after="150" w:line="276"/>
        <w:jc w:val="both"/>
      </w:pPr>
      <w:r>
        <w:t xml:space="preserve">Google Cloud hosts remote MCP servers on Cloud Run — deployable from a container image or directly from Node.js/Python source, with an HTTPS endpoint and built-in response streaming — and now offers a fully managed remote MCP server. Most relevant to this project, the open-source MCP Toolbox for Databases provides ready-made, governed MCP access to BigQuery, Cloud SQL, AlloyDB, Spanner, Firestore and Bigtable, and Google now offers managed MCP servers for several of these databases directly. Apigee and Vertex AI Agent Engine add API-to-MCP exposure and agent hosting.</w:t>
      </w:r>
    </w:p>
    <w:p>
      <w:pPr>
        <w:spacing w:after="190" w:line="270"/>
      </w:pPr>
      <w:r>
        <w:rPr>
          <w:b/>
          <w:bCs/>
          <w:color w:val="1F3A5F"/>
        </w:rPr>
        <w:t xml:space="preserve">Relevance to ONS — </w:t>
      </w:r>
      <w:r>
        <w:rPr>
          <w:i/>
          <w:iCs/>
        </w:rPr>
        <w:t xml:space="preserve">this is the natural fit. ONS already runs analytical workloads on the Google Cloud Platform, and this project concerns accessing databases in GCP. Cloud Run plus the MCP Toolbox for Databases lets us stand up a governed MCP server over our existing data with minimal new build — the very “build on what we already run” principle in the pitch.</w:t>
      </w:r>
    </w:p>
    <w:p>
      <w:pPr>
        <w:pStyle w:val="Heading2"/>
      </w:pPr>
      <w:r>
        <w:t xml:space="preserve">Microsoft Azure — API Management</w:t>
      </w:r>
    </w:p>
    <w:p>
      <w:pPr>
        <w:spacing w:after="150" w:line="276"/>
        <w:jc w:val="both"/>
      </w:pPr>
      <w:r>
        <w:t xml:space="preserve">Azure’s primary route is API Management, whose built-in AI gateway can expose an existing REST API as a remote MCP server, turning chosen API operations into agent-callable tools with centralised authentication (Microsoft Entra ID JWTs), authorisation, rate limiting, IP filtering, caching and monitoring. It can also connect to and govern existing MCP servers. Azure Functions offers a remote MCP server capability (in preview), the Azure MCP Server exposes Azure resources, and the AI Foundry Agent Service supports MCP. Note that, for REST-APIs exposed as MCP, API Management currently supports MCP tools but not yet resources or prompts.</w:t>
      </w:r>
    </w:p>
    <w:p>
      <w:pPr>
        <w:spacing w:after="190" w:line="270"/>
      </w:pPr>
      <w:r>
        <w:rPr>
          <w:b/>
          <w:bCs/>
          <w:color w:val="1F3A5F"/>
        </w:rPr>
        <w:t xml:space="preserve">Relevance to ONS — </w:t>
      </w:r>
      <w:r>
        <w:rPr>
          <w:i/>
          <w:iCs/>
        </w:rPr>
        <w:t xml:space="preserve">a credible option where a department is Microsoft-centric or already governs APIs through API Management; its governance controls align well with public-sector assurance needs.</w:t>
      </w:r>
    </w:p>
    <w:p>
      <w:pPr>
        <w:pStyle w:val="Heading1"/>
      </w:pPr>
      <w:r>
        <w:t xml:space="preserve">5. Security, residency and compliance</w:t>
      </w:r>
    </w:p>
    <w:p>
      <w:pPr>
        <w:spacing w:after="150" w:line="276"/>
        <w:jc w:val="both"/>
      </w:pPr>
      <w:r>
        <w:t xml:space="preserve">All three providers are already used widely across UK government and can be assessed against the NCSC Cloud Security Principles. Each offers a UK region for data residency, encryption in transit and at rest, identity-based access through OAuth 2.0 / OpenID Connect, comprehensive audit logging, and the managed gateway pattern that enforces least-privilege, purpose-bound access in front of the MCP server. In other words, the platform-native controls line up directly with the identity, authorisation, audit and human-oversight requirements set out in our security model — we would be configuring proven controls, not inventing them. The proof of concept would run on already-published data in a UK region, so no new data-residency or classification questions arise at the outset.</w:t>
      </w:r>
    </w:p>
    <w:p>
      <w:pPr>
        <w:pStyle w:val="Heading1"/>
      </w:pPr>
      <w:r>
        <w:t xml:space="preserve">6. Recommendation for ONS</w:t>
      </w:r>
    </w:p>
    <w:p>
      <w:pPr>
        <w:spacing w:after="150" w:line="276"/>
        <w:jc w:val="both"/>
      </w:pPr>
      <w:r>
        <w:t xml:space="preserve">Choose the cloud we already operate. Because ONS’s analytical platform runs on Google Cloud and this initiative is about accessing databases in GCP, the lowest-risk, fastest path is to host the MCP server on Cloud Run and use the MCP Toolbox for Databases over our existing data, governed through Google Cloud’s identity and API controls. This reuses current infrastructure, security and skills, and avoids new procurement. AWS Bedrock AgentCore and Azure API Management are proven alternatives, valuable for multi-cloud reach or for onboarding partner departments that are AWS- or Microsoft-based — the open MCP standard means an agent can consume our server regardless of which cloud a partner runs.</w:t>
      </w:r>
    </w:p>
    <w:p>
      <w:pPr>
        <w:spacing w:after="150" w:line="276"/>
        <w:jc w:val="both"/>
      </w:pPr>
      <w:r>
        <w:rPr>
          <w:b/>
          <w:bCs/>
        </w:rPr>
        <w:t xml:space="preserve">Mapped to the roadmap: </w:t>
      </w:r>
      <w:r>
        <w:t xml:space="preserve">Phase 0 stands up a single MCP server on Cloud Run (or the MCP Toolbox) exposing only public, already-published data in the London region, behind the platform’s managed authentication and audit. Nothing about the hosting choice is locked in — the open standard keeps us portable, and the abstraction means we can extend to other clouds later if a partner requires it.</w:t>
      </w:r>
    </w:p>
    <w:p>
      <w:r>
        <w:br w:type="page"/>
      </w:r>
    </w:p>
    <w:p>
      <w:pPr>
        <w:pStyle w:val="Heading1"/>
      </w:pPr>
      <w:r>
        <w:t xml:space="preserve">Sources</w:t>
      </w:r>
    </w:p>
    <w:p>
      <w:pPr>
        <w:spacing w:after="150" w:line="276"/>
        <w:jc w:val="both"/>
      </w:pPr>
      <w:r>
        <w:t xml:space="preserve">Vendor documentation and announcements, current as at June 2026.</w:t>
      </w:r>
    </w:p>
    <w:p>
      <w:pPr>
        <w:spacing w:after="60" w:line="248"/>
      </w:pPr>
      <w:r>
        <w:rPr>
          <w:color w:val="595959"/>
        </w:rPr>
        <w:t xml:space="preserve">• </w:t>
      </w:r>
      <w:hyperlink w:history="1" r:id="rIdhyijhgxhan_ps9i44iw75">
        <w:r>
          <w:rPr>
            <w:rStyle w:val="Hyperlink"/>
            <w:sz w:val="18"/>
            <w:szCs w:val="18"/>
          </w:rPr>
          <w:t xml:space="preserve">AWS — Deploy MCP servers in Amazon Bedrock AgentCore Runtime</w:t>
        </w:r>
      </w:hyperlink>
    </w:p>
    <w:p>
      <w:pPr>
        <w:spacing w:after="60" w:line="248"/>
      </w:pPr>
      <w:r>
        <w:rPr>
          <w:color w:val="595959"/>
        </w:rPr>
        <w:t xml:space="preserve">• </w:t>
      </w:r>
      <w:hyperlink w:history="1" r:id="rIdp8cc9ax2ftdaweucnludx">
        <w:r>
          <w:rPr>
            <w:rStyle w:val="Hyperlink"/>
            <w:sz w:val="18"/>
            <w:szCs w:val="18"/>
          </w:rPr>
          <w:t xml:space="preserve">AWS — AgentCore Runtime now supports stateful MCP server features (Mar 2026)</w:t>
        </w:r>
      </w:hyperlink>
    </w:p>
    <w:p>
      <w:pPr>
        <w:spacing w:after="60" w:line="248"/>
      </w:pPr>
      <w:r>
        <w:rPr>
          <w:color w:val="595959"/>
        </w:rPr>
        <w:t xml:space="preserve">• </w:t>
      </w:r>
      <w:hyperlink w:history="1" r:id="rId2hugeypk4ygururktdjct">
        <w:r>
          <w:rPr>
            <w:rStyle w:val="Hyperlink"/>
            <w:sz w:val="18"/>
            <w:szCs w:val="18"/>
          </w:rPr>
          <w:t xml:space="preserve">AWS — Connecting MCP servers to Bedrock AgentCore Gateway</w:t>
        </w:r>
      </w:hyperlink>
    </w:p>
    <w:p>
      <w:pPr>
        <w:spacing w:after="60" w:line="248"/>
      </w:pPr>
      <w:r>
        <w:rPr>
          <w:color w:val="595959"/>
        </w:rPr>
        <w:t xml:space="preserve">• </w:t>
      </w:r>
      <w:hyperlink w:history="1" r:id="rIdeejfsuoyjtuxcntulb6bs">
        <w:r>
          <w:rPr>
            <w:rStyle w:val="Hyperlink"/>
            <w:sz w:val="18"/>
            <w:szCs w:val="18"/>
          </w:rPr>
          <w:t xml:space="preserve">Google Cloud — Host MCP servers on Cloud Run</w:t>
        </w:r>
      </w:hyperlink>
    </w:p>
    <w:p>
      <w:pPr>
        <w:spacing w:after="60" w:line="248"/>
      </w:pPr>
      <w:r>
        <w:rPr>
          <w:color w:val="595959"/>
        </w:rPr>
        <w:t xml:space="preserve">• </w:t>
      </w:r>
      <w:hyperlink w:history="1" r:id="rIdddpfzhthpenijpd9og_lw">
        <w:r>
          <w:rPr>
            <w:rStyle w:val="Hyperlink"/>
            <w:sz w:val="18"/>
            <w:szCs w:val="18"/>
          </w:rPr>
          <w:t xml:space="preserve">Google Cloud — Managed MCP servers for Google Cloud databases</w:t>
        </w:r>
      </w:hyperlink>
    </w:p>
    <w:p>
      <w:pPr>
        <w:spacing w:after="60" w:line="248"/>
      </w:pPr>
      <w:r>
        <w:rPr>
          <w:color w:val="595959"/>
        </w:rPr>
        <w:t xml:space="preserve">• </w:t>
      </w:r>
      <w:hyperlink w:history="1" r:id="rIdvybq4ewhop7pmwp52bw6c">
        <w:r>
          <w:rPr>
            <w:rStyle w:val="Hyperlink"/>
            <w:sz w:val="18"/>
            <w:szCs w:val="18"/>
          </w:rPr>
          <w:t xml:space="preserve">Google Cloud — Google Cloud MCP servers overview</w:t>
        </w:r>
      </w:hyperlink>
    </w:p>
    <w:p>
      <w:pPr>
        <w:spacing w:after="60" w:line="248"/>
      </w:pPr>
      <w:r>
        <w:rPr>
          <w:color w:val="595959"/>
        </w:rPr>
        <w:t xml:space="preserve">• </w:t>
      </w:r>
      <w:hyperlink w:history="1" r:id="rIdka2y1zqlnuxp6pzrbf7fb">
        <w:r>
          <w:rPr>
            <w:rStyle w:val="Hyperlink"/>
            <w:sz w:val="18"/>
            <w:szCs w:val="18"/>
          </w:rPr>
          <w:t xml:space="preserve">Microsoft — Expose a REST API as an MCP server (Azure API Management)</w:t>
        </w:r>
      </w:hyperlink>
    </w:p>
    <w:p>
      <w:pPr>
        <w:spacing w:after="60" w:line="248"/>
      </w:pPr>
      <w:r>
        <w:rPr>
          <w:color w:val="595959"/>
        </w:rPr>
        <w:t xml:space="preserve">• </w:t>
      </w:r>
      <w:hyperlink w:history="1" r:id="rIdgylcqexcgqjws4l4vvewo">
        <w:r>
          <w:rPr>
            <w:rStyle w:val="Hyperlink"/>
            <w:sz w:val="18"/>
            <w:szCs w:val="18"/>
          </w:rPr>
          <w:t xml:space="preserve">Microsoft — Overview of MCP servers in Azure API Management</w:t>
        </w:r>
      </w:hyperlink>
    </w:p>
    <w:p>
      <w:pPr>
        <w:spacing w:after="60" w:line="248"/>
      </w:pPr>
      <w:r>
        <w:rPr>
          <w:color w:val="595959"/>
        </w:rPr>
        <w:t xml:space="preserve">• </w:t>
      </w:r>
      <w:hyperlink w:history="1" r:id="rIdqysdtw5fibw1yo-b3rcia">
        <w:r>
          <w:rPr>
            <w:rStyle w:val="Hyperlink"/>
            <w:sz w:val="18"/>
            <w:szCs w:val="18"/>
          </w:rPr>
          <w:t xml:space="preserve">NCSC — Cloud security guidance (Cloud Security Principles)</w:t>
        </w:r>
      </w:hyperlink>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4"/>
      </w:pBdr>
      <w:tabs>
        <w:tab w:val="right" w:pos="9026"/>
      </w:tabs>
    </w:pPr>
    <w:r>
      <w:rPr>
        <w:color w:val="595959"/>
        <w:sz w:val="16"/>
        <w:szCs w:val="16"/>
      </w:rPr>
      <w:t xml:space="preserve">OFFICIAL — Companion to the MCP platform business case</w:t>
    </w:r>
    <w:r>
      <w:rPr>
        <w:color w:val="595959"/>
        <w:sz w:val="16"/>
        <w:szCs w:val="16"/>
      </w:rPr>
      <w:t xml:space="preserve">	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tabs>
        <w:tab w:val="right" w:pos="9026"/>
      </w:tabs>
    </w:pPr>
    <w:r>
      <w:rPr>
        <w:color w:val="595959"/>
        <w:sz w:val="16"/>
        <w:szCs w:val="16"/>
      </w:rPr>
      <w:t xml:space="preserve">Hosting an MCP Server — AWS, GCP and Azure</w:t>
    </w:r>
    <w:r>
      <w:rPr>
        <w:b/>
        <w:bCs/>
        <w:color w:val="595959"/>
        <w:sz w:val="16"/>
        <w:szCs w:val="16"/>
      </w:rPr>
      <w:t xml:space="preserve">	OFFICIAL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212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CE6F1" w:sz="4" w:space="4"/>
      </w:pBdr>
      <w:spacing w:after="150" w:before="300"/>
      <w:outlineLvl w:val="0"/>
    </w:pPr>
    <w:rPr>
      <w:rFonts w:ascii="Arial" w:cs="Arial" w:eastAsia="Arial" w:hAnsi="Arial"/>
      <w:b/>
      <w:bCs/>
      <w:color w:val="1F3A5F"/>
      <w:sz w:val="30"/>
      <w:szCs w:val="30"/>
    </w:rPr>
  </w:style>
  <w:style w:type="paragraph" w:styleId="Heading2">
    <w:name w:val="Heading 2"/>
    <w:basedOn w:val="Normal"/>
    <w:next w:val="Normal"/>
    <w:qFormat/>
    <w:pPr>
      <w:spacing w:after="80" w:before="200"/>
      <w:outlineLvl w:val="1"/>
    </w:pPr>
    <w:rPr>
      <w:rFonts w:ascii="Arial" w:cs="Arial" w:eastAsia="Arial" w:hAnsi="Arial"/>
      <w:b/>
      <w:bCs/>
      <w:color w:val="2E5A88"/>
      <w:sz w:val="24"/>
      <w:szCs w:val="24"/>
    </w:rPr>
  </w:style>
  <w:style w:type="paragraph" w:styleId="Hyperlink">
    <w:name w:val="Hyperlink"/>
    <w:basedOn w:val="Normal"/>
    <w:rPr>
      <w:color w:val="2E5A88"/>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hyijhgxhan_ps9i44iw75" Type="http://schemas.openxmlformats.org/officeDocument/2006/relationships/hyperlink" Target="https://docs.aws.amazon.com/bedrock-agentcore/latest/devguide/runtime-mcp.html" TargetMode="External"/><Relationship Id="rIdp8cc9ax2ftdaweucnludx" Type="http://schemas.openxmlformats.org/officeDocument/2006/relationships/hyperlink" Target="https://aws.amazon.com/about-aws/whats-new/2026/03/amazon-bedrock-agentcore-runtime-stateful-mcp/" TargetMode="External"/><Relationship Id="rId2hugeypk4ygururktdjct" Type="http://schemas.openxmlformats.org/officeDocument/2006/relationships/hyperlink" Target="https://aws.amazon.com/blogs/machine-learning/connecting-mcp-servers-to-amazon-bedrock-agentcore-gateway-using-authorization-code-flow/" TargetMode="External"/><Relationship Id="rIdeejfsuoyjtuxcntulb6bs" Type="http://schemas.openxmlformats.org/officeDocument/2006/relationships/hyperlink" Target="https://docs.cloud.google.com/run/docs/host-mcp-servers" TargetMode="External"/><Relationship Id="rIdddpfzhthpenijpd9og_lw" Type="http://schemas.openxmlformats.org/officeDocument/2006/relationships/hyperlink" Target="https://cloud.google.com/blog/products/databases/managed-mcp-servers-for-google-cloud-databases" TargetMode="External"/><Relationship Id="rIdvybq4ewhop7pmwp52bw6c" Type="http://schemas.openxmlformats.org/officeDocument/2006/relationships/hyperlink" Target="https://docs.cloud.google.com/mcp/overview" TargetMode="External"/><Relationship Id="rIdka2y1zqlnuxp6pzrbf7fb" Type="http://schemas.openxmlformats.org/officeDocument/2006/relationships/hyperlink" Target="https://learn.microsoft.com/en-us/azure/api-management/export-rest-mcp-server" TargetMode="External"/><Relationship Id="rIdgylcqexcgqjws4l4vvewo" Type="http://schemas.openxmlformats.org/officeDocument/2006/relationships/hyperlink" Target="https://learn.microsoft.com/en-us/azure/api-management/mcp-server-overview" TargetMode="External"/><Relationship Id="rIdqysdtw5fibw1yo-b3rcia" Type="http://schemas.openxmlformats.org/officeDocument/2006/relationships/hyperlink" Target="https://www.ncsc.gov.uk/collection/cloud-security" TargetMode="External"/><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MCP Server Hosting — AWS, GCP and Azure</dc:title>
  <dc:creator>Strategy &amp; Data Office</dc:creator>
  <cp:lastModifiedBy>Un-named</cp:lastModifiedBy>
  <cp:revision>1</cp:revision>
  <dcterms:created xsi:type="dcterms:W3CDTF">2026-06-28T20:16:52.163Z</dcterms:created>
  <dcterms:modified xsi:type="dcterms:W3CDTF">2026-06-28T20:16:52.166Z</dcterms:modified>
</cp:coreProperties>
</file>

<file path=docProps/custom.xml><?xml version="1.0" encoding="utf-8"?>
<Properties xmlns="http://schemas.openxmlformats.org/officeDocument/2006/custom-properties" xmlns:vt="http://schemas.openxmlformats.org/officeDocument/2006/docPropsVTypes"/>
</file>