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aps/>
          <w:color w:val="595959"/>
          <w:sz w:val="20"/>
          <w:szCs w:val="20"/>
        </w:rPr>
        <w:t xml:space="preserve">OFFICIAL</w:t>
      </w:r>
    </w:p>
    <w:p>
      <w:pPr>
        <w:spacing w:after="120" w:before="1400"/>
        <w:jc w:val="center"/>
      </w:pPr>
      <w:r>
        <w:rPr>
          <w:b/>
          <w:bCs/>
          <w:color w:val="1F3A5F"/>
          <w:sz w:val="52"/>
          <w:szCs w:val="52"/>
        </w:rPr>
        <w:t xml:space="preserve">A Secure Model Context Protocol Platform</w:t>
      </w:r>
    </w:p>
    <w:p>
      <w:pPr>
        <w:spacing w:after="320"/>
        <w:jc w:val="center"/>
      </w:pPr>
      <w:r>
        <w:rPr>
          <w:b/>
          <w:bCs/>
          <w:color w:val="1F3A5F"/>
          <w:sz w:val="52"/>
          <w:szCs w:val="52"/>
        </w:rPr>
        <w:t xml:space="preserve">for Trusted Analytical Data</w:t>
      </w:r>
    </w:p>
    <w:p>
      <w:pPr>
        <w:spacing w:after="200"/>
        <w:jc w:val="center"/>
      </w:pPr>
      <w:r>
        <w:rPr>
          <w:i/>
          <w:iCs/>
          <w:color w:val="2E5A88"/>
          <w:sz w:val="28"/>
          <w:szCs w:val="28"/>
        </w:rPr>
        <w:t xml:space="preserve">Becoming an AI-ready provider of data and insight for the public sector</w:t>
      </w:r>
    </w:p>
    <w:p>
      <w:pPr>
        <w:pBdr>
          <w:top w:val="single" w:color="1F3A5F" w:sz="6" w:space="6"/>
        </w:pBdr>
        <w:spacing w:after="0" w:before="200"/>
        <w:jc w:val="center"/>
      </w:pPr>
      <w:r>
        <w:rPr>
          <w:sz w:val="2"/>
          <w:szCs w:val="2"/>
        </w:rPr>
        <w:t xml:space="preserve"/>
      </w:r>
    </w:p>
    <w:p>
      <w:pPr>
        <w:spacing w:after="60" w:before="360"/>
        <w:jc w:val="center"/>
      </w:pPr>
      <w:r>
        <w:rPr>
          <w:b/>
          <w:bCs/>
          <w:sz w:val="26"/>
          <w:szCs w:val="26"/>
        </w:rPr>
        <w:t xml:space="preserve">Strategic proposal to the Executive Committee</w:t>
      </w:r>
    </w:p>
    <w:p>
      <w:pPr>
        <w:spacing w:after="40"/>
        <w:jc w:val="center"/>
      </w:pPr>
      <w:r>
        <w:rPr>
          <w:color w:val="595959"/>
          <w:sz w:val="22"/>
          <w:szCs w:val="22"/>
        </w:rPr>
        <w:t xml:space="preserve">Prepared for: Senior Leadership Team</w:t>
      </w:r>
    </w:p>
    <w:p>
      <w:pPr>
        <w:spacing w:after="40"/>
        <w:jc w:val="center"/>
      </w:pPr>
      <w:r>
        <w:rPr>
          <w:color w:val="595959"/>
          <w:sz w:val="22"/>
          <w:szCs w:val="22"/>
        </w:rPr>
        <w:t xml:space="preserve">Date: June 2026   ·   Version 1.0 (Draft for discussion)</w:t>
      </w:r>
    </w:p>
    <w:p>
      <w:pPr>
        <w:spacing w:after="40"/>
        <w:jc w:val="center"/>
      </w:pPr>
      <w:r>
        <w:rPr>
          <w:color w:val="595959"/>
          <w:sz w:val="22"/>
          <w:szCs w:val="22"/>
        </w:rPr>
        <w:t xml:space="preserve">Classification: OFFICIAL</w:t>
      </w:r>
    </w:p>
    <w:p>
      <w:r>
        <w:br w:type="page"/>
      </w:r>
    </w:p>
    <w:p>
      <w:pPr>
        <w:spacing w:after="160"/>
      </w:pPr>
      <w:r>
        <w:rPr>
          <w:b/>
          <w:bCs/>
          <w:color w:val="1F3A5F"/>
          <w:sz w:val="30"/>
          <w:szCs w:val="30"/>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Executive proposition</w:t>
      </w:r>
    </w:p>
    <w:p>
      <w:pPr>
        <w:spacing w:after="180" w:line="288"/>
        <w:jc w:val="both"/>
      </w:pPr>
      <w:r>
        <w:rPr>
          <w:i/>
          <w:iCs/>
          <w:color w:val="2E5A88"/>
          <w:sz w:val="24"/>
          <w:szCs w:val="24"/>
        </w:rPr>
        <w:t xml:space="preserve">We should establish a secure Model Context Protocol (MCP) platform so that authorised AI agents can discover, access and interpret our trusted analytical data, metadata and services in a controlled, standardised and fully auditable way — and so position the organisation as a leading provider of AI-ready data and insight across the public sector.</w:t>
      </w:r>
    </w:p>
    <w:p>
      <w:pPr>
        <w:spacing w:after="160" w:line="276"/>
        <w:jc w:val="both"/>
      </w:pPr>
      <w:r>
        <w:t xml:space="preserve">The way people and organisations consume data is changing faster than at any point since the arrival of the web. A new generation of artificial-intelligence “agents” — software that can reason, plan and act on a user’s behalf — is moving from demonstration to daily use. These agents increasingly expect to reach data and services directly, machine to machine, rather than through a person navigating a portal. The question for an organisation whose authority rests on trusted data is no longer whether to engage with this shift, but how to do so safely and on our own terms.</w:t>
      </w:r>
    </w:p>
    <w:p>
      <w:pPr>
        <w:spacing w:after="160" w:line="276"/>
        <w:jc w:val="both"/>
      </w:pPr>
      <w:r>
        <w:t xml:space="preserve">MCP is an open standard, introduced in late 2024, that has rapidly become the common “language” by which AI systems connect to external data and tools. It defines a controlled, self-describing interface through which an agent can find out what is available, ask in plain language, and receive approved, structured, citable answers — with every interaction authenticated, authorised and logged. Our proposition is not to chase a trend, but to apply a maturing, vendor-neutral standard deliberately and securely to extend the reach and value of the data we are trusted to hold.</w:t>
      </w:r>
    </w:p>
    <w:p>
      <w:pPr>
        <w:spacing w:after="160" w:line="276"/>
        <w:jc w:val="both"/>
      </w:pPr>
      <w:r>
        <w:t xml:space="preserve">This is a low-risk, high-option-value move. We recommend a phased programme that begins with a proof of concept using only public, already-published data, with each subsequent phase gated by security, information-governance and ethics assurance. The initial decision is modest in cost and fully reversible; the strategic position it secures — as the authoritative, AI-ready source that other departments, partners and citizens reach through a single governed front door — is significant.</w:t>
      </w:r>
    </w:p>
    <w:p>
      <w:pPr>
        <w:spacing w:after="100" w:before="80"/>
      </w:pPr>
      <w:r>
        <w:rPr>
          <w:b/>
          <w:bCs/>
          <w:color w:val="2E5A88"/>
          <w:sz w:val="24"/>
          <w:szCs w:val="24"/>
        </w:rPr>
        <w:t xml:space="preserve">What we are asking the Committee to approve</w:t>
      </w:r>
    </w:p>
    <w:p>
      <w:pPr>
        <w:pStyle w:val="ListParagraph"/>
        <w:numPr>
          <w:ilvl w:val="0"/>
          <w:numId w:val="2"/>
        </w:numPr>
        <w:spacing w:after="110" w:line="270"/>
      </w:pPr>
      <w:r>
        <w:rPr>
          <w:b/>
          <w:bCs/>
        </w:rPr>
        <w:t xml:space="preserve">Endorse the direction — </w:t>
      </w:r>
      <w:r>
        <w:t xml:space="preserve">agree that MCP is a strategic capability worth adopting, deliberately and safely.</w:t>
      </w:r>
    </w:p>
    <w:p>
      <w:pPr>
        <w:pStyle w:val="ListParagraph"/>
        <w:numPr>
          <w:ilvl w:val="0"/>
          <w:numId w:val="2"/>
        </w:numPr>
        <w:spacing w:after="110" w:line="270"/>
      </w:pPr>
      <w:r>
        <w:rPr>
          <w:b/>
          <w:bCs/>
        </w:rPr>
        <w:t xml:space="preserve">Fund a Phase 0 proof of concept — </w:t>
      </w:r>
      <w:r>
        <w:t xml:space="preserve">an indicative £200,000–£350,000 to cover a six-to-eight-week proof of concept on public data and the design of Phase 1.</w:t>
      </w:r>
    </w:p>
    <w:p>
      <w:pPr>
        <w:pStyle w:val="ListParagraph"/>
        <w:numPr>
          <w:ilvl w:val="0"/>
          <w:numId w:val="2"/>
        </w:numPr>
        <w:spacing w:after="110" w:line="270"/>
      </w:pPr>
      <w:r>
        <w:rPr>
          <w:b/>
          <w:bCs/>
        </w:rPr>
        <w:t xml:space="preserve">Establish ownership — </w:t>
      </w:r>
      <w:r>
        <w:t xml:space="preserve">appoint a Senior Responsible Owner and convene a small multidisciplinary team and governance group.</w:t>
      </w:r>
    </w:p>
    <w:p>
      <w:pPr>
        <w:pStyle w:val="ListParagraph"/>
        <w:numPr>
          <w:ilvl w:val="0"/>
          <w:numId w:val="2"/>
        </w:numPr>
        <w:spacing w:after="110" w:line="270"/>
      </w:pPr>
      <w:r>
        <w:rPr>
          <w:b/>
          <w:bCs/>
        </w:rPr>
        <w:t xml:space="preserve">Agree the guard-rails — </w:t>
      </w:r>
      <w:r>
        <w:t xml:space="preserve">confirm stage-gated decision points, with no sensitive data entering scope without explicit approval.</w:t>
      </w:r>
    </w:p>
    <w:p>
      <w:pPr>
        <w:pStyle w:val="Heading1"/>
      </w:pPr>
      <w:r>
        <w:t xml:space="preserve">2. Why this matters now</w:t>
      </w:r>
    </w:p>
    <w:p>
      <w:pPr>
        <w:spacing w:after="160" w:line="276"/>
        <w:jc w:val="both"/>
      </w:pPr>
      <w:r>
        <w:t xml:space="preserve">Three forces have converged to make this the right moment to act, and a clear cost to inaction.</w:t>
      </w:r>
    </w:p>
    <w:p>
      <w:pPr>
        <w:pStyle w:val="Heading2"/>
      </w:pPr>
      <w:r>
        <w:t xml:space="preserve">Agentic AI is scaling from novelty to infrastructure</w:t>
      </w:r>
    </w:p>
    <w:p>
      <w:pPr>
        <w:spacing w:after="160" w:line="276"/>
        <w:jc w:val="both"/>
      </w:pPr>
      <w:r>
        <w:t xml:space="preserve">Industry analysts now expect agentic AI to become a mainstream feature of enterprise software within this planning horizon. Gartner forecasts that around a third of enterprise software applications will include agentic AI by 2028, up from less than one per cent in 2024, and that 40 per cent of enterprise applications will be integrated with task-specific AI agents by the end of 2026. By 2028 it expects at least 15 per cent of day-to-day work decisions to be made autonomously by agents, up from none in 2024. The unit of consumption is shifting from the screen to the agent — and agents need a governed way to reach trusted data.</w:t>
      </w:r>
    </w:p>
    <w:p>
      <w:pPr>
        <w:pStyle w:val="Heading2"/>
      </w:pPr>
      <w:r>
        <w:t xml:space="preserve">The connection standard has settled</w:t>
      </w:r>
    </w:p>
    <w:p>
      <w:pPr>
        <w:spacing w:after="160" w:line="276"/>
        <w:jc w:val="both"/>
      </w:pPr>
      <w:r>
        <w:t xml:space="preserve">Critically, the market has converged on a single way for agents to connect to data and tools. Since Anthropic introduced MCP in November 2024, it has been adopted across the major AI providers — OpenAI in March 2025, Google for its Gemini models in April 2025, and Microsoft at its Build conference in May 2025 — and now underpins an ecosystem of more than ten thousand public servers. In December 2025 stewardship of the standard passed to a vendor-neutral body, reinforcing its status as durable public infrastructure rather than one company’s product. Building to MCP today means building to a de facto open standard, not placing a speculative bet.</w:t>
      </w:r>
    </w:p>
    <w:p>
      <w:pPr>
        <w:pStyle w:val="Heading2"/>
      </w:pPr>
      <w:r>
        <w:t xml:space="preserve">The policy and delivery context is ready</w:t>
      </w:r>
    </w:p>
    <w:p>
      <w:pPr>
        <w:spacing w:after="160" w:line="276"/>
        <w:jc w:val="both"/>
      </w:pPr>
      <w:r>
        <w:t xml:space="preserve">The public-sector environment now actively supports safe adoption. The Artificial Intelligence Playbook for the UK Government, published in February 2025, sets ten principles for using AI lawfully, safely and ethically — including data responsibility (AI tools should access only the data they need) and meaningful human control. Our analytical workloads are already consolidating onto cloud infrastructure, and there is established cross-government appetite for reusable, secure data services. We can adopt this capability inside a recognised assurance framework rather than ahead of one.</w:t>
      </w:r>
    </w:p>
    <w:p>
      <w:pPr>
        <w:pStyle w:val="Heading2"/>
      </w:pPr>
      <w:r>
        <w:t xml:space="preserve">The cost of waiting</w:t>
      </w:r>
    </w:p>
    <w:p>
      <w:pPr>
        <w:spacing w:after="160" w:line="276"/>
        <w:jc w:val="both"/>
      </w:pPr>
      <w:r>
        <w:t xml:space="preserve">Demand for our data through AI agents will arrive whether or not we provide for it. If we do nothing, that demand is met through ungoverned channels — our published outputs pasted into third-party chatbots, with no provenance, no version control and a real risk of misquotation. It is far better to offer a governed front door than to leave an ungoverned back door. Acting now also lets us shape the access patterns others will reuse, rather than retrofitting to conventions defined elsewhere. We make this case with eyes open: Gartner also predicts that more than 40 per cent of agentic AI projects will be cancelled by the end of 2027 owing to unclear value, escalating cost or weak controls. That is precisely why we propose a disciplined, standards-based and stage-gated approach — the antidote to the failure mode, not an example of it.</w:t>
      </w:r>
    </w:p>
    <w:p>
      <w:pPr>
        <w:pStyle w:val="Heading2"/>
      </w:pPr>
      <w:r>
        <w:t xml:space="preserve">This is already happening in government</w:t>
      </w:r>
    </w:p>
    <w:p>
      <w:pPr>
        <w:spacing w:after="160" w:line="276"/>
        <w:jc w:val="both"/>
      </w:pPr>
      <w:r>
        <w:t xml:space="preserve">These benefits are not theoretical. UK departments — and a peer national statistics office — have already built secure MCP access to live government data, taking the same first step we propose. A companion evidence note sets these out in full; in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FE0EE" w:sz="2"/>
              <w:left w:val="single" w:color="2E5A88" w:sz="18"/>
              <w:bottom w:val="single" w:color="CFE0EE" w:sz="2"/>
              <w:right w:val="single" w:color="CFE0EE" w:sz="2"/>
            </w:tcBorders>
            <w:shd w:fill="F3F7FB" w:color="auto" w:val="clear"/>
            <w:tcMar>
              <w:top w:type="dxa" w:w="130"/>
              <w:left w:type="dxa" w:w="220"/>
              <w:bottom w:type="dxa" w:w="130"/>
              <w:right w:type="dxa" w:w="180"/>
            </w:tcMar>
          </w:tcPr>
          <w:p>
            <w:pPr>
              <w:spacing w:after="110"/>
            </w:pPr>
            <w:r>
              <w:rPr>
                <w:b/>
                <w:bCs/>
                <w:color w:val="1F3A5F"/>
                <w:sz w:val="24"/>
                <w:szCs w:val="24"/>
              </w:rPr>
              <w:t xml:space="preserve">Proven precedents</w:t>
            </w:r>
          </w:p>
          <w:p>
            <w:pPr>
              <w:pStyle w:val="ListParagraph"/>
              <w:numPr>
                <w:ilvl w:val="0"/>
                <w:numId w:val="2"/>
              </w:numPr>
              <w:spacing w:after="70" w:line="264"/>
            </w:pPr>
            <w:r>
              <w:rPr>
                <w:b/>
                <w:bCs/>
              </w:rPr>
              <w:t xml:space="preserve">Department for Business and Trade</w:t>
            </w:r>
            <w:r>
              <w:t xml:space="preserve"> — connected its AI assistant to the live Data Hub CRM through an MCP server on existing GOV.UK Single Sign-On, returning answers cited to source records.</w:t>
            </w:r>
          </w:p>
          <w:p>
            <w:pPr>
              <w:pStyle w:val="ListParagraph"/>
              <w:numPr>
                <w:ilvl w:val="0"/>
                <w:numId w:val="2"/>
              </w:numPr>
              <w:spacing w:after="70" w:line="264"/>
            </w:pPr>
            <w:r>
              <w:rPr>
                <w:b/>
                <w:bCs/>
              </w:rPr>
              <w:t xml:space="preserve">India’s National Statistical Office (MoSPI)</w:t>
            </w:r>
            <w:r>
              <w:t xml:space="preserve"> — launched a public MCP server over its official-statistics portal (around 22 datasets) for AI tools: a direct peer precedent.</w:t>
            </w:r>
          </w:p>
          <w:p>
            <w:pPr>
              <w:pStyle w:val="ListParagraph"/>
              <w:numPr>
                <w:ilvl w:val="0"/>
                <w:numId w:val="2"/>
              </w:numPr>
              <w:spacing w:after="70" w:line="264"/>
            </w:pPr>
            <w:r>
              <w:rPr>
                <w:b/>
                <w:bCs/>
              </w:rPr>
              <w:t xml:space="preserve">UK Incubator for AI (“Lex”)</w:t>
            </w:r>
            <w:r>
              <w:t xml:space="preserve"> — exposes the statute book and case law to AI agents via MCP, alongside a conventional API.</w:t>
            </w:r>
          </w:p>
          <w:p>
            <w:pPr>
              <w:pStyle w:val="ListParagraph"/>
              <w:numPr>
                <w:ilvl w:val="0"/>
                <w:numId w:val="2"/>
              </w:numPr>
              <w:spacing w:after="70" w:line="264"/>
            </w:pPr>
            <w:r>
              <w:rPr>
                <w:b/>
                <w:bCs/>
              </w:rPr>
              <w:t xml:space="preserve">GDS guidance</w:t>
            </w:r>
            <w:r>
              <w:t xml:space="preserve"> — “Making government datasets ready for AI” recommends MCP as the access layer for agentic, single-record data access.</w:t>
            </w:r>
          </w:p>
          <w:p>
            <w:pPr>
              <w:spacing w:before="80"/>
            </w:pPr>
            <w:r>
              <w:rPr>
                <w:i/>
                <w:iCs/>
                <w:color w:val="2E5A88"/>
              </w:rPr>
              <w:t xml:space="preserve">ONS would be following a proven path — and is well placed to lead in UK official statistics.</w:t>
            </w:r>
          </w:p>
        </w:tc>
      </w:tr>
    </w:tbl>
    <w:p>
      <w:pPr>
        <w:pStyle w:val="Heading1"/>
      </w:pPr>
      <w:r>
        <w:t xml:space="preserve">3. The strategic opportunity</w:t>
      </w:r>
    </w:p>
    <w:p>
      <w:pPr>
        <w:spacing w:after="160" w:line="276"/>
        <w:jc w:val="both"/>
      </w:pPr>
      <w:r>
        <w:t xml:space="preserve">In a world where answers are increasingly mediated by AI, trust, provenance and authority become more valuable, not less. An agent is only as good as the data it can cite. That is a structural advantage for an organisation whose role is to be the authoritative source — and an MCP platform is how we convert that standing into a modern distribution channel. The opportunity has three reinforcing dimensions.</w:t>
      </w:r>
    </w:p>
    <w:p>
      <w:pPr>
        <w:pStyle w:val="ListParagraph"/>
        <w:numPr>
          <w:ilvl w:val="0"/>
          <w:numId w:val="2"/>
        </w:numPr>
        <w:spacing w:after="110" w:line="270"/>
      </w:pPr>
      <w:r>
        <w:rPr>
          <w:b/>
          <w:bCs/>
        </w:rPr>
        <w:t xml:space="preserve">Better services for our own customers — </w:t>
      </w:r>
      <w:r>
        <w:t xml:space="preserve">conversational, real-time access to approved figures and insight — with the correct definitions and an authoritative citation attached to every answer — raises the quality and accessibility of what we already offer.</w:t>
      </w:r>
    </w:p>
    <w:p>
      <w:pPr>
        <w:pStyle w:val="ListParagraph"/>
        <w:numPr>
          <w:ilvl w:val="0"/>
          <w:numId w:val="2"/>
        </w:numPr>
        <w:spacing w:after="110" w:line="270"/>
      </w:pPr>
      <w:r>
        <w:rPr>
          <w:b/>
          <w:bCs/>
        </w:rPr>
        <w:t xml:space="preserve">A reusable route for the wider public sector — </w:t>
      </w:r>
      <w:r>
        <w:t xml:space="preserve">a single, governed interface that other departments, public bodies, local government and approved partners can connect to once and reuse many times, instead of commissioning bespoke integrations. We build once; the system of government benefits repeatedly.</w:t>
      </w:r>
    </w:p>
    <w:p>
      <w:pPr>
        <w:pStyle w:val="ListParagraph"/>
        <w:numPr>
          <w:ilvl w:val="0"/>
          <w:numId w:val="2"/>
        </w:numPr>
        <w:spacing w:after="110" w:line="270"/>
      </w:pPr>
      <w:r>
        <w:rPr>
          <w:b/>
          <w:bCs/>
        </w:rPr>
        <w:t xml:space="preserve">Data and metadata as strategic assets — </w:t>
      </w:r>
      <w:r>
        <w:t xml:space="preserve">exposing data through MCP raises the premium on high-quality, well-described, well-governed data. The work needed to be AI-ready — clear definitions, provenance, quality indicators and versioning — strengthens our core product for every user, human or machine.</w:t>
      </w:r>
    </w:p>
    <w:p>
      <w:pPr>
        <w:spacing w:after="160" w:line="276"/>
        <w:jc w:val="both"/>
      </w:pPr>
      <w:r>
        <w:t xml:space="preserve">There is also an opportunity to lead. Others — including a peer national statistics office — have already shown the approach works; by building a secure, well-documented reference implementation, we can set the standard for how trusted analytical data is exposed to agents across UK government, shaping shared conventions rather than inheriting them, and cementing our position as the public sector’s trusted provider of data and insight in the AI era.</w:t>
      </w:r>
    </w:p>
    <w:p>
      <w:pPr>
        <w:pStyle w:val="Heading1"/>
      </w:pPr>
      <w:r>
        <w:t xml:space="preserve">4. How the MCP platform would work</w:t>
      </w:r>
    </w:p>
    <w:p>
      <w:pPr>
        <w:pStyle w:val="Heading2"/>
      </w:pPr>
      <w:r>
        <w:t xml:space="preserve">MCP in plain terms</w:t>
      </w:r>
    </w:p>
    <w:p>
      <w:pPr>
        <w:spacing w:after="160" w:line="276"/>
        <w:jc w:val="both"/>
      </w:pPr>
      <w:r>
        <w:t xml:space="preserve">Think of MCP as a universal, secure adaptor. Today, every organisation that wants to consume our data builds its own custom connection. MCP replaces that with a common pattern: an AI agent (the “client”) connects to a “server” that we operate, which exposes a curated set of capabilities — known as tools, resources and prompts — that the agent is permitted to use. The agent discovers what is available, asks in natural language, and the server returns approved data and metadata in a structured, machine-readable form. Every interaction is authenticated, checked against access policy, and logged.</w:t>
      </w:r>
    </w:p>
    <w:p>
      <w:pPr>
        <w:pStyle w:val="Heading2"/>
      </w:pPr>
      <w:r>
        <w:t xml:space="preserve">What our MCP server would offer</w:t>
      </w:r>
    </w:p>
    <w:p>
      <w:pPr>
        <w:pStyle w:val="ListParagraph"/>
        <w:numPr>
          <w:ilvl w:val="0"/>
          <w:numId w:val="2"/>
        </w:numPr>
        <w:spacing w:after="110" w:line="270"/>
      </w:pPr>
      <w:r>
        <w:rPr>
          <w:b/>
          <w:bCs/>
        </w:rPr>
        <w:t xml:space="preserve">Discovery — </w:t>
      </w:r>
      <w:r>
        <w:t xml:space="preserve">agents can find out, at the moment of asking, which datasets exist, what they mean, how current they are and how they may be used.</w:t>
      </w:r>
    </w:p>
    <w:p>
      <w:pPr>
        <w:pStyle w:val="ListParagraph"/>
        <w:numPr>
          <w:ilvl w:val="0"/>
          <w:numId w:val="2"/>
        </w:numPr>
        <w:spacing w:after="110" w:line="270"/>
      </w:pPr>
      <w:r>
        <w:rPr>
          <w:b/>
          <w:bCs/>
        </w:rPr>
        <w:t xml:space="preserve">Approved data retrieval — </w:t>
      </w:r>
      <w:r>
        <w:t xml:space="preserve">query tools return appropriately aggregated, policy-compliant outputs — never raw microdata — subject to access and statistical-disclosure controls.</w:t>
      </w:r>
    </w:p>
    <w:p>
      <w:pPr>
        <w:pStyle w:val="ListParagraph"/>
        <w:numPr>
          <w:ilvl w:val="0"/>
          <w:numId w:val="2"/>
        </w:numPr>
        <w:spacing w:after="110" w:line="270"/>
      </w:pPr>
      <w:r>
        <w:rPr>
          <w:b/>
          <w:bCs/>
        </w:rPr>
        <w:t xml:space="preserve">Metadata and interpretation — </w:t>
      </w:r>
      <w:r>
        <w:t xml:space="preserve">definitions, coverage, quality indicators and provenance are returned alongside the figures so agents interpret them correctly and cite the authoritative source.</w:t>
      </w:r>
    </w:p>
    <w:p>
      <w:pPr>
        <w:pStyle w:val="ListParagraph"/>
        <w:numPr>
          <w:ilvl w:val="0"/>
          <w:numId w:val="2"/>
        </w:numPr>
        <w:spacing w:after="110" w:line="270"/>
      </w:pPr>
      <w:r>
        <w:rPr>
          <w:b/>
          <w:bCs/>
        </w:rPr>
        <w:t xml:space="preserve">Insight generation — </w:t>
      </w:r>
      <w:r>
        <w:t xml:space="preserve">a controlled set of pre-approved analytical functions (for example time-series comparisons) lets agents generate insight within policy, not improvise it.</w:t>
      </w:r>
    </w:p>
    <w:p>
      <w:pPr>
        <w:pStyle w:val="ListParagraph"/>
        <w:numPr>
          <w:ilvl w:val="0"/>
          <w:numId w:val="2"/>
        </w:numPr>
        <w:spacing w:after="110" w:line="270"/>
      </w:pPr>
      <w:r>
        <w:rPr>
          <w:b/>
          <w:bCs/>
        </w:rPr>
        <w:t xml:space="preserve">Customer-facing services — </w:t>
      </w:r>
      <w:r>
        <w:t xml:space="preserve">the same governed capabilities can power assistants on our own channels and, under agreement, on partners’ channels.</w:t>
      </w:r>
    </w:p>
    <w:p>
      <w:pPr>
        <w:pStyle w:val="Heading2"/>
      </w:pPr>
      <w:r>
        <w:t xml:space="preserve">It complements existing APIs and platforms — it does not replace them</w:t>
      </w:r>
    </w:p>
    <w:p>
      <w:pPr>
        <w:spacing w:after="160" w:line="276"/>
        <w:jc w:val="both"/>
      </w:pPr>
      <w:r>
        <w:t xml:space="preserve">The MCP server sits on top of our existing investment. It reuses our current data platform, data catalogue, APIs, identity systems and the established Five Safes governance — it does not duplicate them. Conventional APIs remain the right choice for bulk transfer and high-volume system-to-system integration; MCP adds the agent-facing, discoverable, self-describing layer above them. In architectural terms, an agent connects through an identity and policy gateway to one or more MCP servers, which in turn call our existing approved services, with human approval and audit applied throughout. Existing consumers are unaffected; new agent-based consumers gain a safer, simpler route.</w:t>
      </w:r>
    </w:p>
    <w:p>
      <w:pPr>
        <w:pStyle w:val="Heading2"/>
      </w:pPr>
      <w:r>
        <w:t xml:space="preserve">How it compares with today’s approaches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63"/>
        <w:gridCol w:w="3463"/>
      </w:tblGrid>
      <w:tr>
        <w:trPr>
          <w:tblHeader/>
        </w:trPr>
        <w:tc>
          <w:tcPr>
            <w:tcW w:type="dxa" w:w="1500"/>
            <w:tcBorders>
              <w:top w:val="single" w:color="BFCEDF" w:sz="1"/>
              <w:left w:val="single" w:color="BFCEDF" w:sz="1"/>
              <w:bottom w:val="single" w:color="BFCEDF" w:sz="1"/>
              <w:right w:val="single" w:color="BFCEDF" w:sz="1"/>
            </w:tcBorders>
            <w:shd w:fill="DCE6F1" w:color="auto" w:val="clear"/>
            <w:tcMar>
              <w:top w:type="dxa" w:w="70"/>
              <w:left w:type="dxa" w:w="110"/>
              <w:bottom w:type="dxa" w:w="70"/>
              <w:right w:type="dxa" w:w="110"/>
            </w:tcMar>
            <w:vAlign w:val="top"/>
          </w:tcPr>
          <w:p>
            <w:pPr>
              <w:spacing w:after="0" w:line="250"/>
            </w:pPr>
            <w:r>
              <w:rPr>
                <w:b/>
                <w:bCs/>
                <w:color w:val="1F3A5F"/>
                <w:sz w:val="19"/>
                <w:szCs w:val="19"/>
              </w:rPr>
              <w:t xml:space="preserve">Dimension</w:t>
            </w:r>
          </w:p>
        </w:tc>
        <w:tc>
          <w:tcPr>
            <w:tcW w:type="dxa" w:w="4063"/>
            <w:tcBorders>
              <w:top w:val="single" w:color="BFCEDF" w:sz="1"/>
              <w:left w:val="single" w:color="BFCEDF" w:sz="1"/>
              <w:bottom w:val="single" w:color="BFCEDF" w:sz="1"/>
              <w:right w:val="single" w:color="BFCEDF" w:sz="1"/>
            </w:tcBorders>
            <w:shd w:fill="DCE6F1" w:color="auto" w:val="clear"/>
            <w:tcMar>
              <w:top w:type="dxa" w:w="70"/>
              <w:left w:type="dxa" w:w="110"/>
              <w:bottom w:type="dxa" w:w="70"/>
              <w:right w:type="dxa" w:w="110"/>
            </w:tcMar>
            <w:vAlign w:val="top"/>
          </w:tcPr>
          <w:p>
            <w:pPr>
              <w:spacing w:after="0" w:line="250"/>
            </w:pPr>
            <w:r>
              <w:rPr>
                <w:b/>
                <w:bCs/>
                <w:color w:val="1F3A5F"/>
                <w:sz w:val="19"/>
                <w:szCs w:val="19"/>
              </w:rPr>
              <w:t xml:space="preserve">Today: APIs, portals, manual requests, bespoke builds</w:t>
            </w:r>
          </w:p>
        </w:tc>
        <w:tc>
          <w:tcPr>
            <w:tcW w:type="dxa" w:w="3463"/>
            <w:tcBorders>
              <w:top w:val="single" w:color="BFCEDF" w:sz="1"/>
              <w:left w:val="single" w:color="BFCEDF" w:sz="1"/>
              <w:bottom w:val="single" w:color="BFCEDF" w:sz="1"/>
              <w:right w:val="single" w:color="BFCEDF" w:sz="1"/>
            </w:tcBorders>
            <w:shd w:fill="DCE6F1" w:color="auto" w:val="clear"/>
            <w:tcMar>
              <w:top w:type="dxa" w:w="70"/>
              <w:left w:type="dxa" w:w="110"/>
              <w:bottom w:type="dxa" w:w="70"/>
              <w:right w:type="dxa" w:w="110"/>
            </w:tcMar>
            <w:vAlign w:val="top"/>
          </w:tcPr>
          <w:p>
            <w:pPr>
              <w:spacing w:after="0" w:line="250"/>
            </w:pPr>
            <w:r>
              <w:rPr>
                <w:b/>
                <w:bCs/>
                <w:color w:val="1F3A5F"/>
                <w:sz w:val="19"/>
                <w:szCs w:val="19"/>
              </w:rPr>
              <w:t xml:space="preserve">With a secure MCP platform</w:t>
            </w:r>
          </w:p>
        </w:tc>
      </w:tr>
      <w:tr>
        <w:tc>
          <w:tcPr>
            <w:tcW w:type="dxa" w:w="150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Discovery</w:t>
            </w:r>
          </w:p>
        </w:tc>
        <w:tc>
          <w:tcPr>
            <w:tcW w:type="dxa" w:w="4063"/>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Consumers must read documentation and know in advance what exists and where to find it.</w:t>
            </w:r>
          </w:p>
        </w:tc>
        <w:tc>
          <w:tcPr>
            <w:tcW w:type="dxa" w:w="3463"/>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Agents discover available data, tools and definitions at the moment of asking.</w:t>
            </w:r>
          </w:p>
        </w:tc>
      </w:tr>
      <w:tr>
        <w:tc>
          <w:tcPr>
            <w:tcW w:type="dxa" w:w="150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Integration effort</w:t>
            </w:r>
          </w:p>
        </w:tc>
        <w:tc>
          <w:tcPr>
            <w:tcW w:type="dxa" w:w="4063"/>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Each consumer builds and maintains a bespoke integration; effort is duplicated across the system.</w:t>
            </w:r>
          </w:p>
        </w:tc>
        <w:tc>
          <w:tcPr>
            <w:tcW w:type="dxa" w:w="3463"/>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One standard interface; connect once and reuse across many agents and organisations.</w:t>
            </w:r>
          </w:p>
        </w:tc>
      </w:tr>
      <w:tr>
        <w:tc>
          <w:tcPr>
            <w:tcW w:type="dxa" w:w="150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Meaning and context</w:t>
            </w:r>
          </w:p>
        </w:tc>
        <w:tc>
          <w:tcPr>
            <w:tcW w:type="dxa" w:w="4063"/>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Metadata often travels separately from data, creating a real risk of misinterpretation.</w:t>
            </w:r>
          </w:p>
        </w:tc>
        <w:tc>
          <w:tcPr>
            <w:tcW w:type="dxa" w:w="3463"/>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Definitions, provenance and quality are returned with the data so it is interpreted and cited correctly.</w:t>
            </w:r>
          </w:p>
        </w:tc>
      </w:tr>
      <w:tr>
        <w:tc>
          <w:tcPr>
            <w:tcW w:type="dxa" w:w="150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Access control</w:t>
            </w:r>
          </w:p>
        </w:tc>
        <w:tc>
          <w:tcPr>
            <w:tcW w:type="dxa" w:w="4063"/>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Varies by API; portals are often all-or-nothing; manual requests are slow to adjudicate.</w:t>
            </w:r>
          </w:p>
        </w:tc>
        <w:tc>
          <w:tcPr>
            <w:tcW w:type="dxa" w:w="3463"/>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Fine-grained, identity- and purpose-aware authorisation enforced centrally; default deny.</w:t>
            </w:r>
          </w:p>
        </w:tc>
      </w:tr>
      <w:tr>
        <w:tc>
          <w:tcPr>
            <w:tcW w:type="dxa" w:w="150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Auditability</w:t>
            </w:r>
          </w:p>
        </w:tc>
        <w:tc>
          <w:tcPr>
            <w:tcW w:type="dxa" w:w="4063"/>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Logging is inconsistent across channels; manual requests sit in email trails.</w:t>
            </w:r>
          </w:p>
        </w:tc>
        <w:tc>
          <w:tcPr>
            <w:tcW w:type="dxa" w:w="3463"/>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Every request, tool call and response is logged to a single, consistent standard.</w:t>
            </w:r>
          </w:p>
        </w:tc>
      </w:tr>
      <w:tr>
        <w:tc>
          <w:tcPr>
            <w:tcW w:type="dxa" w:w="150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Speed to insight</w:t>
            </w:r>
          </w:p>
        </w:tc>
        <w:tc>
          <w:tcPr>
            <w:tcW w:type="dxa" w:w="4063"/>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Days to weeks for manual or bespoke routes.</w:t>
            </w:r>
          </w:p>
        </w:tc>
        <w:tc>
          <w:tcPr>
            <w:tcW w:type="dxa" w:w="3463"/>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Seconds to minutes for approved questions, within policy.</w:t>
            </w:r>
          </w:p>
        </w:tc>
      </w:tr>
      <w:tr>
        <w:tc>
          <w:tcPr>
            <w:tcW w:type="dxa" w:w="150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Human oversight</w:t>
            </w:r>
          </w:p>
        </w:tc>
        <w:tc>
          <w:tcPr>
            <w:tcW w:type="dxa" w:w="4063"/>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Implicit and uneven.</w:t>
            </w:r>
          </w:p>
        </w:tc>
        <w:tc>
          <w:tcPr>
            <w:tcW w:type="dxa" w:w="3463"/>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Explicit approval gates for sensitive or high-impact actions.</w:t>
            </w:r>
          </w:p>
        </w:tc>
      </w:tr>
    </w:tbl>
    <w:p>
      <w:pPr>
        <w:pStyle w:val="Heading1"/>
      </w:pPr>
      <w:r>
        <w:t xml:space="preserve">5. Customer and cross-government use cases</w:t>
      </w:r>
    </w:p>
    <w:p>
      <w:pPr>
        <w:spacing w:after="160" w:line="276"/>
        <w:jc w:val="both"/>
      </w:pPr>
      <w:r>
        <w:t xml:space="preserve">The value is easiest to see through concrete scenarios. In every case the agent retrieves only approved data, interprets the accompanying metadata, generates insight strictly within policy, and cites the authoritative source.</w:t>
      </w:r>
    </w:p>
    <w:p>
      <w:pPr>
        <w:pStyle w:val="ListParagraph"/>
        <w:numPr>
          <w:ilvl w:val="0"/>
          <w:numId w:val="2"/>
        </w:numPr>
        <w:spacing w:after="110" w:line="270"/>
      </w:pPr>
      <w:r>
        <w:rPr>
          <w:b/>
          <w:bCs/>
        </w:rPr>
        <w:t xml:space="preserve">Citizen-facing assistant (our channels) — </w:t>
      </w:r>
      <w:r>
        <w:t xml:space="preserve">a member of the public asks an assistant, “what was inflation last quarter and how does it compare with a year ago?” The agent returns the approved figure, the precise definition and period, and a citation to the authoritative release — never a guessed or out-of-date number.</w:t>
      </w:r>
    </w:p>
    <w:p>
      <w:pPr>
        <w:pStyle w:val="ListParagraph"/>
        <w:numPr>
          <w:ilvl w:val="0"/>
          <w:numId w:val="2"/>
        </w:numPr>
        <w:spacing w:after="110" w:line="270"/>
      </w:pPr>
      <w:r>
        <w:rPr>
          <w:b/>
          <w:bCs/>
        </w:rPr>
        <w:t xml:space="preserve">Analysts in other departments — </w:t>
      </w:r>
      <w:r>
        <w:t xml:space="preserve">a policy analyst’s agent assembles an approved cross-government evidence pack — say, regional economic indicators — in minutes, drawing only on data the analyst is cleared to see, with provenance attached to every figure.</w:t>
      </w:r>
    </w:p>
    <w:p>
      <w:pPr>
        <w:pStyle w:val="ListParagraph"/>
        <w:numPr>
          <w:ilvl w:val="0"/>
          <w:numId w:val="2"/>
        </w:numPr>
        <w:spacing w:after="110" w:line="270"/>
      </w:pPr>
      <w:r>
        <w:rPr>
          <w:b/>
          <w:bCs/>
        </w:rPr>
        <w:t xml:space="preserve">Local government and public bodies — </w:t>
      </w:r>
      <w:r>
        <w:t xml:space="preserve">councils reuse standard indicators for local planning through the same governed interface, without commissioning a bespoke integration each time.</w:t>
      </w:r>
    </w:p>
    <w:p>
      <w:pPr>
        <w:pStyle w:val="ListParagraph"/>
        <w:numPr>
          <w:ilvl w:val="0"/>
          <w:numId w:val="2"/>
        </w:numPr>
        <w:spacing w:after="110" w:line="270"/>
      </w:pPr>
      <w:r>
        <w:rPr>
          <w:b/>
          <w:bCs/>
        </w:rPr>
        <w:t xml:space="preserve">Approved external partners and accredited researchers — </w:t>
      </w:r>
      <w:r>
        <w:t xml:space="preserve">a purpose-bound, fully audited channel complements the secure research environment, preserving the Five Safes while removing friction for legitimate, approved use.</w:t>
      </w:r>
    </w:p>
    <w:p>
      <w:pPr>
        <w:pStyle w:val="ListParagraph"/>
        <w:numPr>
          <w:ilvl w:val="0"/>
          <w:numId w:val="2"/>
        </w:numPr>
        <w:spacing w:after="110" w:line="270"/>
      </w:pPr>
      <w:r>
        <w:rPr>
          <w:b/>
          <w:bCs/>
        </w:rPr>
        <w:t xml:space="preserve">Internal productivity — </w:t>
      </w:r>
      <w:r>
        <w:t xml:space="preserve">our own analysts use agents to navigate the catalogue, accelerate routine analysis and quality-assure outputs — a low-risk way to realise value first, behind our own walls.</w:t>
      </w:r>
    </w:p>
    <w:p>
      <w:pPr>
        <w:spacing w:after="160" w:line="276"/>
        <w:jc w:val="both"/>
      </w:pPr>
      <w:r>
        <w:t xml:space="preserve">These are deliberately incremental. None requires exposing sensitive data to begin delivering value, and each can be switched on independently as assurance allows.</w:t>
      </w:r>
    </w:p>
    <w:p>
      <w:pPr>
        <w:pStyle w:val="Heading1"/>
      </w:pPr>
      <w:r>
        <w:t xml:space="preserve">6. Security, governance and responsible AI</w:t>
      </w:r>
    </w:p>
    <w:p>
      <w:pPr>
        <w:spacing w:after="160" w:line="276"/>
        <w:jc w:val="both"/>
      </w:pPr>
      <w:r>
        <w:t xml:space="preserve">A platform that lets autonomous software reach trusted data must be secure and governable by design. Our model is built on zero-trust and least-privilege principles, aligns with the National Cyber Security Centre’s Guidelines for Secure AI System Development and Machine Learning Principles, and operates within the AI Playbook for Government, UK GDPR and the Data Protection Act 2018, the Government Security Classifications, and the established Five Safes framework. Access is never granted by default; it is earned by identity, authorisation and approved purpose, and it is continuously verified.</w:t>
      </w:r>
    </w:p>
    <w:p>
      <w:pPr>
        <w:pStyle w:val="Heading2"/>
      </w:pPr>
      <w:r>
        <w:t xml:space="preserve">Access is limited by identity, organisation, agent, sensitivity and purpose</w:t>
      </w:r>
    </w:p>
    <w:p>
      <w:pPr>
        <w:spacing w:after="160" w:line="276"/>
        <w:jc w:val="both"/>
      </w:pPr>
      <w:r>
        <w:t xml:space="preserve">Every access decision is the product of five factors taken together: who the user is, which organisation they belong to, which specific AI agent is acting, the classification and sensitivity of the data requested, and the approved purpose for which it may be used. The same person may receive a richer answer through an accredited internal agent than through a public one; the same agent may be permitted a dataset for one purpose and refused it for another. Policy is enforced centrally at the gateway, not re-implemented inconsistently in each tool.</w:t>
      </w:r>
    </w:p>
    <w:p>
      <w:pPr>
        <w:pStyle w:val="Heading2"/>
      </w:pPr>
      <w:r>
        <w:t xml:space="preserve">The security model</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3150"/>
        <w:gridCol w:w="3826"/>
      </w:tblGrid>
      <w:tr>
        <w:trPr>
          <w:tblHeader/>
        </w:trPr>
        <w:tc>
          <w:tcPr>
            <w:tcW w:type="dxa" w:w="2050"/>
            <w:tcBorders>
              <w:top w:val="single" w:color="BFCEDF" w:sz="1"/>
              <w:left w:val="single" w:color="BFCEDF" w:sz="1"/>
              <w:bottom w:val="single" w:color="BFCEDF" w:sz="1"/>
              <w:right w:val="single" w:color="BFCEDF" w:sz="1"/>
            </w:tcBorders>
            <w:shd w:fill="DCE6F1" w:color="auto" w:val="clear"/>
            <w:tcMar>
              <w:top w:type="dxa" w:w="70"/>
              <w:left w:type="dxa" w:w="110"/>
              <w:bottom w:type="dxa" w:w="70"/>
              <w:right w:type="dxa" w:w="110"/>
            </w:tcMar>
            <w:vAlign w:val="top"/>
          </w:tcPr>
          <w:p>
            <w:pPr>
              <w:spacing w:after="0" w:line="250"/>
            </w:pPr>
            <w:r>
              <w:rPr>
                <w:b/>
                <w:bCs/>
                <w:color w:val="1F3A5F"/>
                <w:sz w:val="19"/>
                <w:szCs w:val="19"/>
              </w:rPr>
              <w:t xml:space="preserve">Control area</w:t>
            </w:r>
          </w:p>
        </w:tc>
        <w:tc>
          <w:tcPr>
            <w:tcW w:type="dxa" w:w="3150"/>
            <w:tcBorders>
              <w:top w:val="single" w:color="BFCEDF" w:sz="1"/>
              <w:left w:val="single" w:color="BFCEDF" w:sz="1"/>
              <w:bottom w:val="single" w:color="BFCEDF" w:sz="1"/>
              <w:right w:val="single" w:color="BFCEDF" w:sz="1"/>
            </w:tcBorders>
            <w:shd w:fill="DCE6F1" w:color="auto" w:val="clear"/>
            <w:tcMar>
              <w:top w:type="dxa" w:w="70"/>
              <w:left w:type="dxa" w:w="110"/>
              <w:bottom w:type="dxa" w:w="70"/>
              <w:right w:type="dxa" w:w="110"/>
            </w:tcMar>
            <w:vAlign w:val="top"/>
          </w:tcPr>
          <w:p>
            <w:pPr>
              <w:spacing w:after="0" w:line="250"/>
            </w:pPr>
            <w:r>
              <w:rPr>
                <w:b/>
                <w:bCs/>
                <w:color w:val="1F3A5F"/>
                <w:sz w:val="19"/>
                <w:szCs w:val="19"/>
              </w:rPr>
              <w:t xml:space="preserve">What it means</w:t>
            </w:r>
          </w:p>
        </w:tc>
        <w:tc>
          <w:tcPr>
            <w:tcW w:type="dxa" w:w="3826"/>
            <w:tcBorders>
              <w:top w:val="single" w:color="BFCEDF" w:sz="1"/>
              <w:left w:val="single" w:color="BFCEDF" w:sz="1"/>
              <w:bottom w:val="single" w:color="BFCEDF" w:sz="1"/>
              <w:right w:val="single" w:color="BFCEDF" w:sz="1"/>
            </w:tcBorders>
            <w:shd w:fill="DCE6F1" w:color="auto" w:val="clear"/>
            <w:tcMar>
              <w:top w:type="dxa" w:w="70"/>
              <w:left w:type="dxa" w:w="110"/>
              <w:bottom w:type="dxa" w:w="70"/>
              <w:right w:type="dxa" w:w="110"/>
            </w:tcMar>
            <w:vAlign w:val="top"/>
          </w:tcPr>
          <w:p>
            <w:pPr>
              <w:spacing w:after="0" w:line="250"/>
            </w:pPr>
            <w:r>
              <w:rPr>
                <w:b/>
                <w:bCs/>
                <w:color w:val="1F3A5F"/>
                <w:sz w:val="19"/>
                <w:szCs w:val="19"/>
              </w:rPr>
              <w:t xml:space="preserve">How we implement it</w:t>
            </w:r>
          </w:p>
        </w:tc>
      </w:tr>
      <w:tr>
        <w:tc>
          <w:tcPr>
            <w:tcW w:type="dxa" w:w="205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Identity &amp; authentication</w:t>
            </w:r>
          </w:p>
        </w:tc>
        <w:tc>
          <w:tcPr>
            <w:tcW w:type="dxa" w:w="315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Every user, organisation and agent is known and verifiable; no anonymous access.</w:t>
            </w:r>
          </w:p>
        </w:tc>
        <w:tc>
          <w:tcPr>
            <w:tcW w:type="dxa" w:w="3826"/>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Strong authentication via OAuth 2.0 / OpenID Connect; agents are registered, named and credentialed with short-lived tokens.</w:t>
            </w:r>
          </w:p>
        </w:tc>
      </w:tr>
      <w:tr>
        <w:tc>
          <w:tcPr>
            <w:tcW w:type="dxa" w:w="205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Authorisation &amp; least privilege</w:t>
            </w:r>
          </w:p>
        </w:tc>
        <w:tc>
          <w:tcPr>
            <w:tcW w:type="dxa" w:w="315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Actors receive the minimum access their approved task requires.</w:t>
            </w:r>
          </w:p>
        </w:tc>
        <w:tc>
          <w:tcPr>
            <w:tcW w:type="dxa" w:w="3826"/>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Default-deny policy combining identity, organisation, agent, data classification and purpose; centrally enforced and reviewable.</w:t>
            </w:r>
          </w:p>
        </w:tc>
      </w:tr>
      <w:tr>
        <w:tc>
          <w:tcPr>
            <w:tcW w:type="dxa" w:w="205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Zero trust &amp; encryption</w:t>
            </w:r>
          </w:p>
        </w:tc>
        <w:tc>
          <w:tcPr>
            <w:tcW w:type="dxa" w:w="315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No implicit trust; data protected in transit and at rest.</w:t>
            </w:r>
          </w:p>
        </w:tc>
        <w:tc>
          <w:tcPr>
            <w:tcW w:type="dxa" w:w="3826"/>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Continuous verification, network segmentation, encryption throughout, and least-privilege service identities.</w:t>
            </w:r>
          </w:p>
        </w:tc>
      </w:tr>
      <w:tr>
        <w:tc>
          <w:tcPr>
            <w:tcW w:type="dxa" w:w="205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Data minimisation &amp; disclosure control</w:t>
            </w:r>
          </w:p>
        </w:tc>
        <w:tc>
          <w:tcPr>
            <w:tcW w:type="dxa" w:w="315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Agents see approved, aggregated outputs only.</w:t>
            </w:r>
          </w:p>
        </w:tc>
        <w:tc>
          <w:tcPr>
            <w:tcW w:type="dxa" w:w="3826"/>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Statistical disclosure control applied; raw microdata never exposed through this channel; data-loss-prevention checks on responses.</w:t>
            </w:r>
          </w:p>
        </w:tc>
      </w:tr>
      <w:tr>
        <w:tc>
          <w:tcPr>
            <w:tcW w:type="dxa" w:w="205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Audit, logging &amp; monitoring</w:t>
            </w:r>
          </w:p>
        </w:tc>
        <w:tc>
          <w:tcPr>
            <w:tcW w:type="dxa" w:w="315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Everything is recorded and watched.</w:t>
            </w:r>
          </w:p>
        </w:tc>
        <w:tc>
          <w:tcPr>
            <w:tcW w:type="dxa" w:w="3826"/>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Tamper-evident logs of every request, tool call and response; anomaly detection and alerting; logs support records and FOI obligations.</w:t>
            </w:r>
          </w:p>
        </w:tc>
      </w:tr>
      <w:tr>
        <w:tc>
          <w:tcPr>
            <w:tcW w:type="dxa" w:w="205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Human approval controls</w:t>
            </w:r>
          </w:p>
        </w:tc>
        <w:tc>
          <w:tcPr>
            <w:tcW w:type="dxa" w:w="315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People stay in control of consequential actions.</w:t>
            </w:r>
          </w:p>
        </w:tc>
        <w:tc>
          <w:tcPr>
            <w:tcW w:type="dxa" w:w="3826"/>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Explicit human authorisation required for sensitive or high-impact requests; meaningful human control retained throughout.</w:t>
            </w:r>
          </w:p>
        </w:tc>
      </w:tr>
      <w:tr>
        <w:tc>
          <w:tcPr>
            <w:tcW w:type="dxa" w:w="205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Prompt-injection &amp; tool-misuse defence</w:t>
            </w:r>
          </w:p>
        </w:tc>
        <w:tc>
          <w:tcPr>
            <w:tcW w:type="dxa" w:w="315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Agent instructions cannot be hijacked to exfiltrate or act beyond scope.</w:t>
            </w:r>
          </w:p>
        </w:tc>
        <w:tc>
          <w:tcPr>
            <w:tcW w:type="dxa" w:w="3826"/>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Untrusted-input handling, strict input/output validation, narrowly scoped allow-listed tools, sandboxing, rate limiting and red-teaming.</w:t>
            </w:r>
          </w:p>
        </w:tc>
      </w:tr>
    </w:tbl>
    <w:p>
      <w:pPr>
        <w:pStyle w:val="Heading2"/>
      </w:pPr>
      <w:r>
        <w:t xml:space="preserve">Defending against the defining new risk</w:t>
      </w:r>
    </w:p>
    <w:p>
      <w:pPr>
        <w:spacing w:after="160" w:line="276"/>
        <w:jc w:val="both"/>
      </w:pPr>
      <w:r>
        <w:t xml:space="preserve">The headline security concern in AI systems is not a traditional breach but manipulation of the agent itself. The OWASP Top 10 for Large Language Model Applications ranks prompt injection — hostile instructions hidden in the content an agent reads — as the number-one risk, and highlights “excessive agency,” where an agent is given more tools, permissions or autonomy than its task needs. We design these risks out: all agent input is treated as untrusted; tools are deliberately narrow and well-defined rather than open-ended; each agent receives only an allow-listed set of capabilities; and no tool can perform broad or irreversible actions without human approval. This is the practical meaning of least privilege for autonomous software.</w:t>
      </w:r>
    </w:p>
    <w:p>
      <w:pPr>
        <w:pStyle w:val="Heading2"/>
      </w:pPr>
      <w:r>
        <w:t xml:space="preserve">Trusted metadata, provenance, quality, versioning and citation</w:t>
      </w:r>
    </w:p>
    <w:p>
      <w:pPr>
        <w:spacing w:after="160" w:line="276"/>
        <w:jc w:val="both"/>
      </w:pPr>
      <w:r>
        <w:t xml:space="preserve">Authoritative metadata is a first-class feature of the platform, not an afterthought. Every response carries the definition, coverage, quality indicators, version and a citation to the source release. This serves two purposes at once: it lets agents interpret figures correctly, and it is a direct control against misinformation — an answer that cannot cite an authoritative source is not returned. In an AI-mediated information environment, verifiable provenance is one of the most valuable things we can provide.</w:t>
      </w:r>
    </w:p>
    <w:p>
      <w:pPr>
        <w:pStyle w:val="Heading2"/>
      </w:pPr>
      <w:r>
        <w:t xml:space="preserve">Privacy, ethics, transparency, accessibility, records and compliance</w:t>
      </w:r>
    </w:p>
    <w:p>
      <w:pPr>
        <w:spacing w:after="160" w:line="276"/>
        <w:jc w:val="both"/>
      </w:pPr>
      <w:r>
        <w:t xml:space="preserve">The platform is designed to meet the full breadth of public-sector obligations. Data-protection impact assessments and an established ethics review (in the tradition of the National Statistician’s data-ethics advisory arrangements) govern what agents may access. We are transparent about the platform’s capabilities and limits. Any customer-facing surface meets accessibility requirements under WCAG 2.2 and the Equality Act 2010. Audit logs and outputs are managed as public records under the Public Records Act and guidance from The National Archives. The whole is aligned with the Code of Practice for Statistics, the Technology Code of Practice and the cross-government Service Standard.</w:t>
      </w:r>
    </w:p>
    <w:p>
      <w:pPr>
        <w:pStyle w:val="Heading2"/>
      </w:pPr>
      <w:r>
        <w:t xml:space="preserve">Operating and governance model</w:t>
      </w:r>
    </w:p>
    <w:p>
      <w:pPr>
        <w:spacing w:after="160" w:line="276"/>
        <w:jc w:val="both"/>
      </w:pPr>
      <w:r>
        <w:t xml:space="preserve">To run this as a service rather than an experiment, we propose clear ownership and lifecycle discipline. A Senior Responsible Owner and a dedicated product team own the platform. Every MCP server and tool is accredited and assured before it goes live, and recorded in a register of approved tools. A defined onboarding process admits consuming organisations and agents. Service management provides support and service levels, and lifecycle management governs versioning, deprecation and secure decommissioning of servers and tools. Governance is a standing function — security, information governance, ethics, data and architecture represented together.</w:t>
      </w:r>
    </w:p>
    <w:p>
      <w:pPr>
        <w:pStyle w:val="Heading2"/>
      </w:pPr>
      <w:r>
        <w:t xml:space="preserve">Collaboration and shared standards</w:t>
      </w:r>
    </w:p>
    <w:p>
      <w:pPr>
        <w:spacing w:after="160" w:line="276"/>
        <w:jc w:val="both"/>
      </w:pPr>
      <w:r>
        <w:t xml:space="preserve">We should build this with, and for, the rest of government. That means aligning with the Data Standards Authority and the cross-government API community, adopting the OpenAPI and OAuth 2.0 conventions already recommended for public-sector APIs, publishing our patterns for reuse, and engaging with the vendor-neutral MCP governance body. The ambition is shared standards and reusable tools across government — not another island of bespoke capability.</w:t>
      </w:r>
    </w:p>
    <w:p>
      <w:pPr>
        <w:pStyle w:val="Heading1"/>
      </w:pPr>
      <w:r>
        <w:t xml:space="preserve">7. Benefits and measurable outcomes</w:t>
      </w:r>
    </w:p>
    <w:p>
      <w:pPr>
        <w:spacing w:after="160" w:line="276"/>
        <w:jc w:val="both"/>
      </w:pPr>
      <w:r>
        <w:t xml:space="preserve">The programme is designed to deliver measurable value, not just capability. Beyond the qualitative gains — a stronger trusted-provider role, a better customer experience and a more future-proof organisation — we propose to commit to and report against the following outcomes. Baselines and final targets will be set during Phase 0 and Phase 1; the figures below are indicative.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63"/>
        <w:gridCol w:w="2763"/>
      </w:tblGrid>
      <w:tr>
        <w:trPr>
          <w:tblHeader/>
        </w:trPr>
        <w:tc>
          <w:tcPr>
            <w:tcW w:type="dxa" w:w="2400"/>
            <w:tcBorders>
              <w:top w:val="single" w:color="BFCEDF" w:sz="1"/>
              <w:left w:val="single" w:color="BFCEDF" w:sz="1"/>
              <w:bottom w:val="single" w:color="BFCEDF" w:sz="1"/>
              <w:right w:val="single" w:color="BFCEDF" w:sz="1"/>
            </w:tcBorders>
            <w:shd w:fill="DCE6F1" w:color="auto" w:val="clear"/>
            <w:tcMar>
              <w:top w:type="dxa" w:w="70"/>
              <w:left w:type="dxa" w:w="110"/>
              <w:bottom w:type="dxa" w:w="70"/>
              <w:right w:type="dxa" w:w="110"/>
            </w:tcMar>
            <w:vAlign w:val="top"/>
          </w:tcPr>
          <w:p>
            <w:pPr>
              <w:spacing w:after="0" w:line="250"/>
            </w:pPr>
            <w:r>
              <w:rPr>
                <w:b/>
                <w:bCs/>
                <w:color w:val="1F3A5F"/>
                <w:sz w:val="19"/>
                <w:szCs w:val="19"/>
              </w:rPr>
              <w:t xml:space="preserve">Outcome</w:t>
            </w:r>
          </w:p>
        </w:tc>
        <w:tc>
          <w:tcPr>
            <w:tcW w:type="dxa" w:w="3863"/>
            <w:tcBorders>
              <w:top w:val="single" w:color="BFCEDF" w:sz="1"/>
              <w:left w:val="single" w:color="BFCEDF" w:sz="1"/>
              <w:bottom w:val="single" w:color="BFCEDF" w:sz="1"/>
              <w:right w:val="single" w:color="BFCEDF" w:sz="1"/>
            </w:tcBorders>
            <w:shd w:fill="DCE6F1" w:color="auto" w:val="clear"/>
            <w:tcMar>
              <w:top w:type="dxa" w:w="70"/>
              <w:left w:type="dxa" w:w="110"/>
              <w:bottom w:type="dxa" w:w="70"/>
              <w:right w:type="dxa" w:w="110"/>
            </w:tcMar>
            <w:vAlign w:val="top"/>
          </w:tcPr>
          <w:p>
            <w:pPr>
              <w:spacing w:after="0" w:line="250"/>
            </w:pPr>
            <w:r>
              <w:rPr>
                <w:b/>
                <w:bCs/>
                <w:color w:val="1F3A5F"/>
                <w:sz w:val="19"/>
                <w:szCs w:val="19"/>
              </w:rPr>
              <w:t xml:space="preserve">Measure</w:t>
            </w:r>
          </w:p>
        </w:tc>
        <w:tc>
          <w:tcPr>
            <w:tcW w:type="dxa" w:w="2763"/>
            <w:tcBorders>
              <w:top w:val="single" w:color="BFCEDF" w:sz="1"/>
              <w:left w:val="single" w:color="BFCEDF" w:sz="1"/>
              <w:bottom w:val="single" w:color="BFCEDF" w:sz="1"/>
              <w:right w:val="single" w:color="BFCEDF" w:sz="1"/>
            </w:tcBorders>
            <w:shd w:fill="DCE6F1" w:color="auto" w:val="clear"/>
            <w:tcMar>
              <w:top w:type="dxa" w:w="70"/>
              <w:left w:type="dxa" w:w="110"/>
              <w:bottom w:type="dxa" w:w="70"/>
              <w:right w:type="dxa" w:w="110"/>
            </w:tcMar>
            <w:vAlign w:val="top"/>
          </w:tcPr>
          <w:p>
            <w:pPr>
              <w:spacing w:after="0" w:line="250"/>
            </w:pPr>
            <w:r>
              <w:rPr>
                <w:b/>
                <w:bCs/>
                <w:color w:val="1F3A5F"/>
                <w:sz w:val="19"/>
                <w:szCs w:val="19"/>
              </w:rPr>
              <w:t xml:space="preserve">Indicative target</w:t>
            </w:r>
          </w:p>
        </w:tc>
      </w:tr>
      <w:tr>
        <w:tc>
          <w:tcPr>
            <w:tcW w:type="dxa" w:w="240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Reduced integration effort</w:t>
            </w:r>
          </w:p>
        </w:tc>
        <w:tc>
          <w:tcPr>
            <w:tcW w:type="dxa" w:w="3863"/>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Time and cost to onboard a new data consumer.</w:t>
            </w:r>
          </w:p>
        </w:tc>
        <w:tc>
          <w:tcPr>
            <w:tcW w:type="dxa" w:w="2763"/>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From weeks to days; bespoke builds materially reduced.</w:t>
            </w:r>
          </w:p>
        </w:tc>
      </w:tr>
      <w:tr>
        <w:tc>
          <w:tcPr>
            <w:tcW w:type="dxa" w:w="240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Faster access to insight</w:t>
            </w:r>
          </w:p>
        </w:tc>
        <w:tc>
          <w:tcPr>
            <w:tcW w:type="dxa" w:w="3863"/>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Median time from question to an approved, cited answer.</w:t>
            </w:r>
          </w:p>
        </w:tc>
        <w:tc>
          <w:tcPr>
            <w:tcW w:type="dxa" w:w="2763"/>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Seconds to minutes for approved queries.</w:t>
            </w:r>
          </w:p>
        </w:tc>
      </w:tr>
      <w:tr>
        <w:tc>
          <w:tcPr>
            <w:tcW w:type="dxa" w:w="240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Improved customer experience</w:t>
            </w:r>
          </w:p>
        </w:tc>
        <w:tc>
          <w:tcPr>
            <w:tcW w:type="dxa" w:w="3863"/>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Task completion and the share of answers carrying an authoritative citation.</w:t>
            </w:r>
          </w:p>
        </w:tc>
        <w:tc>
          <w:tcPr>
            <w:tcW w:type="dxa" w:w="2763"/>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Approaching 100% of answers cite a source.</w:t>
            </w:r>
          </w:p>
        </w:tc>
      </w:tr>
      <w:tr>
        <w:tc>
          <w:tcPr>
            <w:tcW w:type="dxa" w:w="240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Increased reuse</w:t>
            </w:r>
          </w:p>
        </w:tc>
        <w:tc>
          <w:tcPr>
            <w:tcW w:type="dxa" w:w="3863"/>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Number of departments, partners and agents reusing the platform and its tools.</w:t>
            </w:r>
          </w:p>
        </w:tc>
        <w:tc>
          <w:tcPr>
            <w:tcW w:type="dxa" w:w="2763"/>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Steady quarter-on-quarter growth.</w:t>
            </w:r>
          </w:p>
        </w:tc>
      </w:tr>
      <w:tr>
        <w:tc>
          <w:tcPr>
            <w:tcW w:type="dxa" w:w="240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Stronger auditability</w:t>
            </w:r>
          </w:p>
        </w:tc>
        <w:tc>
          <w:tcPr>
            <w:tcW w:type="dxa" w:w="3863"/>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Share of agent interactions fully logged; time to produce an access audit.</w:t>
            </w:r>
          </w:p>
        </w:tc>
        <w:tc>
          <w:tcPr>
            <w:tcW w:type="dxa" w:w="2763"/>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100% logged; audits in minutes, not days.</w:t>
            </w:r>
          </w:p>
        </w:tc>
      </w:tr>
      <w:tr>
        <w:tc>
          <w:tcPr>
            <w:tcW w:type="dxa" w:w="240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Lower duplication</w:t>
            </w:r>
          </w:p>
        </w:tc>
        <w:tc>
          <w:tcPr>
            <w:tcW w:type="dxa" w:w="3863"/>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Bespoke integrations retired or avoided; shared tools published.</w:t>
            </w:r>
          </w:p>
        </w:tc>
        <w:tc>
          <w:tcPr>
            <w:tcW w:type="dxa" w:w="2763"/>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Net reduction across onboarded organisations.</w:t>
            </w:r>
          </w:p>
        </w:tc>
      </w:tr>
    </w:tbl>
    <w:p>
      <w:pPr>
        <w:pStyle w:val="Heading1"/>
      </w:pPr>
      <w:r>
        <w:t xml:space="preserve">8. Risks and mitigations</w:t>
      </w:r>
    </w:p>
    <w:p>
      <w:pPr>
        <w:spacing w:after="160" w:line="276"/>
        <w:jc w:val="both"/>
      </w:pPr>
      <w:r>
        <w:t xml:space="preserve">We set out the principal risks honestly, with their mitigations. None is a reason not to proceed; together they are the reason to proceed in the disciplined, phased way we propose.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50"/>
        <w:gridCol w:w="4576"/>
      </w:tblGrid>
      <w:tr>
        <w:trPr>
          <w:tblHeader/>
        </w:trPr>
        <w:tc>
          <w:tcPr>
            <w:tcW w:type="dxa" w:w="3000"/>
            <w:tcBorders>
              <w:top w:val="single" w:color="BFCEDF" w:sz="1"/>
              <w:left w:val="single" w:color="BFCEDF" w:sz="1"/>
              <w:bottom w:val="single" w:color="BFCEDF" w:sz="1"/>
              <w:right w:val="single" w:color="BFCEDF" w:sz="1"/>
            </w:tcBorders>
            <w:shd w:fill="DCE6F1" w:color="auto" w:val="clear"/>
            <w:tcMar>
              <w:top w:type="dxa" w:w="70"/>
              <w:left w:type="dxa" w:w="110"/>
              <w:bottom w:type="dxa" w:w="70"/>
              <w:right w:type="dxa" w:w="110"/>
            </w:tcMar>
            <w:vAlign w:val="top"/>
          </w:tcPr>
          <w:p>
            <w:pPr>
              <w:spacing w:after="0" w:line="250"/>
            </w:pPr>
            <w:r>
              <w:rPr>
                <w:b/>
                <w:bCs/>
                <w:color w:val="1F3A5F"/>
                <w:sz w:val="19"/>
                <w:szCs w:val="19"/>
              </w:rPr>
              <w:t xml:space="preserve">Risk</w:t>
            </w:r>
          </w:p>
        </w:tc>
        <w:tc>
          <w:tcPr>
            <w:tcW w:type="dxa" w:w="1450"/>
            <w:tcBorders>
              <w:top w:val="single" w:color="BFCEDF" w:sz="1"/>
              <w:left w:val="single" w:color="BFCEDF" w:sz="1"/>
              <w:bottom w:val="single" w:color="BFCEDF" w:sz="1"/>
              <w:right w:val="single" w:color="BFCEDF" w:sz="1"/>
            </w:tcBorders>
            <w:shd w:fill="DCE6F1" w:color="auto" w:val="clear"/>
            <w:tcMar>
              <w:top w:type="dxa" w:w="70"/>
              <w:left w:type="dxa" w:w="110"/>
              <w:bottom w:type="dxa" w:w="70"/>
              <w:right w:type="dxa" w:w="110"/>
            </w:tcMar>
            <w:vAlign w:val="top"/>
          </w:tcPr>
          <w:p>
            <w:pPr>
              <w:spacing w:after="0" w:line="250"/>
            </w:pPr>
            <w:r>
              <w:rPr>
                <w:b/>
                <w:bCs/>
                <w:color w:val="1F3A5F"/>
                <w:sz w:val="19"/>
                <w:szCs w:val="19"/>
              </w:rPr>
              <w:t xml:space="preserve">Assessment</w:t>
            </w:r>
          </w:p>
        </w:tc>
        <w:tc>
          <w:tcPr>
            <w:tcW w:type="dxa" w:w="4576"/>
            <w:tcBorders>
              <w:top w:val="single" w:color="BFCEDF" w:sz="1"/>
              <w:left w:val="single" w:color="BFCEDF" w:sz="1"/>
              <w:bottom w:val="single" w:color="BFCEDF" w:sz="1"/>
              <w:right w:val="single" w:color="BFCEDF" w:sz="1"/>
            </w:tcBorders>
            <w:shd w:fill="DCE6F1" w:color="auto" w:val="clear"/>
            <w:tcMar>
              <w:top w:type="dxa" w:w="70"/>
              <w:left w:type="dxa" w:w="110"/>
              <w:bottom w:type="dxa" w:w="70"/>
              <w:right w:type="dxa" w:w="110"/>
            </w:tcMar>
            <w:vAlign w:val="top"/>
          </w:tcPr>
          <w:p>
            <w:pPr>
              <w:spacing w:after="0" w:line="250"/>
            </w:pPr>
            <w:r>
              <w:rPr>
                <w:b/>
                <w:bCs/>
                <w:color w:val="1F3A5F"/>
                <w:sz w:val="19"/>
                <w:szCs w:val="19"/>
              </w:rPr>
              <w:t xml:space="preserve">Mitigation</w:t>
            </w:r>
          </w:p>
        </w:tc>
      </w:tr>
      <w:tr>
        <w:tc>
          <w:tcPr>
            <w:tcW w:type="dxa" w:w="300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Prompt injection / data exfiltration via agents</w:t>
            </w:r>
          </w:p>
        </w:tc>
        <w:tc>
          <w:tcPr>
            <w:tcW w:type="dxa" w:w="145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High impact</w:t>
            </w:r>
          </w:p>
        </w:tc>
        <w:tc>
          <w:tcPr>
            <w:tcW w:type="dxa" w:w="4576"/>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Untrusted-input handling, narrow allow-listed tools, output DLP, human approval and routine red-teaming.</w:t>
            </w:r>
          </w:p>
        </w:tc>
      </w:tr>
      <w:tr>
        <w:tc>
          <w:tcPr>
            <w:tcW w:type="dxa" w:w="300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Over-permissioned agents (excessive agency)</w:t>
            </w:r>
          </w:p>
        </w:tc>
        <w:tc>
          <w:tcPr>
            <w:tcW w:type="dxa" w:w="145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Medium–high</w:t>
            </w:r>
          </w:p>
        </w:tc>
        <w:tc>
          <w:tcPr>
            <w:tcW w:type="dxa" w:w="4576"/>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Least privilege, default-deny, tightly scoped tools and no open-ended or irreversible actions.</w:t>
            </w:r>
          </w:p>
        </w:tc>
      </w:tr>
      <w:tr>
        <w:tc>
          <w:tcPr>
            <w:tcW w:type="dxa" w:w="300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Misinterpretation or misinformation</w:t>
            </w:r>
          </w:p>
        </w:tc>
        <w:tc>
          <w:tcPr>
            <w:tcW w:type="dxa" w:w="145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Medium</w:t>
            </w:r>
          </w:p>
        </w:tc>
        <w:tc>
          <w:tcPr>
            <w:tcW w:type="dxa" w:w="4576"/>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Metadata and citation returned by default; disclosure control; only pre-approved analytical functions.</w:t>
            </w:r>
          </w:p>
        </w:tc>
      </w:tr>
      <w:tr>
        <w:tc>
          <w:tcPr>
            <w:tcW w:type="dxa" w:w="300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Identity spoofing / credential compromise</w:t>
            </w:r>
          </w:p>
        </w:tc>
        <w:tc>
          <w:tcPr>
            <w:tcW w:type="dxa" w:w="145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Medium–high</w:t>
            </w:r>
          </w:p>
        </w:tc>
        <w:tc>
          <w:tcPr>
            <w:tcW w:type="dxa" w:w="4576"/>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Strong authentication, short-lived credentials, monitoring and rapid revocation.</w:t>
            </w:r>
          </w:p>
        </w:tc>
      </w:tr>
      <w:tr>
        <w:tc>
          <w:tcPr>
            <w:tcW w:type="dxa" w:w="300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Standard immaturity or vendor change</w:t>
            </w:r>
          </w:p>
        </w:tc>
        <w:tc>
          <w:tcPr>
            <w:tcW w:type="dxa" w:w="145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Medium</w:t>
            </w:r>
          </w:p>
        </w:tc>
        <w:tc>
          <w:tcPr>
            <w:tcW w:type="dxa" w:w="4576"/>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Open standard under vendor-neutral governance; an abstraction layer to avoid lock-in.</w:t>
            </w:r>
          </w:p>
        </w:tc>
      </w:tr>
      <w:tr>
        <w:tc>
          <w:tcPr>
            <w:tcW w:type="dxa" w:w="300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Programme over-reach or cost</w:t>
            </w:r>
          </w:p>
        </w:tc>
        <w:tc>
          <w:tcPr>
            <w:tcW w:type="dxa" w:w="145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Medium</w:t>
            </w:r>
          </w:p>
        </w:tc>
        <w:tc>
          <w:tcPr>
            <w:tcW w:type="dxa" w:w="4576"/>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Stage-gated delivery, start on public data, explicit value metrics and clear stop/continue criteria.</w:t>
            </w:r>
          </w:p>
        </w:tc>
      </w:tr>
      <w:tr>
        <w:tc>
          <w:tcPr>
            <w:tcW w:type="dxa" w:w="300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Reputational risk from a public-facing error</w:t>
            </w:r>
          </w:p>
        </w:tc>
        <w:tc>
          <w:tcPr>
            <w:tcW w:type="dxa" w:w="145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Medium–high</w:t>
            </w:r>
          </w:p>
        </w:tc>
        <w:tc>
          <w:tcPr>
            <w:tcW w:type="dxa" w:w="4576"/>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Begin internal and low-risk, human-in-the-loop, phased exposure and visible citations.</w:t>
            </w:r>
          </w:p>
        </w:tc>
      </w:tr>
      <w:tr>
        <w:tc>
          <w:tcPr>
            <w:tcW w:type="dxa" w:w="300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Capability and resourcing gaps</w:t>
            </w:r>
          </w:p>
        </w:tc>
        <w:tc>
          <w:tcPr>
            <w:tcW w:type="dxa" w:w="145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Medium</w:t>
            </w:r>
          </w:p>
        </w:tc>
        <w:tc>
          <w:tcPr>
            <w:tcW w:type="dxa" w:w="4576"/>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A small expert team, reuse of cross-government patterns and selective partnering.</w:t>
            </w:r>
          </w:p>
        </w:tc>
      </w:tr>
    </w:tbl>
    <w:p>
      <w:pPr>
        <w:spacing w:after="160" w:line="276"/>
        <w:jc w:val="both"/>
      </w:pPr>
      <w:r>
        <w:t xml:space="preserve">Key dependencies include our identity and access infrastructure, the data platform and catalogue, information-governance and ethics sign-off, NCSC-aligned security assurance, and supporting tooling. Each is identified early and built into the phase gates.</w:t>
      </w:r>
    </w:p>
    <w:p>
      <w:pPr>
        <w:pStyle w:val="Heading1"/>
      </w:pPr>
      <w:r>
        <w:t xml:space="preserve">9. Phased implementation roadmap</w:t>
      </w:r>
    </w:p>
    <w:p>
      <w:pPr>
        <w:spacing w:after="160" w:line="276"/>
        <w:jc w:val="both"/>
      </w:pPr>
      <w:r>
        <w:t xml:space="preserve">Delivery is deliberately incremental and reversible. We never begin with sensitive data, and we do not progress to the next phase until the current one has passed its security, governance and value gate.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4076"/>
        <w:gridCol w:w="2100"/>
      </w:tblGrid>
      <w:tr>
        <w:trPr>
          <w:tblHeader/>
        </w:trPr>
        <w:tc>
          <w:tcPr>
            <w:tcW w:type="dxa" w:w="1700"/>
            <w:tcBorders>
              <w:top w:val="single" w:color="BFCEDF" w:sz="1"/>
              <w:left w:val="single" w:color="BFCEDF" w:sz="1"/>
              <w:bottom w:val="single" w:color="BFCEDF" w:sz="1"/>
              <w:right w:val="single" w:color="BFCEDF" w:sz="1"/>
            </w:tcBorders>
            <w:shd w:fill="DCE6F1" w:color="auto" w:val="clear"/>
            <w:tcMar>
              <w:top w:type="dxa" w:w="70"/>
              <w:left w:type="dxa" w:w="110"/>
              <w:bottom w:type="dxa" w:w="70"/>
              <w:right w:type="dxa" w:w="110"/>
            </w:tcMar>
            <w:vAlign w:val="top"/>
          </w:tcPr>
          <w:p>
            <w:pPr>
              <w:spacing w:after="0" w:line="250"/>
            </w:pPr>
            <w:r>
              <w:rPr>
                <w:b/>
                <w:bCs/>
                <w:color w:val="1F3A5F"/>
                <w:sz w:val="19"/>
                <w:szCs w:val="19"/>
              </w:rPr>
              <w:t xml:space="preserve">Phase</w:t>
            </w:r>
          </w:p>
        </w:tc>
        <w:tc>
          <w:tcPr>
            <w:tcW w:type="dxa" w:w="1150"/>
            <w:tcBorders>
              <w:top w:val="single" w:color="BFCEDF" w:sz="1"/>
              <w:left w:val="single" w:color="BFCEDF" w:sz="1"/>
              <w:bottom w:val="single" w:color="BFCEDF" w:sz="1"/>
              <w:right w:val="single" w:color="BFCEDF" w:sz="1"/>
            </w:tcBorders>
            <w:shd w:fill="DCE6F1" w:color="auto" w:val="clear"/>
            <w:tcMar>
              <w:top w:type="dxa" w:w="70"/>
              <w:left w:type="dxa" w:w="110"/>
              <w:bottom w:type="dxa" w:w="70"/>
              <w:right w:type="dxa" w:w="110"/>
            </w:tcMar>
            <w:vAlign w:val="top"/>
          </w:tcPr>
          <w:p>
            <w:pPr>
              <w:spacing w:after="0" w:line="250"/>
            </w:pPr>
            <w:r>
              <w:rPr>
                <w:b/>
                <w:bCs/>
                <w:color w:val="1F3A5F"/>
                <w:sz w:val="19"/>
                <w:szCs w:val="19"/>
              </w:rPr>
              <w:t xml:space="preserve">Timeframe</w:t>
            </w:r>
          </w:p>
        </w:tc>
        <w:tc>
          <w:tcPr>
            <w:tcW w:type="dxa" w:w="4076"/>
            <w:tcBorders>
              <w:top w:val="single" w:color="BFCEDF" w:sz="1"/>
              <w:left w:val="single" w:color="BFCEDF" w:sz="1"/>
              <w:bottom w:val="single" w:color="BFCEDF" w:sz="1"/>
              <w:right w:val="single" w:color="BFCEDF" w:sz="1"/>
            </w:tcBorders>
            <w:shd w:fill="DCE6F1" w:color="auto" w:val="clear"/>
            <w:tcMar>
              <w:top w:type="dxa" w:w="70"/>
              <w:left w:type="dxa" w:w="110"/>
              <w:bottom w:type="dxa" w:w="70"/>
              <w:right w:type="dxa" w:w="110"/>
            </w:tcMar>
            <w:vAlign w:val="top"/>
          </w:tcPr>
          <w:p>
            <w:pPr>
              <w:spacing w:after="0" w:line="250"/>
            </w:pPr>
            <w:r>
              <w:rPr>
                <w:b/>
                <w:bCs/>
                <w:color w:val="1F3A5F"/>
                <w:sz w:val="19"/>
                <w:szCs w:val="19"/>
              </w:rPr>
              <w:t xml:space="preserve">Scope</w:t>
            </w:r>
          </w:p>
        </w:tc>
        <w:tc>
          <w:tcPr>
            <w:tcW w:type="dxa" w:w="2100"/>
            <w:tcBorders>
              <w:top w:val="single" w:color="BFCEDF" w:sz="1"/>
              <w:left w:val="single" w:color="BFCEDF" w:sz="1"/>
              <w:bottom w:val="single" w:color="BFCEDF" w:sz="1"/>
              <w:right w:val="single" w:color="BFCEDF" w:sz="1"/>
            </w:tcBorders>
            <w:shd w:fill="DCE6F1" w:color="auto" w:val="clear"/>
            <w:tcMar>
              <w:top w:type="dxa" w:w="70"/>
              <w:left w:type="dxa" w:w="110"/>
              <w:bottom w:type="dxa" w:w="70"/>
              <w:right w:type="dxa" w:w="110"/>
            </w:tcMar>
            <w:vAlign w:val="top"/>
          </w:tcPr>
          <w:p>
            <w:pPr>
              <w:spacing w:after="0" w:line="250"/>
            </w:pPr>
            <w:r>
              <w:rPr>
                <w:b/>
                <w:bCs/>
                <w:color w:val="1F3A5F"/>
                <w:sz w:val="19"/>
                <w:szCs w:val="19"/>
              </w:rPr>
              <w:t xml:space="preserve">Decision gate</w:t>
            </w:r>
          </w:p>
        </w:tc>
      </w:tr>
      <w:tr>
        <w:tc>
          <w:tcPr>
            <w:tcW w:type="dxa" w:w="170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Phase 0 — Proof of concept</w:t>
            </w:r>
          </w:p>
        </w:tc>
        <w:tc>
          <w:tcPr>
            <w:tcW w:type="dxa" w:w="115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6–8 weeks</w:t>
            </w:r>
          </w:p>
        </w:tc>
        <w:tc>
          <w:tcPr>
            <w:tcW w:type="dxa" w:w="4076"/>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One MCP server exposing only public, already-published data, for internal users; demonstrate discovery, query, metadata and citation, and full logging.</w:t>
            </w:r>
          </w:p>
        </w:tc>
        <w:tc>
          <w:tcPr>
            <w:tcW w:type="dxa" w:w="210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Technical feasibility and security review passed.</w:t>
            </w:r>
          </w:p>
        </w:tc>
      </w:tr>
      <w:tr>
        <w:tc>
          <w:tcPr>
            <w:tcW w:type="dxa" w:w="170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Phase 1 — Foundations &amp; pilot</w:t>
            </w:r>
          </w:p>
        </w:tc>
        <w:tc>
          <w:tcPr>
            <w:tcW w:type="dxa" w:w="115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3–6 months</w:t>
            </w:r>
          </w:p>
        </w:tc>
        <w:tc>
          <w:tcPr>
            <w:tcW w:type="dxa" w:w="4076"/>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Production-grade identity, authorisation gateway and audit; governance and accreditation process; one or two real use cases on low-sensitivity data; baseline metrics.</w:t>
            </w:r>
          </w:p>
        </w:tc>
        <w:tc>
          <w:tcPr>
            <w:tcW w:type="dxa" w:w="210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Assurance plus information-governance and ethics sign-off and evidence of value.</w:t>
            </w:r>
          </w:p>
        </w:tc>
      </w:tr>
      <w:tr>
        <w:tc>
          <w:tcPr>
            <w:tcW w:type="dxa" w:w="170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Phase 2 — Controlled expansion</w:t>
            </w:r>
          </w:p>
        </w:tc>
        <w:tc>
          <w:tcPr>
            <w:tcW w:type="dxa" w:w="115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6–12 months</w:t>
            </w:r>
          </w:p>
        </w:tc>
        <w:tc>
          <w:tcPr>
            <w:tcW w:type="dxa" w:w="4076"/>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Onboard selected partner departments; purpose-bound access to more sensitive but still aggregated and approved data under full controls; publish reusable tools.</w:t>
            </w:r>
          </w:p>
        </w:tc>
        <w:tc>
          <w:tcPr>
            <w:tcW w:type="dxa" w:w="2100"/>
            <w:tcBorders>
              <w:top w:val="single" w:color="BFCEDF" w:sz="1"/>
              <w:left w:val="single" w:color="BFCEDF" w:sz="1"/>
              <w:bottom w:val="single" w:color="BFCEDF" w:sz="1"/>
              <w:right w:val="single" w:color="BFCEDF" w:sz="1"/>
            </w:tcBorders>
            <w:shd w:fill="FFFFFF"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Independent security assessment and demonstrated demand.</w:t>
            </w:r>
          </w:p>
        </w:tc>
      </w:tr>
      <w:tr>
        <w:tc>
          <w:tcPr>
            <w:tcW w:type="dxa" w:w="170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Phase 3 — Scale &amp; embed</w:t>
            </w:r>
          </w:p>
        </w:tc>
        <w:tc>
          <w:tcPr>
            <w:tcW w:type="dxa" w:w="115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12 months +</w:t>
            </w:r>
          </w:p>
        </w:tc>
        <w:tc>
          <w:tcPr>
            <w:tcW w:type="dxa" w:w="4076"/>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MCP established as a standard channel alongside APIs; broader onboarding; contribution to shared cross-government standards; run/operate model embedded.</w:t>
            </w:r>
          </w:p>
        </w:tc>
        <w:tc>
          <w:tcPr>
            <w:tcW w:type="dxa" w:w="2100"/>
            <w:tcBorders>
              <w:top w:val="single" w:color="BFCEDF" w:sz="1"/>
              <w:left w:val="single" w:color="BFCEDF" w:sz="1"/>
              <w:bottom w:val="single" w:color="BFCEDF" w:sz="1"/>
              <w:right w:val="single" w:color="BFCEDF" w:sz="1"/>
            </w:tcBorders>
            <w:shd w:fill="F2F6FB" w:color="auto" w:val="clear"/>
            <w:tcMar>
              <w:top w:type="dxa" w:w="70"/>
              <w:left w:type="dxa" w:w="110"/>
              <w:bottom w:type="dxa" w:w="70"/>
              <w:right w:type="dxa" w:w="110"/>
            </w:tcMar>
            <w:vAlign w:val="top"/>
          </w:tcPr>
          <w:p>
            <w:pPr>
              <w:spacing w:after="0" w:line="250"/>
            </w:pPr>
            <w:r>
              <w:rPr>
                <w:b w:val="false"/>
                <w:bCs w:val="false"/>
                <w:color w:val="000000"/>
                <w:sz w:val="19"/>
                <w:szCs w:val="19"/>
              </w:rPr>
              <w:t xml:space="preserve">Ongoing assurance and service-management review.</w:t>
            </w:r>
          </w:p>
        </w:tc>
      </w:tr>
    </w:tbl>
    <w:p>
      <w:pPr>
        <w:pStyle w:val="Heading1"/>
      </w:pPr>
      <w:r>
        <w:t xml:space="preserve">10. Recommended decision and next steps</w:t>
      </w:r>
    </w:p>
    <w:p>
      <w:pPr>
        <w:spacing w:after="160" w:line="276"/>
        <w:jc w:val="both"/>
      </w:pPr>
      <w:r>
        <w:t xml:space="preserve">We recommend that the Committee endorse MCP as a strategic capability and approve the phased programme, beginning with a low-risk proof of concept on public data. The cost of the first step is modest and the commitment is reversible; what it secures is an early, governed and authoritative position in how the public sector’s trusted data is consumed in the age of AI.</w:t>
      </w:r>
    </w:p>
    <w:p>
      <w:pPr>
        <w:spacing w:after="100" w:before="80"/>
      </w:pPr>
      <w:r>
        <w:rPr>
          <w:b/>
          <w:bCs/>
          <w:color w:val="2E5A88"/>
          <w:sz w:val="24"/>
          <w:szCs w:val="24"/>
        </w:rPr>
        <w:t xml:space="preserve">The decision requested</w:t>
      </w:r>
    </w:p>
    <w:p>
      <w:pPr>
        <w:pStyle w:val="ListParagraph"/>
        <w:numPr>
          <w:ilvl w:val="0"/>
          <w:numId w:val="3"/>
        </w:numPr>
        <w:spacing w:after="110" w:line="270"/>
      </w:pPr>
      <w:r>
        <w:t xml:space="preserve">Endorse MCP as a strategic capability and agree the phased, stage-gated approach set out in this paper.</w:t>
      </w:r>
    </w:p>
    <w:p>
      <w:pPr>
        <w:pStyle w:val="ListParagraph"/>
        <w:numPr>
          <w:ilvl w:val="0"/>
          <w:numId w:val="3"/>
        </w:numPr>
        <w:spacing w:after="110" w:line="270"/>
      </w:pPr>
      <w:r>
        <w:t xml:space="preserve">Approve funding for Phase 0 — indicatively £200,000–£350,000 — to deliver a six-to-eight-week proof of concept on public data and to design Phase 1, with Phase 1 delivery funded only on passing the gate.</w:t>
      </w:r>
    </w:p>
    <w:p>
      <w:pPr>
        <w:pStyle w:val="ListParagraph"/>
        <w:numPr>
          <w:ilvl w:val="0"/>
          <w:numId w:val="3"/>
        </w:numPr>
        <w:spacing w:after="110" w:line="270"/>
      </w:pPr>
      <w:r>
        <w:t xml:space="preserve">Appoint a Senior Responsible Owner and convene the governance group (security, information governance, ethics, data and architecture).</w:t>
      </w:r>
    </w:p>
    <w:p>
      <w:pPr>
        <w:pStyle w:val="ListParagraph"/>
        <w:numPr>
          <w:ilvl w:val="0"/>
          <w:numId w:val="3"/>
        </w:numPr>
        <w:spacing w:after="110" w:line="270"/>
      </w:pPr>
      <w:r>
        <w:t xml:space="preserve">Agree the guard-rail that no sensitive data enters scope without explicit Committee approval at the relevant gate.</w:t>
      </w:r>
    </w:p>
    <w:p>
      <w:pPr>
        <w:spacing w:after="100" w:before="80"/>
      </w:pPr>
      <w:r>
        <w:rPr>
          <w:b/>
          <w:bCs/>
          <w:color w:val="2E5A88"/>
          <w:sz w:val="24"/>
          <w:szCs w:val="24"/>
        </w:rPr>
        <w:t xml:space="preserve">First 90 days</w:t>
      </w:r>
    </w:p>
    <w:p>
      <w:pPr>
        <w:pStyle w:val="ListParagraph"/>
        <w:numPr>
          <w:ilvl w:val="0"/>
          <w:numId w:val="2"/>
        </w:numPr>
        <w:spacing w:after="90" w:line="270"/>
      </w:pPr>
      <w:r>
        <w:t xml:space="preserve">Stand up the team and confirm the Phase 0 scope on public, published data.</w:t>
      </w:r>
    </w:p>
    <w:p>
      <w:pPr>
        <w:pStyle w:val="ListParagraph"/>
        <w:numPr>
          <w:ilvl w:val="0"/>
          <w:numId w:val="2"/>
        </w:numPr>
        <w:spacing w:after="90" w:line="270"/>
      </w:pPr>
      <w:r>
        <w:t xml:space="preserve">Complete the security, information-governance and ethics review for the proof of concept.</w:t>
      </w:r>
    </w:p>
    <w:p>
      <w:pPr>
        <w:pStyle w:val="ListParagraph"/>
        <w:numPr>
          <w:ilvl w:val="0"/>
          <w:numId w:val="2"/>
        </w:numPr>
        <w:spacing w:after="90" w:line="270"/>
      </w:pPr>
      <w:r>
        <w:t xml:space="preserve">Build and evaluate the proof of concept against the agreed success criteria.</w:t>
      </w:r>
    </w:p>
    <w:p>
      <w:pPr>
        <w:pStyle w:val="ListParagraph"/>
        <w:numPr>
          <w:ilvl w:val="0"/>
          <w:numId w:val="2"/>
        </w:numPr>
        <w:spacing w:after="90" w:line="270"/>
      </w:pPr>
      <w:r>
        <w:t xml:space="preserve">Return to the Committee with the results and a Phase 1 business case.</w:t>
      </w:r>
    </w:p>
    <w:p>
      <w:pPr>
        <w:spacing w:after="160" w:line="276"/>
        <w:jc w:val="both"/>
      </w:pPr>
      <w:r>
        <w:t xml:space="preserve">The opportunity is ambitious but the path is credible. This programme lets the organisation adopt emerging technology safely — inside recognised security and assurance frameworks — while becoming a leading provider of AI-ready analytical data services across the public sector. We ask the Committee to take the first, deliberate step.</w:t>
      </w:r>
    </w:p>
    <w:p>
      <w:r>
        <w:br w:type="page"/>
      </w:r>
    </w:p>
    <w:p>
      <w:pPr>
        <w:pStyle w:val="Heading1"/>
      </w:pPr>
      <w:r>
        <w:t xml:space="preserve">Annex: Evidence and sources</w:t>
      </w:r>
    </w:p>
    <w:p>
      <w:pPr>
        <w:spacing w:after="160" w:line="276"/>
        <w:jc w:val="both"/>
      </w:pPr>
      <w:r>
        <w:t xml:space="preserve">This proposal draws on the following public sources, current as at June 2026.</w:t>
      </w:r>
    </w:p>
    <w:p>
      <w:pPr>
        <w:spacing w:after="60" w:line="250"/>
      </w:pPr>
      <w:r>
        <w:rPr>
          <w:color w:val="595959"/>
        </w:rPr>
        <w:t xml:space="preserve">• </w:t>
      </w:r>
      <w:hyperlink w:history="1" r:id="rIdkkpsgygdnvpjl1ckuftnx">
        <w:r>
          <w:rPr>
            <w:rStyle w:val="Hyperlink"/>
            <w:sz w:val="18"/>
            <w:szCs w:val="18"/>
          </w:rPr>
          <w:t xml:space="preserve">Model Context Protocol — overview and adoption (Wikipedia)</w:t>
        </w:r>
      </w:hyperlink>
    </w:p>
    <w:p>
      <w:pPr>
        <w:spacing w:after="60" w:line="250"/>
      </w:pPr>
      <w:r>
        <w:rPr>
          <w:color w:val="595959"/>
        </w:rPr>
        <w:t xml:space="preserve">• </w:t>
      </w:r>
      <w:hyperlink w:history="1" r:id="rIdva-5hs8sfjaubn7-xeqll">
        <w:r>
          <w:rPr>
            <w:rStyle w:val="Hyperlink"/>
            <w:sz w:val="18"/>
            <w:szCs w:val="18"/>
          </w:rPr>
          <w:t xml:space="preserve">Anthropic — Donating the Model Context Protocol and establishing the Agentic AI Foundation</w:t>
        </w:r>
      </w:hyperlink>
    </w:p>
    <w:p>
      <w:pPr>
        <w:spacing w:after="60" w:line="250"/>
      </w:pPr>
      <w:r>
        <w:rPr>
          <w:color w:val="595959"/>
        </w:rPr>
        <w:t xml:space="preserve">• </w:t>
      </w:r>
      <w:hyperlink w:history="1" r:id="rIdsron68fenmqc0_iiuketc">
        <w:r>
          <w:rPr>
            <w:rStyle w:val="Hyperlink"/>
            <w:sz w:val="18"/>
            <w:szCs w:val="18"/>
          </w:rPr>
          <w:t xml:space="preserve">Gartner — 40% of enterprise apps will feature task-specific AI agents by 2026</w:t>
        </w:r>
      </w:hyperlink>
    </w:p>
    <w:p>
      <w:pPr>
        <w:spacing w:after="60" w:line="250"/>
      </w:pPr>
      <w:r>
        <w:rPr>
          <w:color w:val="595959"/>
        </w:rPr>
        <w:t xml:space="preserve">• </w:t>
      </w:r>
      <w:hyperlink w:history="1" r:id="rIdap7bglnbgdlsd0wddzfbu">
        <w:r>
          <w:rPr>
            <w:rStyle w:val="Hyperlink"/>
            <w:sz w:val="18"/>
            <w:szCs w:val="18"/>
          </w:rPr>
          <w:t xml:space="preserve">Gartner — Over 40% of agentic AI projects will be cancelled by end of 2027</w:t>
        </w:r>
      </w:hyperlink>
    </w:p>
    <w:p>
      <w:pPr>
        <w:spacing w:after="60" w:line="250"/>
      </w:pPr>
      <w:r>
        <w:rPr>
          <w:color w:val="595959"/>
        </w:rPr>
        <w:t xml:space="preserve">• </w:t>
      </w:r>
      <w:hyperlink w:history="1" r:id="rId7ugvkmtmu514cvmnzrfd9">
        <w:r>
          <w:rPr>
            <w:rStyle w:val="Hyperlink"/>
            <w:sz w:val="18"/>
            <w:szCs w:val="18"/>
          </w:rPr>
          <w:t xml:space="preserve">Artificial Intelligence Playbook for the UK Government (GOV.UK)</w:t>
        </w:r>
      </w:hyperlink>
    </w:p>
    <w:p>
      <w:pPr>
        <w:spacing w:after="60" w:line="250"/>
      </w:pPr>
      <w:r>
        <w:rPr>
          <w:color w:val="595959"/>
        </w:rPr>
        <w:t xml:space="preserve">• </w:t>
      </w:r>
      <w:hyperlink w:history="1" r:id="rIdnz2kpj0wl_wxlzhdb6mth">
        <w:r>
          <w:rPr>
            <w:rStyle w:val="Hyperlink"/>
            <w:sz w:val="18"/>
            <w:szCs w:val="18"/>
          </w:rPr>
          <w:t xml:space="preserve">NCSC — Guidelines for secure AI system development</w:t>
        </w:r>
      </w:hyperlink>
    </w:p>
    <w:p>
      <w:pPr>
        <w:spacing w:after="60" w:line="250"/>
      </w:pPr>
      <w:r>
        <w:rPr>
          <w:color w:val="595959"/>
        </w:rPr>
        <w:t xml:space="preserve">• </w:t>
      </w:r>
      <w:hyperlink w:history="1" r:id="rIdaek1dbn4xssxvabp8o1ze">
        <w:r>
          <w:rPr>
            <w:rStyle w:val="Hyperlink"/>
            <w:sz w:val="18"/>
            <w:szCs w:val="18"/>
          </w:rPr>
          <w:t xml:space="preserve">NCSC — Principles for the security of machine learning</w:t>
        </w:r>
      </w:hyperlink>
    </w:p>
    <w:p>
      <w:pPr>
        <w:spacing w:after="60" w:line="250"/>
      </w:pPr>
      <w:r>
        <w:rPr>
          <w:color w:val="595959"/>
        </w:rPr>
        <w:t xml:space="preserve">• </w:t>
      </w:r>
      <w:hyperlink w:history="1" r:id="rIdcsqegym7lbhuahul1an3l">
        <w:r>
          <w:rPr>
            <w:rStyle w:val="Hyperlink"/>
            <w:sz w:val="18"/>
            <w:szCs w:val="18"/>
          </w:rPr>
          <w:t xml:space="preserve">OWASP Top 10 for LLM Applications (2025)</w:t>
        </w:r>
      </w:hyperlink>
    </w:p>
    <w:p>
      <w:pPr>
        <w:spacing w:after="60" w:line="250"/>
      </w:pPr>
      <w:r>
        <w:rPr>
          <w:color w:val="595959"/>
        </w:rPr>
        <w:t xml:space="preserve">• </w:t>
      </w:r>
      <w:hyperlink w:history="1" r:id="rIdfnuuhjmz-9yq9c579ubun">
        <w:r>
          <w:rPr>
            <w:rStyle w:val="Hyperlink"/>
            <w:sz w:val="18"/>
            <w:szCs w:val="18"/>
          </w:rPr>
          <w:t xml:space="preserve">GOV.UK — API technical and data standards; Data Standards Authority</w:t>
        </w:r>
      </w:hyperlink>
    </w:p>
    <w:p>
      <w:pPr>
        <w:spacing w:after="60" w:line="250"/>
      </w:pPr>
      <w:r>
        <w:rPr>
          <w:color w:val="595959"/>
        </w:rPr>
        <w:t xml:space="preserve">• </w:t>
      </w:r>
      <w:hyperlink w:history="1" r:id="rIdmnxpn9ptbrqmh9g1dercy">
        <w:r>
          <w:rPr>
            <w:rStyle w:val="Hyperlink"/>
            <w:sz w:val="18"/>
            <w:szCs w:val="18"/>
          </w:rPr>
          <w:t xml:space="preserve">Office for National Statistics — Integrated Data Service</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pPr>
    <w:r>
      <w:rPr>
        <w:color w:val="595959"/>
        <w:sz w:val="16"/>
        <w:szCs w:val="16"/>
      </w:rPr>
      <w:t xml:space="preserve">OFFICIAL — Draft for discussion</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color w:val="595959"/>
        <w:sz w:val="16"/>
        <w:szCs w:val="16"/>
      </w:rPr>
      <w:t xml:space="preserve">A Secure MCP Platform for Trusted Analytical Data</w:t>
    </w:r>
    <w:r>
      <w:rPr>
        <w:b/>
        <w:bCs/>
        <w:color w:val="595959"/>
        <w:sz w:val="16"/>
        <w:szCs w:val="16"/>
      </w:rPr>
      <w:t xml:space="preserve">	OFFICIAL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CE6F1" w:sz="4" w:space="4"/>
      </w:pBd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A88"/>
      <w:sz w:val="24"/>
      <w:szCs w:val="24"/>
    </w:rPr>
  </w:style>
  <w:style w:type="paragraph" w:styleId="Hyperlink">
    <w:name w:val="Hyperlink"/>
    <w:basedOn w:val="Normal"/>
    <w:rPr>
      <w:color w:val="2E5A8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kpsgygdnvpjl1ckuftnx" Type="http://schemas.openxmlformats.org/officeDocument/2006/relationships/hyperlink" Target="https://en.wikipedia.org/wiki/Model_Context_Protocol" TargetMode="External"/><Relationship Id="rIdva-5hs8sfjaubn7-xeqll" Type="http://schemas.openxmlformats.org/officeDocument/2006/relationships/hyperlink" Target="https://www.anthropic.com/news/donating-the-model-context-protocol-and-establishing-of-the-agentic-ai-foundation" TargetMode="External"/><Relationship Id="rIdsron68fenmqc0_iiuketc" Type="http://schemas.openxmlformats.org/officeDocument/2006/relationships/hyperlink" Target="https://www.gartner.com/en/newsroom/press-releases/2025-08-26-gartner-predicts-40-percent-of-enterprise-apps-will-feature-task-specific-ai-agents-by-2026-up-from-less-than-5-percent-in-2025" TargetMode="External"/><Relationship Id="rIdap7bglnbgdlsd0wddzfbu" Type="http://schemas.openxmlformats.org/officeDocument/2006/relationships/hyperlink" Target="https://www.gartner.com/en/newsroom/press-releases/2025-06-25-gartner-predicts-over-40-percent-of-agentic-ai-projects-will-be-canceled-by-end-of-2027" TargetMode="External"/><Relationship Id="rId7ugvkmtmu514cvmnzrfd9" Type="http://schemas.openxmlformats.org/officeDocument/2006/relationships/hyperlink" Target="https://www.gov.uk/government/publications/ai-playbook-for-the-uk-government/artificial-intelligence-playbook-for-the-uk-government-html" TargetMode="External"/><Relationship Id="rIdnz2kpj0wl_wxlzhdb6mth" Type="http://schemas.openxmlformats.org/officeDocument/2006/relationships/hyperlink" Target="https://www.ncsc.gov.uk/collection/guidelines-secure-ai-system-development" TargetMode="External"/><Relationship Id="rIdaek1dbn4xssxvabp8o1ze" Type="http://schemas.openxmlformats.org/officeDocument/2006/relationships/hyperlink" Target="https://www.ncsc.gov.uk/collection/machine-learning-principles" TargetMode="External"/><Relationship Id="rIdcsqegym7lbhuahul1an3l" Type="http://schemas.openxmlformats.org/officeDocument/2006/relationships/hyperlink" Target="https://genai.owasp.org/llm-top-10/" TargetMode="External"/><Relationship Id="rIdfnuuhjmz-9yq9c579ubun" Type="http://schemas.openxmlformats.org/officeDocument/2006/relationships/hyperlink" Target="https://www.gov.uk/guidance/gds-api-technical-and-data-standards" TargetMode="External"/><Relationship Id="rIdmnxpn9ptbrqmh9g1dercy" Type="http://schemas.openxmlformats.org/officeDocument/2006/relationships/hyperlink" Target="https://www.ons.gov.uk/aboutus/whatwedo/statistics/requestingstatistics/secureresearchservice/integrateddataserviceids"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Secure MCP Platform for Trusted Analytical Data</dc:title>
  <dc:creator>Strategy &amp; Data Office</dc:creator>
  <dc:description>Strategic proposal to the Executive Committee</dc:description>
  <cp:lastModifiedBy>Un-named</cp:lastModifiedBy>
  <cp:revision>1</cp:revision>
  <dcterms:created xsi:type="dcterms:W3CDTF">2026-06-26T05:16:57.589Z</dcterms:created>
  <dcterms:modified xsi:type="dcterms:W3CDTF">2026-06-26T05:16:57.589Z</dcterms:modified>
</cp:coreProperties>
</file>

<file path=docProps/custom.xml><?xml version="1.0" encoding="utf-8"?>
<Properties xmlns="http://schemas.openxmlformats.org/officeDocument/2006/custom-properties" xmlns:vt="http://schemas.openxmlformats.org/officeDocument/2006/docPropsVTypes"/>
</file>