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900"/>
        <w:jc w:val="center"/>
      </w:pPr>
      <w:r>
        <w:rPr>
          <w:b/>
          <w:bCs/>
          <w:color w:val="595959"/>
          <w:sz w:val="20"/>
          <w:szCs w:val="20"/>
        </w:rPr>
        <w:t xml:space="preserve">OFFICIAL</w:t>
      </w:r>
    </w:p>
    <w:p>
      <w:pPr>
        <w:spacing w:after="100" w:before="1100"/>
        <w:jc w:val="center"/>
      </w:pPr>
      <w:r>
        <w:rPr>
          <w:b/>
          <w:bCs/>
          <w:color w:val="1F3A5F"/>
          <w:sz w:val="52"/>
          <w:szCs w:val="52"/>
        </w:rPr>
        <w:t xml:space="preserve">Presentation Coach Guide</w:t>
      </w:r>
    </w:p>
    <w:p>
      <w:pPr>
        <w:spacing w:after="220"/>
        <w:jc w:val="center"/>
      </w:pPr>
      <w:r>
        <w:rPr>
          <w:b/>
          <w:bCs/>
          <w:color w:val="2E5A88"/>
          <w:sz w:val="30"/>
          <w:szCs w:val="30"/>
        </w:rPr>
        <w:t xml:space="preserve">Pitching the MCP platform to ONS leadership</w:t>
      </w:r>
    </w:p>
    <w:p>
      <w:pPr>
        <w:spacing w:after="200"/>
        <w:jc w:val="center"/>
      </w:pPr>
      <w:r>
        <w:rPr>
          <w:i/>
          <w:iCs/>
          <w:color w:val="2E5A88"/>
          <w:sz w:val="24"/>
          <w:szCs w:val="24"/>
        </w:rPr>
        <w:t xml:space="preserve">How to deliver the pitch, handle the room, and win the decision</w:t>
      </w:r>
    </w:p>
    <w:p>
      <w:pPr>
        <w:pBdr>
          <w:top w:val="single" w:color="1F3A5F" w:sz="6" w:space="6"/>
        </w:pBdr>
        <w:spacing w:before="120"/>
        <w:jc w:val="center"/>
      </w:pPr>
      <w:r>
        <w:rPr>
          <w:sz w:val="2"/>
          <w:szCs w:val="2"/>
        </w:rPr>
        <w:t xml:space="preserve"/>
      </w:r>
    </w:p>
    <w:p>
      <w:pPr>
        <w:spacing w:after="50" w:before="320"/>
        <w:jc w:val="center"/>
      </w:pPr>
      <w:r>
        <w:rPr>
          <w:b/>
          <w:bCs/>
          <w:sz w:val="24"/>
          <w:szCs w:val="24"/>
        </w:rPr>
        <w:t xml:space="preserve">Companion to the MCP platform deck and business case</w:t>
      </w:r>
    </w:p>
    <w:p>
      <w:pPr>
        <w:spacing w:after="40"/>
        <w:jc w:val="center"/>
      </w:pPr>
      <w:r>
        <w:rPr>
          <w:color w:val="595959"/>
          <w:sz w:val="22"/>
          <w:szCs w:val="22"/>
        </w:rPr>
        <w:t xml:space="preserve">June 2026   ·   Classification: OFFICIAL</w:t>
      </w:r>
    </w:p>
    <w:p>
      <w:r>
        <w:br w:type="page"/>
      </w:r>
    </w:p>
    <w:p>
      <w:pPr>
        <w:pStyle w:val="Heading1"/>
      </w:pPr>
      <w:r>
        <w:t xml:space="preserve">1. How to use this guide</w:t>
      </w:r>
    </w:p>
    <w:p>
      <w:pPr>
        <w:spacing w:after="180" w:line="288"/>
        <w:jc w:val="both"/>
      </w:pPr>
      <w:r>
        <w:rPr>
          <w:i/>
          <w:iCs/>
          <w:color w:val="2E5A88"/>
          <w:sz w:val="24"/>
          <w:szCs w:val="24"/>
        </w:rPr>
        <w:t xml:space="preserve">A pitch to senior leaders is won on clarity, credibility and confidence — not on the number of slides. This guide helps you deliver the deck so the decision becomes easy to say yes to.</w:t>
      </w:r>
    </w:p>
    <w:p>
      <w:pPr>
        <w:spacing w:after="150" w:line="276"/>
        <w:jc w:val="both"/>
      </w:pPr>
      <w:r>
        <w:t xml:space="preserve">The deck carries concise speaker notes on every slide (visible in PowerPoint's Presenter View). This guide is the layer above them: how to frame the message, time the talk, read the room, handle hard questions and land the ask. Read it once in full, then skim sections 2, 7 and 9 the morning of the meeting.</w:t>
      </w:r>
    </w:p>
    <w:p>
      <w:pPr>
        <w:pStyle w:val="Heading1"/>
      </w:pPr>
      <w:r>
        <w:t xml:space="preserve">2. Your message, in three lengths</w:t>
      </w:r>
    </w:p>
    <w:p>
      <w:pPr>
        <w:spacing w:after="150" w:line="276"/>
        <w:jc w:val="both"/>
      </w:pPr>
      <w:r>
        <w:t xml:space="preserve">Senior meetings rarely run as planned. Have the message ready at three lengths so you can flex if your slot is cut.</w:t>
      </w:r>
    </w:p>
    <w:p>
      <w:pPr>
        <w:pStyle w:val="Heading2"/>
      </w:pPr>
      <w:r>
        <w:t xml:space="preserve">One sentence (the spine)</w:t>
      </w:r>
    </w:p>
    <w:p>
      <w:pPr>
        <w:spacing w:after="150" w:line="276"/>
        <w:jc w:val="both"/>
      </w:pPr>
      <w:r>
        <w:rPr>
          <w:i/>
          <w:iCs/>
        </w:rPr>
        <w:t xml:space="preserve">“Let's take a small, low-risk first step — an MCP server on public data — to make ONS the trusted, AI-ready source that agents reach safely, before others define how our data is consumed.”</w:t>
      </w:r>
    </w:p>
    <w:p>
      <w:pPr>
        <w:pStyle w:val="Heading2"/>
      </w:pPr>
      <w:r>
        <w:t xml:space="preserve">30 seconds (the corridor version)</w:t>
      </w:r>
    </w:p>
    <w:p>
      <w:pPr>
        <w:spacing w:after="150" w:line="276"/>
        <w:jc w:val="both"/>
      </w:pPr>
      <w:r>
        <w:t xml:space="preserve">“AI agents are becoming the way people reach data. They will reach ONS data whether or not we provide for it. MCP is an open, secure standard — already used by DBT and a peer statistics office — that gives agents a governed front door to our data, with everything logged and cited. I'm asking to fund a small proof of concept on public data: modest, reversible, and the first step to leading this in UK official statistics.”</w:t>
      </w:r>
    </w:p>
    <w:p>
      <w:pPr>
        <w:pStyle w:val="Heading2"/>
      </w:pPr>
      <w:r>
        <w:t xml:space="preserve">Two minutes (if the meeting is cut short)</w:t>
      </w:r>
    </w:p>
    <w:p>
      <w:pPr>
        <w:spacing w:after="150" w:line="276"/>
        <w:jc w:val="both"/>
      </w:pPr>
      <w:r>
        <w:t xml:space="preserve">Open with the shift to agents and the Gartner number. Define MCP in one line (a governed front door, everything logged and cited). Give the safe-bet trio: model-agnostic, builds on what we run, public data first. Name one precedent (DBT or India's statistics office) and the GDS recommendation. State the security stance in a sentence (zero-trust, least privilege, no sensitive data without approval). Close on the ask: endorse a small public-data proof of concept, £200k–£350k, stage-gated. Then stop and invite questions.</w:t>
      </w:r>
    </w:p>
    <w:p>
      <w:pPr>
        <w:pStyle w:val="Heading1"/>
      </w:pPr>
      <w:r>
        <w:t xml:space="preserve">3. Know your room</w:t>
      </w:r>
    </w:p>
    <w:p>
      <w:pPr>
        <w:spacing w:after="150" w:line="276"/>
        <w:jc w:val="both"/>
      </w:pPr>
      <w:r>
        <w:t xml:space="preserve">Senior public-sector leaders are not persuaded by technology for its own sake. They weigh five things — speak to each, in their language:</w:t>
      </w:r>
    </w:p>
    <w:p>
      <w:pPr>
        <w:pStyle w:val="ListParagraph"/>
        <w:numPr>
          <w:ilvl w:val="0"/>
          <w:numId w:val="2"/>
        </w:numPr>
        <w:spacing w:after="100" w:line="268"/>
      </w:pPr>
      <w:r>
        <w:rPr>
          <w:b/>
          <w:bCs/>
        </w:rPr>
        <w:t xml:space="preserve">Risk — </w:t>
      </w:r>
      <w:r>
        <w:t xml:space="preserve">is this safe, and what happens if it goes wrong? Lead with public data, reversibility and the security model.</w:t>
      </w:r>
    </w:p>
    <w:p>
      <w:pPr>
        <w:pStyle w:val="ListParagraph"/>
        <w:numPr>
          <w:ilvl w:val="0"/>
          <w:numId w:val="2"/>
        </w:numPr>
        <w:spacing w:after="100" w:line="268"/>
      </w:pPr>
      <w:r>
        <w:rPr>
          <w:b/>
          <w:bCs/>
        </w:rPr>
        <w:t xml:space="preserve">Value — </w:t>
      </w:r>
      <w:r>
        <w:t xml:space="preserve">what do we get, and is it worth it? Translate features into reduced effort, faster insight and reuse.</w:t>
      </w:r>
    </w:p>
    <w:p>
      <w:pPr>
        <w:pStyle w:val="ListParagraph"/>
        <w:numPr>
          <w:ilvl w:val="0"/>
          <w:numId w:val="2"/>
        </w:numPr>
        <w:spacing w:after="100" w:line="268"/>
      </w:pPr>
      <w:r>
        <w:rPr>
          <w:b/>
          <w:bCs/>
        </w:rPr>
        <w:t xml:space="preserve">Mandate &amp; alignment — </w:t>
      </w:r>
      <w:r>
        <w:t xml:space="preserve">does this support our strategy and the centre's direction? Tie it to the AI Playbook and data as a strategic national asset.</w:t>
      </w:r>
    </w:p>
    <w:p>
      <w:pPr>
        <w:pStyle w:val="ListParagraph"/>
        <w:numPr>
          <w:ilvl w:val="0"/>
          <w:numId w:val="2"/>
        </w:numPr>
        <w:spacing w:after="100" w:line="268"/>
      </w:pPr>
      <w:r>
        <w:rPr>
          <w:b/>
          <w:bCs/>
        </w:rPr>
        <w:t xml:space="preserve">Deliverability — </w:t>
      </w:r>
      <w:r>
        <w:t xml:space="preserve">can we actually do this with what we have? Stress existing team, platform and sign-on; small scope.</w:t>
      </w:r>
    </w:p>
    <w:p>
      <w:pPr>
        <w:pStyle w:val="ListParagraph"/>
        <w:numPr>
          <w:ilvl w:val="0"/>
          <w:numId w:val="2"/>
        </w:numPr>
        <w:spacing w:after="100" w:line="268"/>
      </w:pPr>
      <w:r>
        <w:rPr>
          <w:b/>
          <w:bCs/>
        </w:rPr>
        <w:t xml:space="preserve">Reputation &amp; trust — </w:t>
      </w:r>
      <w:r>
        <w:t xml:space="preserve">does this protect or threaten ONS's authority? Frame it as protecting the integrity of official statistics.</w:t>
      </w:r>
    </w:p>
    <w:p>
      <w:pPr>
        <w:spacing w:after="150" w:line="276"/>
        <w:jc w:val="both"/>
      </w:pPr>
      <w:r>
        <w:t xml:space="preserve">They say yes when the ask is small, the downside is contained, the value is credible and someone owns it. They hesitate when the scope is vague, the cost is open-ended, the security story is thin, or no one is accountable. Remove those doubts before they have to raise them.</w:t>
      </w:r>
    </w:p>
    <w:p>
      <w:pPr>
        <w:pStyle w:val="Heading1"/>
      </w:pPr>
      <w:r>
        <w:t xml:space="preserve">4. Timing plan</w:t>
      </w:r>
    </w:p>
    <w:p>
      <w:pPr>
        <w:spacing w:after="150" w:line="276"/>
        <w:jc w:val="both"/>
      </w:pPr>
      <w:r>
        <w:t xml:space="preserve">Aim for a 12-minute talk and leave the rest for discussion — the decision happens in the conversation, not the monologue. Indicative budget:</w:t>
      </w:r>
    </w:p>
    <w:p>
      <w:pPr>
        <w:spacing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4126"/>
      </w:tblGrid>
      <w:tr>
        <w:trPr>
          <w:tblHeader/>
        </w:trPr>
        <w:tc>
          <w:tcPr>
            <w:tcW w:type="dxa" w:w="3600"/>
            <w:tcBorders>
              <w:top w:val="single" w:color="BFCEDF" w:sz="1"/>
              <w:left w:val="single" w:color="BFCEDF" w:sz="1"/>
              <w:bottom w:val="single" w:color="BFCEDF" w:sz="1"/>
              <w:right w:val="single" w:color="BFCEDF" w:sz="1"/>
            </w:tcBorders>
            <w:shd w:fill="DCE6F1" w:color="auto" w:val="clear"/>
            <w:tcMar>
              <w:top w:type="dxa" w:w="60"/>
              <w:left w:type="dxa" w:w="100"/>
              <w:bottom w:type="dxa" w:w="60"/>
              <w:right w:type="dxa" w:w="100"/>
            </w:tcMar>
            <w:vAlign w:val="top"/>
          </w:tcPr>
          <w:p>
            <w:pPr>
              <w:spacing w:after="0" w:line="240"/>
            </w:pPr>
            <w:r>
              <w:rPr>
                <w:b/>
                <w:bCs/>
                <w:color w:val="1F3A5F"/>
                <w:sz w:val="18"/>
                <w:szCs w:val="18"/>
              </w:rPr>
              <w:t xml:space="preserve">Segment</w:t>
            </w:r>
          </w:p>
        </w:tc>
        <w:tc>
          <w:tcPr>
            <w:tcW w:type="dxa" w:w="1300"/>
            <w:tcBorders>
              <w:top w:val="single" w:color="BFCEDF" w:sz="1"/>
              <w:left w:val="single" w:color="BFCEDF" w:sz="1"/>
              <w:bottom w:val="single" w:color="BFCEDF" w:sz="1"/>
              <w:right w:val="single" w:color="BFCEDF" w:sz="1"/>
            </w:tcBorders>
            <w:shd w:fill="DCE6F1" w:color="auto" w:val="clear"/>
            <w:tcMar>
              <w:top w:type="dxa" w:w="60"/>
              <w:left w:type="dxa" w:w="100"/>
              <w:bottom w:type="dxa" w:w="60"/>
              <w:right w:type="dxa" w:w="100"/>
            </w:tcMar>
            <w:vAlign w:val="top"/>
          </w:tcPr>
          <w:p>
            <w:pPr>
              <w:spacing w:after="0" w:line="240"/>
            </w:pPr>
            <w:r>
              <w:rPr>
                <w:b/>
                <w:bCs/>
                <w:color w:val="1F3A5F"/>
                <w:sz w:val="18"/>
                <w:szCs w:val="18"/>
              </w:rPr>
              <w:t xml:space="preserve">Time</w:t>
            </w:r>
          </w:p>
        </w:tc>
        <w:tc>
          <w:tcPr>
            <w:tcW w:type="dxa" w:w="4126"/>
            <w:tcBorders>
              <w:top w:val="single" w:color="BFCEDF" w:sz="1"/>
              <w:left w:val="single" w:color="BFCEDF" w:sz="1"/>
              <w:bottom w:val="single" w:color="BFCEDF" w:sz="1"/>
              <w:right w:val="single" w:color="BFCEDF" w:sz="1"/>
            </w:tcBorders>
            <w:shd w:fill="DCE6F1" w:color="auto" w:val="clear"/>
            <w:tcMar>
              <w:top w:type="dxa" w:w="60"/>
              <w:left w:type="dxa" w:w="100"/>
              <w:bottom w:type="dxa" w:w="60"/>
              <w:right w:type="dxa" w:w="100"/>
            </w:tcMar>
            <w:vAlign w:val="top"/>
          </w:tcPr>
          <w:p>
            <w:pPr>
              <w:spacing w:after="0" w:line="240"/>
            </w:pPr>
            <w:r>
              <w:rPr>
                <w:b/>
                <w:bCs/>
                <w:color w:val="1F3A5F"/>
                <w:sz w:val="18"/>
                <w:szCs w:val="18"/>
              </w:rPr>
              <w:t xml:space="preserve">Goal</w:t>
            </w:r>
          </w:p>
        </w:tc>
      </w:tr>
      <w:tr>
        <w:tc>
          <w:tcPr>
            <w:tcW w:type="dxa" w:w="36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Open + proposition (slides 1–2)</w:t>
            </w:r>
          </w:p>
        </w:tc>
        <w:tc>
          <w:tcPr>
            <w:tcW w:type="dxa" w:w="13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1.5 min</w:t>
            </w:r>
          </w:p>
        </w:tc>
        <w:tc>
          <w:tcPr>
            <w:tcW w:type="dxa" w:w="4126"/>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Frame the ask; define MCP in one line.</w:t>
            </w:r>
          </w:p>
        </w:tc>
      </w:tr>
      <w:tr>
        <w:tc>
          <w:tcPr>
            <w:tcW w:type="dxa" w:w="36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Why now + opportunity (3–4)</w:t>
            </w:r>
          </w:p>
        </w:tc>
        <w:tc>
          <w:tcPr>
            <w:tcW w:type="dxa" w:w="13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2.5 min</w:t>
            </w:r>
          </w:p>
        </w:tc>
        <w:tc>
          <w:tcPr>
            <w:tcW w:type="dxa" w:w="4126"/>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Create urgency without hype.</w:t>
            </w:r>
          </w:p>
        </w:tc>
      </w:tr>
      <w:tr>
        <w:tc>
          <w:tcPr>
            <w:tcW w:type="dxa" w:w="36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How it works + comparison (5–6)</w:t>
            </w:r>
          </w:p>
        </w:tc>
        <w:tc>
          <w:tcPr>
            <w:tcW w:type="dxa" w:w="13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2.5 min</w:t>
            </w:r>
          </w:p>
        </w:tc>
        <w:tc>
          <w:tcPr>
            <w:tcW w:type="dxa" w:w="4126"/>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Make it understandable; pre-empt “we have APIs”.</w:t>
            </w:r>
          </w:p>
        </w:tc>
      </w:tr>
      <w:tr>
        <w:tc>
          <w:tcPr>
            <w:tcW w:type="dxa" w:w="36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Use cases (7)</w:t>
            </w:r>
          </w:p>
        </w:tc>
        <w:tc>
          <w:tcPr>
            <w:tcW w:type="dxa" w:w="13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 min</w:t>
            </w:r>
          </w:p>
        </w:tc>
        <w:tc>
          <w:tcPr>
            <w:tcW w:type="dxa" w:w="4126"/>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Make it concrete with one story.</w:t>
            </w:r>
          </w:p>
        </w:tc>
      </w:tr>
      <w:tr>
        <w:tc>
          <w:tcPr>
            <w:tcW w:type="dxa" w:w="36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Security &amp; governance (8)</w:t>
            </w:r>
          </w:p>
        </w:tc>
        <w:tc>
          <w:tcPr>
            <w:tcW w:type="dxa" w:w="13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1.5 min</w:t>
            </w:r>
          </w:p>
        </w:tc>
        <w:tc>
          <w:tcPr>
            <w:tcW w:type="dxa" w:w="4126"/>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Win the room on safety.</w:t>
            </w:r>
          </w:p>
        </w:tc>
      </w:tr>
      <w:tr>
        <w:tc>
          <w:tcPr>
            <w:tcW w:type="dxa" w:w="36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Benefits + risks (9–10)</w:t>
            </w:r>
          </w:p>
        </w:tc>
        <w:tc>
          <w:tcPr>
            <w:tcW w:type="dxa" w:w="13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1.5 min</w:t>
            </w:r>
          </w:p>
        </w:tc>
        <w:tc>
          <w:tcPr>
            <w:tcW w:type="dxa" w:w="4126"/>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Value, then honest risk.</w:t>
            </w:r>
          </w:p>
        </w:tc>
      </w:tr>
      <w:tr>
        <w:tc>
          <w:tcPr>
            <w:tcW w:type="dxa" w:w="36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Roadmap + the ask (11–12)</w:t>
            </w:r>
          </w:p>
        </w:tc>
        <w:tc>
          <w:tcPr>
            <w:tcW w:type="dxa" w:w="13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1.5 min</w:t>
            </w:r>
          </w:p>
        </w:tc>
        <w:tc>
          <w:tcPr>
            <w:tcW w:type="dxa" w:w="4126"/>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Land the decision; then stop.</w:t>
            </w:r>
          </w:p>
        </w:tc>
      </w:tr>
      <w:tr>
        <w:tc>
          <w:tcPr>
            <w:tcW w:type="dxa" w:w="36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Discussion / Q&amp;A</w:t>
            </w:r>
          </w:p>
        </w:tc>
        <w:tc>
          <w:tcPr>
            <w:tcW w:type="dxa" w:w="13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8–15 min</w:t>
            </w:r>
          </w:p>
        </w:tc>
        <w:tc>
          <w:tcPr>
            <w:tcW w:type="dxa" w:w="4126"/>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Answer well; secure the next step.</w:t>
            </w:r>
          </w:p>
        </w:tc>
      </w:tr>
    </w:tbl>
    <w:p>
      <w:pPr>
        <w:pStyle w:val="Heading1"/>
      </w:pPr>
      <w:r>
        <w:t xml:space="preserve">5. Delivery technique</w:t>
      </w:r>
    </w:p>
    <w:p>
      <w:pPr>
        <w:pStyle w:val="ListParagraph"/>
        <w:numPr>
          <w:ilvl w:val="0"/>
          <w:numId w:val="2"/>
        </w:numPr>
        <w:spacing w:after="100" w:line="268"/>
      </w:pPr>
      <w:r>
        <w:rPr>
          <w:b/>
          <w:bCs/>
        </w:rPr>
        <w:t xml:space="preserve">Open strong — </w:t>
      </w:r>
      <w:r>
        <w:t xml:space="preserve">skip the throat-clearing. First sentence states the offer and the size of the ask. You have 30 seconds to earn their attention.</w:t>
      </w:r>
    </w:p>
    <w:p>
      <w:pPr>
        <w:pStyle w:val="ListParagraph"/>
        <w:numPr>
          <w:ilvl w:val="0"/>
          <w:numId w:val="2"/>
        </w:numPr>
        <w:spacing w:after="100" w:line="268"/>
      </w:pPr>
      <w:r>
        <w:rPr>
          <w:b/>
          <w:bCs/>
        </w:rPr>
        <w:t xml:space="preserve">Don't read the slides — </w:t>
      </w:r>
      <w:r>
        <w:t xml:space="preserve">they can read faster than you can speak. Talk to the slide, not from it; the slide is the evidence, you are the argument.</w:t>
      </w:r>
    </w:p>
    <w:p>
      <w:pPr>
        <w:pStyle w:val="ListParagraph"/>
        <w:numPr>
          <w:ilvl w:val="0"/>
          <w:numId w:val="2"/>
        </w:numPr>
        <w:spacing w:after="100" w:line="268"/>
      </w:pPr>
      <w:r>
        <w:rPr>
          <w:b/>
          <w:bCs/>
        </w:rPr>
        <w:t xml:space="preserve">Pause on the numbers — </w:t>
      </w:r>
      <w:r>
        <w:t xml:space="preserve">after a key figure (33% by 2028; £200k–£350k) stop for a beat. Silence signals confidence and lets the point land.</w:t>
      </w:r>
    </w:p>
    <w:p>
      <w:pPr>
        <w:pStyle w:val="ListParagraph"/>
        <w:numPr>
          <w:ilvl w:val="0"/>
          <w:numId w:val="2"/>
        </w:numPr>
        <w:spacing w:after="100" w:line="268"/>
      </w:pPr>
      <w:r>
        <w:rPr>
          <w:b/>
          <w:bCs/>
        </w:rPr>
        <w:t xml:space="preserve">Plain English — </w:t>
      </w:r>
      <w:r>
        <w:t xml:space="preserve">no jargon. Say “a secure front door,” not “a protocol server with scoped tool invocation.” If a fifteen-year-old wouldn't follow it, simplify.</w:t>
      </w:r>
    </w:p>
    <w:p>
      <w:pPr>
        <w:pStyle w:val="ListParagraph"/>
        <w:numPr>
          <w:ilvl w:val="0"/>
          <w:numId w:val="2"/>
        </w:numPr>
        <w:spacing w:after="100" w:line="268"/>
      </w:pPr>
      <w:r>
        <w:rPr>
          <w:b/>
          <w:bCs/>
        </w:rPr>
        <w:t xml:space="preserve">Signpost — </w:t>
      </w:r>
      <w:r>
        <w:t xml:space="preserve">use the section kickers as verbal signposts: “First, why now… second, how it works…”. It helps busy listeners track you.</w:t>
      </w:r>
    </w:p>
    <w:p>
      <w:pPr>
        <w:pStyle w:val="ListParagraph"/>
        <w:numPr>
          <w:ilvl w:val="0"/>
          <w:numId w:val="2"/>
        </w:numPr>
        <w:spacing w:after="100" w:line="268"/>
      </w:pPr>
      <w:r>
        <w:rPr>
          <w:b/>
          <w:bCs/>
        </w:rPr>
        <w:t xml:space="preserve">Body &amp; voice — </w:t>
      </w:r>
      <w:r>
        <w:t xml:space="preserve">stand, plant your feet, slow your pace by about 20%, and drop your pitch at the end of sentences so they sound like statements, not questions.</w:t>
      </w:r>
    </w:p>
    <w:p>
      <w:pPr>
        <w:pStyle w:val="ListParagraph"/>
        <w:numPr>
          <w:ilvl w:val="0"/>
          <w:numId w:val="2"/>
        </w:numPr>
        <w:spacing w:after="100" w:line="268"/>
      </w:pPr>
      <w:r>
        <w:rPr>
          <w:b/>
          <w:bCs/>
        </w:rPr>
        <w:t xml:space="preserve">Use the pause after the ask — </w:t>
      </w:r>
      <w:r>
        <w:t xml:space="preserve">state the ask, then be quiet. Whoever speaks first after the ask usually concedes ground — let it be them.</w:t>
      </w:r>
    </w:p>
    <w:p>
      <w:pPr>
        <w:pStyle w:val="ListParagraph"/>
        <w:numPr>
          <w:ilvl w:val="0"/>
          <w:numId w:val="2"/>
        </w:numPr>
        <w:spacing w:after="100" w:line="268"/>
      </w:pPr>
      <w:r>
        <w:rPr>
          <w:b/>
          <w:bCs/>
        </w:rPr>
        <w:t xml:space="preserve">Manage nerves — </w:t>
      </w:r>
      <w:r>
        <w:t xml:space="preserve">channel them into energy. Breathe before you start, hold the first slide for two seconds, and remember you know this better than anyone in the room.</w:t>
      </w:r>
    </w:p>
    <w:p>
      <w:pPr>
        <w:pStyle w:val="Heading1"/>
      </w:pPr>
      <w:r>
        <w:t xml:space="preserve">6. Slide-by-slide cues</w:t>
      </w:r>
    </w:p>
    <w:p>
      <w:pPr>
        <w:spacing w:after="150" w:line="276"/>
        <w:jc w:val="both"/>
      </w:pPr>
      <w:r>
        <w:t xml:space="preserve">Full notes sit in the deck's Presenter View. The essentials:</w:t>
      </w:r>
    </w:p>
    <w:p>
      <w:pPr>
        <w:spacing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226"/>
        <w:gridCol w:w="2100"/>
      </w:tblGrid>
      <w:tr>
        <w:trPr>
          <w:tblHeader/>
        </w:trPr>
        <w:tc>
          <w:tcPr>
            <w:tcW w:type="dxa" w:w="1700"/>
            <w:tcBorders>
              <w:top w:val="single" w:color="BFCEDF" w:sz="1"/>
              <w:left w:val="single" w:color="BFCEDF" w:sz="1"/>
              <w:bottom w:val="single" w:color="BFCEDF" w:sz="1"/>
              <w:right w:val="single" w:color="BFCEDF" w:sz="1"/>
            </w:tcBorders>
            <w:shd w:fill="DCE6F1" w:color="auto" w:val="clear"/>
            <w:tcMar>
              <w:top w:type="dxa" w:w="60"/>
              <w:left w:type="dxa" w:w="100"/>
              <w:bottom w:type="dxa" w:w="60"/>
              <w:right w:type="dxa" w:w="100"/>
            </w:tcMar>
            <w:vAlign w:val="top"/>
          </w:tcPr>
          <w:p>
            <w:pPr>
              <w:spacing w:after="0" w:line="240"/>
            </w:pPr>
            <w:r>
              <w:rPr>
                <w:b/>
                <w:bCs/>
                <w:color w:val="1F3A5F"/>
                <w:sz w:val="18"/>
                <w:szCs w:val="18"/>
              </w:rPr>
              <w:t xml:space="preserve">Slide</w:t>
            </w:r>
          </w:p>
        </w:tc>
        <w:tc>
          <w:tcPr>
            <w:tcW w:type="dxa" w:w="5226"/>
            <w:tcBorders>
              <w:top w:val="single" w:color="BFCEDF" w:sz="1"/>
              <w:left w:val="single" w:color="BFCEDF" w:sz="1"/>
              <w:bottom w:val="single" w:color="BFCEDF" w:sz="1"/>
              <w:right w:val="single" w:color="BFCEDF" w:sz="1"/>
            </w:tcBorders>
            <w:shd w:fill="DCE6F1" w:color="auto" w:val="clear"/>
            <w:tcMar>
              <w:top w:type="dxa" w:w="60"/>
              <w:left w:type="dxa" w:w="100"/>
              <w:bottom w:type="dxa" w:w="60"/>
              <w:right w:type="dxa" w:w="100"/>
            </w:tcMar>
            <w:vAlign w:val="top"/>
          </w:tcPr>
          <w:p>
            <w:pPr>
              <w:spacing w:after="0" w:line="240"/>
            </w:pPr>
            <w:r>
              <w:rPr>
                <w:b/>
                <w:bCs/>
                <w:color w:val="1F3A5F"/>
                <w:sz w:val="18"/>
                <w:szCs w:val="18"/>
              </w:rPr>
              <w:t xml:space="preserve">Land this one thing</w:t>
            </w:r>
          </w:p>
        </w:tc>
        <w:tc>
          <w:tcPr>
            <w:tcW w:type="dxa" w:w="2100"/>
            <w:tcBorders>
              <w:top w:val="single" w:color="BFCEDF" w:sz="1"/>
              <w:left w:val="single" w:color="BFCEDF" w:sz="1"/>
              <w:bottom w:val="single" w:color="BFCEDF" w:sz="1"/>
              <w:right w:val="single" w:color="BFCEDF" w:sz="1"/>
            </w:tcBorders>
            <w:shd w:fill="DCE6F1" w:color="auto" w:val="clear"/>
            <w:tcMar>
              <w:top w:type="dxa" w:w="60"/>
              <w:left w:type="dxa" w:w="100"/>
              <w:bottom w:type="dxa" w:w="60"/>
              <w:right w:type="dxa" w:w="100"/>
            </w:tcMar>
            <w:vAlign w:val="top"/>
          </w:tcPr>
          <w:p>
            <w:pPr>
              <w:spacing w:after="0" w:line="240"/>
            </w:pPr>
            <w:r>
              <w:rPr>
                <w:b/>
                <w:bCs/>
                <w:color w:val="1F3A5F"/>
                <w:sz w:val="18"/>
                <w:szCs w:val="18"/>
              </w:rPr>
              <w:t xml:space="preserve">Time</w:t>
            </w:r>
          </w:p>
        </w:tc>
      </w:tr>
      <w:tr>
        <w:tc>
          <w:tcPr>
            <w:tcW w:type="dxa" w:w="17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 · Title</w:t>
            </w:r>
          </w:p>
        </w:tc>
        <w:tc>
          <w:tcPr>
            <w:tcW w:type="dxa" w:w="5226"/>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Set the frame: a small, safe first step with a decision at the end.</w:t>
            </w:r>
          </w:p>
        </w:tc>
        <w:tc>
          <w:tcPr>
            <w:tcW w:type="dxa" w:w="21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0.5m</w:t>
            </w:r>
          </w:p>
        </w:tc>
      </w:tr>
      <w:tr>
        <w:tc>
          <w:tcPr>
            <w:tcW w:type="dxa" w:w="17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2 · Proposition</w:t>
            </w:r>
          </w:p>
        </w:tc>
        <w:tc>
          <w:tcPr>
            <w:tcW w:type="dxa" w:w="5226"/>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The whole pitch: a governed front door, logged; plus the ask.</w:t>
            </w:r>
          </w:p>
        </w:tc>
        <w:tc>
          <w:tcPr>
            <w:tcW w:type="dxa" w:w="21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1m</w:t>
            </w:r>
          </w:p>
        </w:tc>
      </w:tr>
      <w:tr>
        <w:tc>
          <w:tcPr>
            <w:tcW w:type="dxa" w:w="17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3 · Why now</w:t>
            </w:r>
          </w:p>
        </w:tc>
        <w:tc>
          <w:tcPr>
            <w:tcW w:type="dxa" w:w="5226"/>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Demand is already arriving ungoverned — front door vs back door.</w:t>
            </w:r>
          </w:p>
        </w:tc>
        <w:tc>
          <w:tcPr>
            <w:tcW w:type="dxa" w:w="21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1.5m</w:t>
            </w:r>
          </w:p>
        </w:tc>
      </w:tr>
      <w:tr>
        <w:tc>
          <w:tcPr>
            <w:tcW w:type="dxa" w:w="17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4 · Opportunity</w:t>
            </w:r>
          </w:p>
        </w:tc>
        <w:tc>
          <w:tcPr>
            <w:tcW w:type="dxa" w:w="5226"/>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An agent is only as good as the data it can cite — that's us.</w:t>
            </w:r>
          </w:p>
        </w:tc>
        <w:tc>
          <w:tcPr>
            <w:tcW w:type="dxa" w:w="21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1m</w:t>
            </w:r>
          </w:p>
        </w:tc>
      </w:tr>
      <w:tr>
        <w:tc>
          <w:tcPr>
            <w:tcW w:type="dxa" w:w="17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5 · How it works</w:t>
            </w:r>
          </w:p>
        </w:tc>
        <w:tc>
          <w:tcPr>
            <w:tcW w:type="dxa" w:w="5226"/>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Non-technical adaptor; everything authenticated, authorised, logged.</w:t>
            </w:r>
          </w:p>
        </w:tc>
        <w:tc>
          <w:tcPr>
            <w:tcW w:type="dxa" w:w="21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1.5m</w:t>
            </w:r>
          </w:p>
        </w:tc>
      </w:tr>
      <w:tr>
        <w:tc>
          <w:tcPr>
            <w:tcW w:type="dxa" w:w="17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6 · Comparison</w:t>
            </w:r>
          </w:p>
        </w:tc>
        <w:tc>
          <w:tcPr>
            <w:tcW w:type="dxa" w:w="5226"/>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MCP adds to APIs, doesn't replace them.</w:t>
            </w:r>
          </w:p>
        </w:tc>
        <w:tc>
          <w:tcPr>
            <w:tcW w:type="dxa" w:w="21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1m</w:t>
            </w:r>
          </w:p>
        </w:tc>
      </w:tr>
      <w:tr>
        <w:tc>
          <w:tcPr>
            <w:tcW w:type="dxa" w:w="17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7 · Use cases</w:t>
            </w:r>
          </w:p>
        </w:tc>
        <w:tc>
          <w:tcPr>
            <w:tcW w:type="dxa" w:w="5226"/>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One vivid story: the cited inflation answer, not a guess.</w:t>
            </w:r>
          </w:p>
        </w:tc>
        <w:tc>
          <w:tcPr>
            <w:tcW w:type="dxa" w:w="21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1m</w:t>
            </w:r>
          </w:p>
        </w:tc>
      </w:tr>
      <w:tr>
        <w:tc>
          <w:tcPr>
            <w:tcW w:type="dxa" w:w="17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8 · Security</w:t>
            </w:r>
          </w:p>
        </w:tc>
        <w:tc>
          <w:tcPr>
            <w:tcW w:type="dxa" w:w="5226"/>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Zero-trust, least privilege, no sensitive data without approval.</w:t>
            </w:r>
          </w:p>
        </w:tc>
        <w:tc>
          <w:tcPr>
            <w:tcW w:type="dxa" w:w="21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1.5m</w:t>
            </w:r>
          </w:p>
        </w:tc>
      </w:tr>
      <w:tr>
        <w:tc>
          <w:tcPr>
            <w:tcW w:type="dxa" w:w="17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9 · Benefits</w:t>
            </w:r>
          </w:p>
        </w:tc>
        <w:tc>
          <w:tcPr>
            <w:tcW w:type="dxa" w:w="5226"/>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Measurable: cited, weeks-to-days, fully logged.</w:t>
            </w:r>
          </w:p>
        </w:tc>
        <w:tc>
          <w:tcPr>
            <w:tcW w:type="dxa" w:w="21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0.75m</w:t>
            </w:r>
          </w:p>
        </w:tc>
      </w:tr>
      <w:tr>
        <w:tc>
          <w:tcPr>
            <w:tcW w:type="dxa" w:w="17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10 · Risks</w:t>
            </w:r>
          </w:p>
        </w:tc>
        <w:tc>
          <w:tcPr>
            <w:tcW w:type="dxa" w:w="5226"/>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Name the downside; staged approach is the mitigation.</w:t>
            </w:r>
          </w:p>
        </w:tc>
        <w:tc>
          <w:tcPr>
            <w:tcW w:type="dxa" w:w="21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1m</w:t>
            </w:r>
          </w:p>
        </w:tc>
      </w:tr>
      <w:tr>
        <w:tc>
          <w:tcPr>
            <w:tcW w:type="dxa" w:w="17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11 · Roadmap</w:t>
            </w:r>
          </w:p>
        </w:tc>
        <w:tc>
          <w:tcPr>
            <w:tcW w:type="dxa" w:w="5226"/>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Never start with sensitive data; each phase gated.</w:t>
            </w:r>
          </w:p>
        </w:tc>
        <w:tc>
          <w:tcPr>
            <w:tcW w:type="dxa" w:w="210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1m</w:t>
            </w:r>
          </w:p>
        </w:tc>
      </w:tr>
      <w:tr>
        <w:tc>
          <w:tcPr>
            <w:tcW w:type="dxa" w:w="17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12 · The ask</w:t>
            </w:r>
          </w:p>
        </w:tc>
        <w:tc>
          <w:tcPr>
            <w:tcW w:type="dxa" w:w="5226"/>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State it, then stop talking.</w:t>
            </w:r>
          </w:p>
        </w:tc>
        <w:tc>
          <w:tcPr>
            <w:tcW w:type="dxa" w:w="210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1m</w:t>
            </w:r>
          </w:p>
        </w:tc>
      </w:tr>
    </w:tbl>
    <w:p>
      <w:pPr>
        <w:pStyle w:val="Heading1"/>
      </w:pPr>
      <w:r>
        <w:t xml:space="preserve">7. Tough questions, and how to answer them</w:t>
      </w:r>
    </w:p>
    <w:p>
      <w:pPr>
        <w:spacing w:after="150" w:line="276"/>
        <w:jc w:val="both"/>
      </w:pPr>
      <w:r>
        <w:t xml:space="preserve">Prepare these cold. Answer briefly and confidently, then stop — over-explaining signals doubt. Bridge every answer back to “small, safe, reversible.”</w:t>
      </w:r>
    </w:p>
    <w:p>
      <w:pPr>
        <w:spacing w:after="50" w:before="120" w:line="268"/>
      </w:pPr>
      <w:r>
        <w:rPr>
          <w:b/>
          <w:bCs/>
          <w:color w:val="2E5A88"/>
        </w:rPr>
        <w:t xml:space="preserve">Q.  </w:t>
      </w:r>
      <w:r>
        <w:rPr>
          <w:b/>
          <w:bCs/>
          <w:color w:val="1F3A5F"/>
        </w:rPr>
        <w:t xml:space="preserve">Haven't we already got APIs and download services — why do we need MCP?</w:t>
      </w:r>
    </w:p>
    <w:p>
      <w:pPr>
        <w:spacing w:after="60" w:line="270"/>
        <w:jc w:val="both"/>
      </w:pPr>
      <w:r>
        <w:rPr>
          <w:b/>
          <w:bCs/>
          <w:color w:val="2E5A88"/>
        </w:rPr>
        <w:t xml:space="preserve">A.  </w:t>
      </w:r>
      <w:r>
        <w:t xml:space="preserve">APIs are still right for bulk and system-to-system transfer. MCP adds the agent-facing layer on top: agents discover what exists and what it means as they ask, every answer carries its definition and citation, and one governed route serves many agents instead of a bespoke build each time. It complements our APIs; it doesn't replace them.</w:t>
      </w:r>
    </w:p>
    <w:p>
      <w:pPr>
        <w:spacing w:after="50" w:before="120" w:line="268"/>
      </w:pPr>
      <w:r>
        <w:rPr>
          <w:b/>
          <w:bCs/>
          <w:color w:val="2E5A88"/>
        </w:rPr>
        <w:t xml:space="preserve">Q.  </w:t>
      </w:r>
      <w:r>
        <w:rPr>
          <w:b/>
          <w:bCs/>
          <w:color w:val="1F3A5F"/>
        </w:rPr>
        <w:t xml:space="preserve">Isn't connecting AI to our data a security risk?</w:t>
      </w:r>
    </w:p>
    <w:p>
      <w:pPr>
        <w:spacing w:after="60" w:line="270"/>
        <w:jc w:val="both"/>
      </w:pPr>
      <w:r>
        <w:rPr>
          <w:b/>
          <w:bCs/>
          <w:color w:val="2E5A88"/>
        </w:rPr>
        <w:t xml:space="preserve">A.  </w:t>
      </w:r>
      <w:r>
        <w:t xml:space="preserve">The proof of concept uses only already-published data, so there's no new data risk to begin. The model is zero-trust and least-privilege, aligned with NCSC guidance and our Five Safes, with strong authentication, full audit logging and human approval for anything sensitive. The defining new risk — prompt injection — is designed out with narrow, allow-listed tools. And no sensitive data enters scope without your explicit approval.</w:t>
      </w:r>
    </w:p>
    <w:p>
      <w:pPr>
        <w:spacing w:after="50" w:before="120" w:line="268"/>
      </w:pPr>
      <w:r>
        <w:rPr>
          <w:b/>
          <w:bCs/>
          <w:color w:val="2E5A88"/>
        </w:rPr>
        <w:t xml:space="preserve">Q.  </w:t>
      </w:r>
      <w:r>
        <w:rPr>
          <w:b/>
          <w:bCs/>
          <w:color w:val="1F3A5F"/>
        </w:rPr>
        <w:t xml:space="preserve">What will it cost, and what's the return?</w:t>
      </w:r>
    </w:p>
    <w:p>
      <w:pPr>
        <w:spacing w:after="60" w:line="270"/>
        <w:jc w:val="both"/>
      </w:pPr>
      <w:r>
        <w:rPr>
          <w:b/>
          <w:bCs/>
          <w:color w:val="2E5A88"/>
        </w:rPr>
        <w:t xml:space="preserve">A.  </w:t>
      </w:r>
      <w:r>
        <w:t xml:space="preserve">Phase 0 is modest — indicatively £200k–£350k for a few weeks, using our existing team, platform and sign-on. The return is reduced integration effort, faster access to insight, and a reusable capability the wider public sector can build on. We'll baseline the metrics during Phase 0, so value is evidenced before any larger commitment.</w:t>
      </w:r>
    </w:p>
    <w:p>
      <w:pPr>
        <w:spacing w:after="50" w:before="120" w:line="268"/>
      </w:pPr>
      <w:r>
        <w:rPr>
          <w:b/>
          <w:bCs/>
          <w:color w:val="2E5A88"/>
        </w:rPr>
        <w:t xml:space="preserve">Q.  </w:t>
      </w:r>
      <w:r>
        <w:rPr>
          <w:b/>
          <w:bCs/>
          <w:color w:val="1F3A5F"/>
        </w:rPr>
        <w:t xml:space="preserve">Why now? Why not wait until it's more mature?</w:t>
      </w:r>
    </w:p>
    <w:p>
      <w:pPr>
        <w:spacing w:after="60" w:line="270"/>
        <w:jc w:val="both"/>
      </w:pPr>
      <w:r>
        <w:rPr>
          <w:b/>
          <w:bCs/>
          <w:color w:val="2E5A88"/>
        </w:rPr>
        <w:t xml:space="preserve">A.  </w:t>
      </w:r>
      <w:r>
        <w:t xml:space="preserve">The standard has settled — every major AI provider now supports MCP and it's under vendor-neutral governance. Demand for our data through agents is already arriving through ungoverned channels. Waiting means others define how public data is consumed and we retrofit later. Acting now is low-cost and lets us shape the pattern.</w:t>
      </w:r>
    </w:p>
    <w:p>
      <w:pPr>
        <w:spacing w:after="50" w:before="120" w:line="268"/>
      </w:pPr>
      <w:r>
        <w:rPr>
          <w:b/>
          <w:bCs/>
          <w:color w:val="2E5A88"/>
        </w:rPr>
        <w:t xml:space="preserve">Q.  </w:t>
      </w:r>
      <w:r>
        <w:rPr>
          <w:b/>
          <w:bCs/>
          <w:color w:val="1F3A5F"/>
        </w:rPr>
        <w:t xml:space="preserve">What if the technology changes, or we get locked into a vendor?</w:t>
      </w:r>
    </w:p>
    <w:p>
      <w:pPr>
        <w:spacing w:after="60" w:line="270"/>
        <w:jc w:val="both"/>
      </w:pPr>
      <w:r>
        <w:rPr>
          <w:b/>
          <w:bCs/>
          <w:color w:val="2E5A88"/>
        </w:rPr>
        <w:t xml:space="preserve">A.  </w:t>
      </w:r>
      <w:r>
        <w:t xml:space="preserve">MCP is an open, vendor-neutral, model-agnostic standard — it works with any AI model and isn't tied to a supplier. We build on existing infrastructure behind an abstraction layer, so we avoid lock-in and can adapt as the landscape moves.</w:t>
      </w:r>
    </w:p>
    <w:p>
      <w:pPr>
        <w:spacing w:after="50" w:before="120" w:line="268"/>
      </w:pPr>
      <w:r>
        <w:rPr>
          <w:b/>
          <w:bCs/>
          <w:color w:val="2E5A88"/>
        </w:rPr>
        <w:t xml:space="preserve">Q.  </w:t>
      </w:r>
      <w:r>
        <w:rPr>
          <w:b/>
          <w:bCs/>
          <w:color w:val="1F3A5F"/>
        </w:rPr>
        <w:t xml:space="preserve">Has anyone in government actually done this safely?</w:t>
      </w:r>
    </w:p>
    <w:p>
      <w:pPr>
        <w:spacing w:after="60" w:line="270"/>
        <w:jc w:val="both"/>
      </w:pPr>
      <w:r>
        <w:rPr>
          <w:b/>
          <w:bCs/>
          <w:color w:val="2E5A88"/>
        </w:rPr>
        <w:t xml:space="preserve">A.  </w:t>
      </w:r>
      <w:r>
        <w:t xml:space="preserve">Yes. DBT connected its AI assistant to live CRM data via an MCP server on existing sign-on, with answers cited to source. India's national statistics office has launched an MCP server over its official statistics. And GDS guidance recommends MCP as the access layer for AI. We'd be following a proven path — and can lead in UK official statistics.</w:t>
      </w:r>
    </w:p>
    <w:p>
      <w:pPr>
        <w:spacing w:after="50" w:before="120" w:line="268"/>
      </w:pPr>
      <w:r>
        <w:rPr>
          <w:b/>
          <w:bCs/>
          <w:color w:val="2E5A88"/>
        </w:rPr>
        <w:t xml:space="preserve">Q.  </w:t>
      </w:r>
      <w:r>
        <w:rPr>
          <w:b/>
          <w:bCs/>
          <w:color w:val="1F3A5F"/>
        </w:rPr>
        <w:t xml:space="preserve">What about public trust and misinformation?</w:t>
      </w:r>
    </w:p>
    <w:p>
      <w:pPr>
        <w:spacing w:after="60" w:line="270"/>
        <w:jc w:val="both"/>
      </w:pPr>
      <w:r>
        <w:rPr>
          <w:b/>
          <w:bCs/>
          <w:color w:val="2E5A88"/>
        </w:rPr>
        <w:t xml:space="preserve">A.  </w:t>
      </w:r>
      <w:r>
        <w:t xml:space="preserve">That's exactly why ONS should act. People will ask AI assistants about inflation or unemployment regardless; MCP ensures they get our authoritative, cited figure rather than a plausible-sounding guess. It protects the integrity of official statistics — it doesn't undermine it.</w:t>
      </w:r>
    </w:p>
    <w:p>
      <w:pPr>
        <w:spacing w:after="50" w:before="120" w:line="268"/>
      </w:pPr>
      <w:r>
        <w:rPr>
          <w:b/>
          <w:bCs/>
          <w:color w:val="2E5A88"/>
        </w:rPr>
        <w:t xml:space="preserve">Q.  </w:t>
      </w:r>
      <w:r>
        <w:rPr>
          <w:b/>
          <w:bCs/>
          <w:color w:val="1F3A5F"/>
        </w:rPr>
        <w:t xml:space="preserve">Do we have the skills and capacity?</w:t>
      </w:r>
    </w:p>
    <w:p>
      <w:pPr>
        <w:spacing w:after="60" w:line="270"/>
        <w:jc w:val="both"/>
      </w:pPr>
      <w:r>
        <w:rPr>
          <w:b/>
          <w:bCs/>
          <w:color w:val="2E5A88"/>
        </w:rPr>
        <w:t xml:space="preserve">A.  </w:t>
      </w:r>
      <w:r>
        <w:t xml:space="preserve">Phase 0 is deliberately small and uses our existing team and platform. The precedents show small teams delivered this in weeks by reusing existing security. Where needed we can draw on cross-government patterns and partner.</w:t>
      </w:r>
    </w:p>
    <w:p>
      <w:pPr>
        <w:spacing w:after="50" w:before="120" w:line="268"/>
      </w:pPr>
      <w:r>
        <w:rPr>
          <w:b/>
          <w:bCs/>
          <w:color w:val="2E5A88"/>
        </w:rPr>
        <w:t xml:space="preserve">Q.  </w:t>
      </w:r>
      <w:r>
        <w:rPr>
          <w:b/>
          <w:bCs/>
          <w:color w:val="1F3A5F"/>
        </w:rPr>
        <w:t xml:space="preserve">What exactly are you asking me to approve today?</w:t>
      </w:r>
    </w:p>
    <w:p>
      <w:pPr>
        <w:spacing w:after="60" w:line="270"/>
        <w:jc w:val="both"/>
      </w:pPr>
      <w:r>
        <w:rPr>
          <w:b/>
          <w:bCs/>
          <w:color w:val="2E5A88"/>
        </w:rPr>
        <w:t xml:space="preserve">A.  </w:t>
      </w:r>
      <w:r>
        <w:t xml:space="preserve">Three things: endorse the direction; approve Phase 0 funding to scope a public-data proof of concept and design Phase 1; and appoint a Senior Responsible Owner. No sensitive data, and a decision gate before anything scales.</w:t>
      </w:r>
    </w:p>
    <w:p>
      <w:pPr>
        <w:spacing w:after="50" w:before="120" w:line="268"/>
      </w:pPr>
      <w:r>
        <w:rPr>
          <w:b/>
          <w:bCs/>
          <w:color w:val="2E5A88"/>
        </w:rPr>
        <w:t xml:space="preserve">Q.  </w:t>
      </w:r>
      <w:r>
        <w:rPr>
          <w:b/>
          <w:bCs/>
          <w:color w:val="1F3A5F"/>
        </w:rPr>
        <w:t xml:space="preserve">What's the downside if it doesn't work?</w:t>
      </w:r>
    </w:p>
    <w:p>
      <w:pPr>
        <w:spacing w:after="60" w:line="270"/>
        <w:jc w:val="both"/>
      </w:pPr>
      <w:r>
        <w:rPr>
          <w:b/>
          <w:bCs/>
          <w:color w:val="2E5A88"/>
        </w:rPr>
        <w:t xml:space="preserve">A.  </w:t>
      </w:r>
      <w:r>
        <w:t xml:space="preserve">Very limited. It's public data, a few weeks, modest cost and fully reversible. Worst case, we've learned cheaply and built reusable security patterns. There's no production dependency and nothing to unwind.</w:t>
      </w:r>
    </w:p>
    <w:p>
      <w:pPr>
        <w:pStyle w:val="Heading1"/>
      </w:pPr>
      <w:r>
        <w:t xml:space="preserve">8. Handling objections</w:t>
      </w:r>
    </w:p>
    <w:p>
      <w:pPr>
        <w:spacing w:after="150" w:line="276"/>
        <w:jc w:val="both"/>
      </w:pPr>
      <w:r>
        <w:t xml:space="preserve">When you're challenged, resist defending. Use a simple three-step move that keeps you calm and credible:</w:t>
      </w:r>
    </w:p>
    <w:p>
      <w:pPr>
        <w:pStyle w:val="ListParagraph"/>
        <w:numPr>
          <w:ilvl w:val="0"/>
          <w:numId w:val="2"/>
        </w:numPr>
        <w:spacing w:after="100" w:line="268"/>
      </w:pPr>
      <w:r>
        <w:rPr>
          <w:b/>
          <w:bCs/>
        </w:rPr>
        <w:t xml:space="preserve">Acknowledge — </w:t>
      </w:r>
      <w:r>
        <w:t xml:space="preserve">“That's a fair challenge” / “Good question.” It shows confidence and buys you a second to think.</w:t>
      </w:r>
    </w:p>
    <w:p>
      <w:pPr>
        <w:pStyle w:val="ListParagraph"/>
        <w:numPr>
          <w:ilvl w:val="0"/>
          <w:numId w:val="2"/>
        </w:numPr>
        <w:spacing w:after="100" w:line="268"/>
      </w:pPr>
      <w:r>
        <w:rPr>
          <w:b/>
          <w:bCs/>
        </w:rPr>
        <w:t xml:space="preserve">Bridge — </w:t>
      </w:r>
      <w:r>
        <w:t xml:space="preserve">reframe to the principle: “The reason we start on public data is precisely to take that risk off the table.”</w:t>
      </w:r>
    </w:p>
    <w:p>
      <w:pPr>
        <w:pStyle w:val="ListParagraph"/>
        <w:numPr>
          <w:ilvl w:val="0"/>
          <w:numId w:val="2"/>
        </w:numPr>
        <w:spacing w:after="100" w:line="268"/>
      </w:pPr>
      <w:r>
        <w:rPr>
          <w:b/>
          <w:bCs/>
        </w:rPr>
        <w:t xml:space="preserve">Evidence — </w:t>
      </w:r>
      <w:r>
        <w:t xml:space="preserve">land a fact: a precedent, a control, or the staged approach. One piece of evidence beats three.</w:t>
      </w:r>
    </w:p>
    <w:p>
      <w:pPr>
        <w:spacing w:after="150" w:line="276"/>
        <w:jc w:val="both"/>
      </w:pPr>
      <w:r>
        <w:t xml:space="preserve">If you don't know an answer, say so and offer to follow up — “I don't want to guess; I'll confirm and come back to you by Friday.” Senior leaders trust that far more than bluffing. Never argue; if someone is sceptical, agree on a smaller step rather than defending the whole vision.</w:t>
      </w:r>
    </w:p>
    <w:p>
      <w:pPr>
        <w:pStyle w:val="Heading1"/>
      </w:pPr>
      <w:r>
        <w:t xml:space="preserve">9. Pre-meeting checklist</w:t>
      </w:r>
    </w:p>
    <w:p>
      <w:pPr>
        <w:pStyle w:val="ListParagraph"/>
        <w:numPr>
          <w:ilvl w:val="0"/>
          <w:numId w:val="2"/>
        </w:numPr>
        <w:spacing w:after="90" w:line="268"/>
      </w:pPr>
      <w:r>
        <w:t xml:space="preserve">Send a short pre-read 48 hours ahead — the one-screen email or the executive proposition, not the full deck.</w:t>
      </w:r>
    </w:p>
    <w:p>
      <w:pPr>
        <w:pStyle w:val="ListParagraph"/>
        <w:numPr>
          <w:ilvl w:val="0"/>
          <w:numId w:val="2"/>
        </w:numPr>
        <w:spacing w:after="90" w:line="268"/>
      </w:pPr>
      <w:r>
        <w:t xml:space="preserve">Confirm who is in the room and who actually makes the decision; tailor the ask to them.</w:t>
      </w:r>
    </w:p>
    <w:p>
      <w:pPr>
        <w:pStyle w:val="ListParagraph"/>
        <w:numPr>
          <w:ilvl w:val="0"/>
          <w:numId w:val="2"/>
        </w:numPr>
        <w:spacing w:after="90" w:line="268"/>
      </w:pPr>
      <w:r>
        <w:t xml:space="preserve">Agree the slot length with the chair and plan for it being cut in half.</w:t>
      </w:r>
    </w:p>
    <w:p>
      <w:pPr>
        <w:pStyle w:val="ListParagraph"/>
        <w:numPr>
          <w:ilvl w:val="0"/>
          <w:numId w:val="2"/>
        </w:numPr>
        <w:spacing w:after="90" w:line="268"/>
      </w:pPr>
      <w:r>
        <w:t xml:space="preserve">Test the screen, Presenter View and any clicker; have a PDF fallback.</w:t>
      </w:r>
    </w:p>
    <w:p>
      <w:pPr>
        <w:pStyle w:val="ListParagraph"/>
        <w:numPr>
          <w:ilvl w:val="0"/>
          <w:numId w:val="2"/>
        </w:numPr>
        <w:spacing w:after="90" w:line="268"/>
      </w:pPr>
      <w:r>
        <w:t xml:space="preserve">Bring the precedents note and the cost detail for Q&amp;A; know your numbers cold.</w:t>
      </w:r>
    </w:p>
    <w:p>
      <w:pPr>
        <w:pStyle w:val="ListParagraph"/>
        <w:numPr>
          <w:ilvl w:val="0"/>
          <w:numId w:val="2"/>
        </w:numPr>
        <w:spacing w:after="90" w:line="268"/>
      </w:pPr>
      <w:r>
        <w:t xml:space="preserve">Decide your single fallback ask in case the full ask stalls (e.g. just a follow-up working session).</w:t>
      </w:r>
    </w:p>
    <w:p>
      <w:pPr>
        <w:pStyle w:val="ListParagraph"/>
        <w:numPr>
          <w:ilvl w:val="0"/>
          <w:numId w:val="2"/>
        </w:numPr>
        <w:spacing w:after="90" w:line="268"/>
      </w:pPr>
      <w:r>
        <w:t xml:space="preserve">Have the explicit decision and next step written down to read out at the end.</w:t>
      </w:r>
    </w:p>
    <w:p>
      <w:pPr>
        <w:pStyle w:val="Heading1"/>
      </w:pPr>
      <w:r>
        <w:t xml:space="preserve">10. Pitfalls to avoid</w:t>
      </w:r>
    </w:p>
    <w:p>
      <w:pPr>
        <w:pStyle w:val="ListParagraph"/>
        <w:numPr>
          <w:ilvl w:val="0"/>
          <w:numId w:val="2"/>
        </w:numPr>
        <w:spacing w:after="90" w:line="268"/>
      </w:pPr>
      <w:r>
        <w:t xml:space="preserve">Going too technical — the moment you lose them with jargon, you lose the decision.</w:t>
      </w:r>
    </w:p>
    <w:p>
      <w:pPr>
        <w:pStyle w:val="ListParagraph"/>
        <w:numPr>
          <w:ilvl w:val="0"/>
          <w:numId w:val="2"/>
        </w:numPr>
        <w:spacing w:after="90" w:line="268"/>
      </w:pPr>
      <w:r>
        <w:t xml:space="preserve">Overselling — exaggerated claims invite scepticism; under-claim and let the evidence carry it.</w:t>
      </w:r>
    </w:p>
    <w:p>
      <w:pPr>
        <w:pStyle w:val="ListParagraph"/>
        <w:numPr>
          <w:ilvl w:val="0"/>
          <w:numId w:val="2"/>
        </w:numPr>
        <w:spacing w:after="90" w:line="268"/>
      </w:pPr>
      <w:r>
        <w:t xml:space="preserve">Reading the slides aloud — it signals you don't know the material.</w:t>
      </w:r>
    </w:p>
    <w:p>
      <w:pPr>
        <w:pStyle w:val="ListParagraph"/>
        <w:numPr>
          <w:ilvl w:val="0"/>
          <w:numId w:val="2"/>
        </w:numPr>
        <w:spacing w:after="90" w:line="268"/>
      </w:pPr>
      <w:r>
        <w:t xml:space="preserve">Burying the ask — say it clearly, once, and don't soften it with apology.</w:t>
      </w:r>
    </w:p>
    <w:p>
      <w:pPr>
        <w:pStyle w:val="ListParagraph"/>
        <w:numPr>
          <w:ilvl w:val="0"/>
          <w:numId w:val="2"/>
        </w:numPr>
        <w:spacing w:after="90" w:line="268"/>
      </w:pPr>
      <w:r>
        <w:t xml:space="preserve">Filling silence — after the ask, and after a hard question, let the pause do its work.</w:t>
      </w:r>
    </w:p>
    <w:p>
      <w:pPr>
        <w:pStyle w:val="ListParagraph"/>
        <w:numPr>
          <w:ilvl w:val="0"/>
          <w:numId w:val="2"/>
        </w:numPr>
        <w:spacing w:after="90" w:line="268"/>
      </w:pPr>
      <w:r>
        <w:t xml:space="preserve">Defending every point — concede small things to win the big one.</w:t>
      </w:r>
    </w:p>
    <w:p>
      <w:pPr>
        <w:pStyle w:val="Heading1"/>
      </w:pPr>
      <w:r>
        <w:t xml:space="preserve">11. Landing the close</w:t>
      </w:r>
    </w:p>
    <w:p>
      <w:pPr>
        <w:spacing w:after="150" w:line="276"/>
        <w:jc w:val="both"/>
      </w:pPr>
      <w:r>
        <w:t xml:space="preserve">End on the decision, not on “thank you.” Say the ask in plain words, name the first 90 days, and ask directly for endorsement: “Can I have your support to scope a public-data proof of concept, and bring the results back to this committee?” Then be quiet. If you get a yes, confirm the owner and the next date before you leave the room. If you get a maybe, secure the smallest concrete next step — a follow-up session or a named sponsor — so the momentum doesn't die in the diary.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pPr>
    <w:r>
      <w:rPr>
        <w:color w:val="595959"/>
        <w:sz w:val="16"/>
        <w:szCs w:val="16"/>
      </w:rPr>
      <w:t xml:space="preserve">OFFICIAL — Companion to the MCP deck</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595959"/>
        <w:sz w:val="16"/>
        <w:szCs w:val="16"/>
      </w:rPr>
      <w:t xml:space="preserve">Presentation Coach Guide — MCP pitch</w:t>
    </w:r>
    <w:r>
      <w:rPr>
        <w:b/>
        <w:bCs/>
        <w:color w:val="595959"/>
        <w:sz w:val="16"/>
        <w:szCs w:val="16"/>
      </w:rPr>
      <w:t xml:space="preserve">	OFFICIAL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CE6F1" w:sz="4" w:space="4"/>
      </w:pBdr>
      <w:spacing w:after="15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5A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Coach Guide — MCP pitch</dc:title>
  <dc:creator>Strategy &amp; Data Office</dc:creator>
  <cp:lastModifiedBy>Un-named</cp:lastModifiedBy>
  <cp:revision>1</cp:revision>
  <dcterms:created xsi:type="dcterms:W3CDTF">2026-06-26T17:08:03.578Z</dcterms:created>
  <dcterms:modified xsi:type="dcterms:W3CDTF">2026-06-26T17:08:03.578Z</dcterms:modified>
</cp:coreProperties>
</file>

<file path=docProps/custom.xml><?xml version="1.0" encoding="utf-8"?>
<Properties xmlns="http://schemas.openxmlformats.org/officeDocument/2006/custom-properties" xmlns:vt="http://schemas.openxmlformats.org/officeDocument/2006/docPropsVTypes"/>
</file>