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Following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Situation-Behavior-Impact (SBI)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framework and aiming for the recommended 5–7 sentence length, here is a redact of that event to showcase the value of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Ownership and Results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Value: Results + Ownership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SITUATION: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On a Friday afternoon, a critical bug was identified in the SmartPhone UI module, jeopardizing a high-profile release scheduled for the following Monday morning. Because the primary UI team was unavailable due to vacations and other absences, the release was at immediate risk of failure.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BEHAVIOR: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Although I was already working late into Friday evening resolving other high-priority bugs, I recognized the business impact of a delayed launch and volunteered to own the resolution of this critical issue over the weekend. I dedicated approximately 12 hours on Sunday to perform an exhaustive root-cause analysis of the UI module and successfully implemented a stable fix. I then coordinated directly with the build team to ensure the patch was integrated and verified before the Monday deadline.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IMPACT: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As a direct result of my weekend intervention, the build team successfully deployed the release on Monday morning as planned, fulfilling our commitment to the stakeholders. This effort prevented a costly launch delay and maintained the product's momentum. My actions demonstrated a high level of accountability and cross-functional support, ensuring the team's success during a high-pressure scenario.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50" w:line="275.9999942779541" w:lineRule="auto"/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Expert Guidance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 a senior-level evaluation, highlighting that you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self-managed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the coordination with the "build team" is a key detail. It shows you didn't just "fix the code," but you also ensured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process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reached the finish line.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Since this was a SmartPhone UI module, were there any specific performance metrics or "crash rate" improvements you observed after the fix that we could add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Impact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section to make it even stronger?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