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w:t>
      </w:r>
      <w:r w:rsidDel="00000000" w:rsidR="00000000" w:rsidRPr="00000000">
        <w:rPr>
          <w:rFonts w:ascii="Google Sans" w:cs="Google Sans" w:eastAsia="Google Sans" w:hAnsi="Google Sans"/>
          <w:b w:val="1"/>
          <w:bCs w:val="1"/>
          <w:color w:val="1f1f1f"/>
          <w:rtl w:val="0"/>
        </w:rPr>
        <w:t xml:space="preserve">GROW</w:t>
      </w:r>
      <w:r w:rsidDel="00000000" w:rsidR="00000000" w:rsidRPr="00000000">
        <w:rPr>
          <w:rFonts w:ascii="Google Sans" w:cs="Google Sans" w:eastAsia="Google Sans" w:hAnsi="Google Sans"/>
          <w:color w:val="1f1f1f"/>
          <w:rtl w:val="0"/>
        </w:rPr>
        <w:t xml:space="preserve"> (Goal, Reality, Options, Way Forward) model, here is a redact for your future development goals. This draft emphasizes the shift from implementation to high-level architectural oversight, which is a hallmark of senior engineering leadership.</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Skill: AI Engineering Integration in the SDLC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objective is to systematically integrate AI engineering into my development lifecycle to automate routine implementation tasks and boilerplate generation. This shift is critical because it will allow me to reallocate my cognitive focus toward high-level architecture, modular integrity, and the strategic optimization of component cohesion and coupling.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I maintain high standards for design and testing, yet manual refactoring and building out test coverage for complex modules still consume a significant portion of my daily bandwidth. While I am highly proficient with our current development environments, my use of AI is presently ad-hoc rather than a structured part of my architectural workflow. This creates a gap where repetitive aspects of software construction occupy time that could be better spent on deep-dive architectural consulting. Consequently, the capacity to address system-wide collaboration and technical debt is often limited by these low-level implementation requirements.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researched several development paths, including the integration of private AI models into our modern Visual Studio environments and mastering prompt engineering for advanced C# refactoring. I can also explore implementing AI-driven unit test generation to more efficiently meet our coverage goals, particularly across our legacy systems. Furthermore, I plan to dedicate time to learning how to use agentic workflows to assist in complex code analysis and architectural prototyping. I have also identified a specialized online course focused on AI-augmented software engineering that would accelerate this transition and provide a formal framework for implementation.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WAY FORWARD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plan is to finalize a formal AI-assisted development protocol by the end of Q2, specifically targeting the automation of boilerplate and initial test scaffolding. I will pilot these techniques on our next major module update to measure improvements in development velocity and design quality. To support this, I am requesting a budget for a pro-level AI coding assistant and access to a secure internal sandbox for testing private LLM integrations. Success will be defined by a measurable increase in my capacity to lead architectural design reviews and focus on reducing technical debt at the system level. By Q3, I aim to have this workflow fully operational and documented as a best practice for the broader engineering team.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Expert Guidance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w:t>
      </w:r>
      <w:r w:rsidDel="00000000" w:rsidR="00000000" w:rsidRPr="00000000">
        <w:rPr>
          <w:rFonts w:ascii="Google Sans" w:cs="Google Sans" w:eastAsia="Google Sans" w:hAnsi="Google Sans"/>
          <w:b w:val="1"/>
          <w:bCs w:val="1"/>
          <w:color w:val="1f1f1f"/>
          <w:rtl w:val="0"/>
        </w:rPr>
        <w:t xml:space="preserve">Reality</w:t>
      </w:r>
      <w:r w:rsidDel="00000000" w:rsidR="00000000" w:rsidRPr="00000000">
        <w:rPr>
          <w:rFonts w:ascii="Google Sans" w:cs="Google Sans" w:eastAsia="Google Sans" w:hAnsi="Google Sans"/>
          <w:color w:val="1f1f1f"/>
          <w:rtl w:val="0"/>
        </w:rPr>
        <w:t xml:space="preserve"> section, emphasizing the "opportunity cost" of your current workflow is a strong senior move. It tells HR and leadership that you aren't just looking for a new tool—you are looking to increase the </w:t>
      </w:r>
      <w:r w:rsidDel="00000000" w:rsidR="00000000" w:rsidRPr="00000000">
        <w:rPr>
          <w:rFonts w:ascii="Google Sans" w:cs="Google Sans" w:eastAsia="Google Sans" w:hAnsi="Google Sans"/>
          <w:b w:val="1"/>
          <w:bCs w:val="1"/>
          <w:color w:val="1f1f1f"/>
          <w:rtl w:val="0"/>
        </w:rPr>
        <w:t xml:space="preserve">ROI of your time</w:t>
      </w:r>
      <w:r w:rsidDel="00000000" w:rsidR="00000000" w:rsidRPr="00000000">
        <w:rPr>
          <w:rFonts w:ascii="Google Sans" w:cs="Google Sans" w:eastAsia="Google Sans" w:hAnsi="Google Sans"/>
          <w:color w:val="1f1f1f"/>
          <w:rtl w:val="0"/>
        </w:rPr>
        <w:t xml:space="preserve"> by focusing on the complex architectural problems that only a senior lead can solve.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mentioned focusing on "component cohesion and coupling," would you like to add a specific metric for how you will measure that success (e.g., a reduction in "Cyclomatic Complexity" scores or a percentage increase in unit test coverage)?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