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70F1F" w14:textId="77777777">
      <w:pPr>
        <w:pStyle w:val="Cm"/>
      </w:pPr>
      <w:r>
        <w:rPr>
          <w:noProof/>
        </w:rPr>
        <w:drawing>
          <wp:anchor distT="0" distB="0" distL="114300" distR="114300" simplePos="0" relativeHeight="251687936" behindDoc="0" locked="0" layoutInCell="1" allowOverlap="1" wp14:anchorId="753F6D74" wp14:editId="1D56F7AD">
            <wp:simplePos x="905774" y="715992"/>
            <wp:positionH relativeFrom="margin">
              <wp:align>center</wp:align>
            </wp:positionH>
            <wp:positionV relativeFrom="margin">
              <wp:posOffset>0</wp:posOffset>
            </wp:positionV>
            <wp:extent cx="5000400" cy="3963600"/>
            <wp:effectExtent l="0" t="0" r="0" b="0"/>
            <wp:wrapTopAndBottom/>
            <wp:docPr id="35"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00400" cy="3963600"/>
                    </a:xfrm>
                    <a:prstGeom prst="rect">
                      <a:avLst/>
                    </a:prstGeom>
                    <a:noFill/>
                    <a:ln>
                      <a:noFill/>
                    </a:ln>
                  </pic:spPr>
                </pic:pic>
              </a:graphicData>
            </a:graphic>
            <wp14:sizeRelH relativeFrom="margin">
              <wp14:pctWidth>0</wp14:pctWidth>
            </wp14:sizeRelH>
            <wp14:sizeRelV relativeFrom="margin">
              <wp14:pctHeight>0</wp14:pctHeight>
            </wp14:sizeRelV>
          </wp:anchor>
        </w:drawing>
      </w:r>
      <w:r>
        <w:t>Encoding Guide</w:t>
      </w:r>
      <w:r>
        <w:br/>
      </w:r>
      <w:r>
        <w:rPr>
          <w:sz w:val="72"/>
          <w:szCs w:val="72"/>
        </w:rPr>
        <w:t>for Documentary Editions</w:t>
      </w:r>
    </w:p>
    <w:p w14:paraId="3BBC0103" w14:textId="77777777">
      <w:pPr>
        <w:pStyle w:val="Frontmatter"/>
      </w:pPr>
      <w:bookmarkStart w:id="0" w:name="_nlm3dlptfwlj" w:colFirst="0" w:colLast="0"/>
      <w:bookmarkStart w:id="1" w:name="_Hlk19355849"/>
      <w:bookmarkEnd w:id="0"/>
      <w:bookmarkEnd w:id="1"/>
      <w:r>
        <w:t>Dániel Balogh &amp; Arlo Griffiths</w:t>
      </w:r>
    </w:p>
    <w:p w14:paraId="367FA788" w14:textId="77777777">
      <w:pPr>
        <w:pStyle w:val="Frontmatter"/>
      </w:pPr>
    </w:p>
    <w:p w14:paraId="5A4AE545" w14:textId="063730A4">
      <w:pPr>
        <w:pStyle w:val="Frontmatter"/>
      </w:pPr>
      <w:bookmarkStart w:id="2" w:name="_6uvsaj3wvd38" w:colFirst="0" w:colLast="0"/>
      <w:bookmarkStart w:id="3" w:name="_4s3elmevh075" w:colFirst="0" w:colLast="0"/>
      <w:bookmarkEnd w:id="2"/>
      <w:bookmarkEnd w:id="3"/>
      <w:r>
        <w:t xml:space="preserve"> Version 2, 2026</w:t>
      </w:r>
    </w:p>
    <w:p w14:paraId="064A723E" w14:textId="77777777">
      <w:pPr>
        <w:pStyle w:val="Frontmatter"/>
        <w:spacing w:before="200"/>
      </w:pPr>
      <w:r>
        <w:rPr>
          <w:noProof/>
        </w:rPr>
        <w:drawing>
          <wp:anchor distT="0" distB="0" distL="114300" distR="114300" simplePos="0" relativeHeight="251686912" behindDoc="1" locked="0" layoutInCell="1" allowOverlap="1" wp14:anchorId="2C685721" wp14:editId="39E35811">
            <wp:simplePos x="0" y="0"/>
            <wp:positionH relativeFrom="margin">
              <wp:posOffset>1856105</wp:posOffset>
            </wp:positionH>
            <wp:positionV relativeFrom="bottomMargin">
              <wp:posOffset>-3090384</wp:posOffset>
            </wp:positionV>
            <wp:extent cx="2407920" cy="2415540"/>
            <wp:effectExtent l="0" t="0" r="0" b="3810"/>
            <wp:wrapNone/>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7920" cy="2415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0D76C2" w14:textId="77777777">
      <w:pPr>
        <w:pStyle w:val="Frontmatter"/>
      </w:pPr>
    </w:p>
    <w:p w14:paraId="2C91E032" w14:textId="77777777">
      <w:pPr>
        <w:pStyle w:val="Frontmatter"/>
      </w:pPr>
    </w:p>
    <w:p w14:paraId="7352B168" w14:textId="77777777">
      <w:pPr>
        <w:pStyle w:val="Frontmatter"/>
      </w:pPr>
    </w:p>
    <w:p w14:paraId="466CDB6A" w14:textId="77777777">
      <w:pPr>
        <w:pStyle w:val="Frontmatter"/>
      </w:pPr>
    </w:p>
    <w:p w14:paraId="592A5C6E" w14:textId="77777777">
      <w:pPr>
        <w:pStyle w:val="Frontmatter"/>
      </w:pPr>
    </w:p>
    <w:p w14:paraId="4928C984" w14:textId="77777777">
      <w:pPr>
        <w:pStyle w:val="Frontmatter"/>
      </w:pPr>
    </w:p>
    <w:p w14:paraId="3CC7B9D3" w14:textId="77777777">
      <w:pPr>
        <w:pStyle w:val="Frontmatter"/>
      </w:pPr>
    </w:p>
    <w:p w14:paraId="5530AA91" w14:textId="77777777">
      <w:pPr>
        <w:pStyle w:val="Frontmatter"/>
      </w:pPr>
    </w:p>
    <w:p w14:paraId="470C717D" w14:textId="77777777">
      <w:pPr>
        <w:pStyle w:val="Frontmatter"/>
      </w:pPr>
    </w:p>
    <w:p w14:paraId="436AA911" w14:textId="77777777">
      <w:pPr>
        <w:pStyle w:val="Frontmatter"/>
      </w:pPr>
      <w:bookmarkStart w:id="4" w:name="_Hlk44316166"/>
      <w:r>
        <w:t>This project has received funding from the European Research Council (ERC)</w:t>
      </w:r>
      <w:r>
        <w:br/>
        <w:t>under the European Union’s Horizon 2020 research and innovation programme</w:t>
      </w:r>
      <w:r>
        <w:br/>
        <w:t>(grant agreement No 809994).</w:t>
      </w:r>
    </w:p>
    <w:p w14:paraId="6DE4D727" w14:textId="77777777">
      <w:pPr>
        <w:pStyle w:val="Cm"/>
      </w:pPr>
      <w:bookmarkStart w:id="5" w:name="_62ze56ka8a10" w:colFirst="0" w:colLast="0"/>
      <w:bookmarkEnd w:id="4"/>
      <w:bookmarkEnd w:id="5"/>
      <w:r>
        <w:lastRenderedPageBreak/>
        <w:t>Contents</w:t>
      </w:r>
    </w:p>
    <w:p w14:paraId="472DEB33" w14:textId="7116355B">
      <w:pPr>
        <w:pStyle w:val="TJ1"/>
        <w:rPr>
          <w:rFonts w:asciiTheme="minorHAnsi" w:hAnsiTheme="minorHAnsi" w:cstheme="minorBidi"/>
          <w:b w:val="0"/>
          <w:noProof/>
          <w:sz w:val="24"/>
          <w:szCs w:val="21"/>
          <w:lang w:eastAsia="en-GB" w:bidi="sa-IN"/>
        </w:rPr>
      </w:pPr>
      <w:r>
        <w:rPr>
          <w:rFonts w:asciiTheme="majorHAnsi" w:hAnsiTheme="majorHAnsi"/>
          <w:b w:val="0"/>
          <w:sz w:val="18"/>
        </w:rPr>
        <w:fldChar w:fldCharType="begin"/>
      </w:r>
      <w:r>
        <w:instrText xml:space="preserve"> TOC \o "3-3" \h \z \t "Címsor 1,1,Címsor 2,2" </w:instrText>
      </w:r>
      <w:r>
        <w:rPr>
          <w:rFonts w:asciiTheme="majorHAnsi" w:hAnsiTheme="majorHAnsi"/>
          <w:b w:val="0"/>
          <w:sz w:val="18"/>
        </w:rPr>
        <w:fldChar w:fldCharType="separate"/>
      </w:r>
      <w:hyperlink w:anchor="_Toc243922577" w:history="1">
        <w:r>
          <w:rPr>
            <w:rStyle w:val="Hiperhivatkozs"/>
            <w:noProof/>
            <w:lang w:bidi="ar-SA"/>
          </w:rPr>
          <w:t>1. Introduction</w:t>
        </w:r>
        <w:r>
          <w:rPr>
            <w:noProof/>
            <w:webHidden/>
          </w:rPr>
          <w:tab/>
        </w:r>
        <w:r>
          <w:rPr>
            <w:noProof/>
            <w:webHidden/>
          </w:rPr>
          <w:fldChar w:fldCharType="begin"/>
        </w:r>
        <w:r>
          <w:rPr>
            <w:noProof/>
            <w:webHidden/>
          </w:rPr>
          <w:instrText xml:space="preserve"> PAGEREF _Toc243922577 \h </w:instrText>
        </w:r>
        <w:r>
          <w:rPr>
            <w:noProof/>
            <w:webHidden/>
          </w:rPr>
        </w:r>
        <w:r>
          <w:rPr>
            <w:noProof/>
            <w:webHidden/>
          </w:rPr>
          <w:fldChar w:fldCharType="separate"/>
        </w:r>
        <w:r>
          <w:rPr>
            <w:noProof/>
            <w:webHidden/>
          </w:rPr>
          <w:t>6</w:t>
        </w:r>
        <w:r>
          <w:rPr>
            <w:noProof/>
            <w:webHidden/>
          </w:rPr>
          <w:fldChar w:fldCharType="end"/>
        </w:r>
      </w:hyperlink>
    </w:p>
    <w:p w14:paraId="47A4E23D" w14:textId="238F2431">
      <w:pPr>
        <w:pStyle w:val="TJ2"/>
        <w:rPr>
          <w:rFonts w:asciiTheme="minorHAnsi" w:hAnsiTheme="minorHAnsi" w:cstheme="minorBidi"/>
          <w:noProof/>
          <w:sz w:val="24"/>
          <w:szCs w:val="21"/>
          <w:lang w:eastAsia="en-GB" w:bidi="sa-IN"/>
        </w:rPr>
      </w:pPr>
      <w:hyperlink w:anchor="_Toc243922578" w:history="1">
        <w:r>
          <w:rPr>
            <w:rStyle w:val="Hiperhivatkozs"/>
            <w:noProof/>
            <w:lang w:bidi="ar-SA"/>
          </w:rPr>
          <w:t>1.1. Version history</w:t>
        </w:r>
        <w:r>
          <w:rPr>
            <w:noProof/>
            <w:webHidden/>
          </w:rPr>
          <w:tab/>
        </w:r>
        <w:r>
          <w:rPr>
            <w:noProof/>
            <w:webHidden/>
          </w:rPr>
          <w:fldChar w:fldCharType="begin"/>
        </w:r>
        <w:r>
          <w:rPr>
            <w:noProof/>
            <w:webHidden/>
          </w:rPr>
          <w:instrText xml:space="preserve"> PAGEREF _Toc243922578 \h </w:instrText>
        </w:r>
        <w:r>
          <w:rPr>
            <w:noProof/>
            <w:webHidden/>
          </w:rPr>
        </w:r>
        <w:r>
          <w:rPr>
            <w:noProof/>
            <w:webHidden/>
          </w:rPr>
          <w:fldChar w:fldCharType="separate"/>
        </w:r>
        <w:r>
          <w:rPr>
            <w:noProof/>
            <w:webHidden/>
          </w:rPr>
          <w:t>6</w:t>
        </w:r>
        <w:r>
          <w:rPr>
            <w:noProof/>
            <w:webHidden/>
          </w:rPr>
          <w:fldChar w:fldCharType="end"/>
        </w:r>
      </w:hyperlink>
    </w:p>
    <w:p w14:paraId="1B88086B" w14:textId="61A22553">
      <w:pPr>
        <w:pStyle w:val="TJ2"/>
        <w:rPr>
          <w:rFonts w:asciiTheme="minorHAnsi" w:hAnsiTheme="minorHAnsi" w:cstheme="minorBidi"/>
          <w:noProof/>
          <w:sz w:val="24"/>
          <w:szCs w:val="21"/>
          <w:lang w:eastAsia="en-GB" w:bidi="sa-IN"/>
        </w:rPr>
      </w:pPr>
      <w:hyperlink w:anchor="_Toc243922579" w:history="1">
        <w:r>
          <w:rPr>
            <w:rStyle w:val="Hiperhivatkozs"/>
            <w:noProof/>
            <w:lang w:bidi="ar-SA"/>
          </w:rPr>
          <w:t>1.2. Acknowledgements</w:t>
        </w:r>
        <w:r>
          <w:rPr>
            <w:noProof/>
            <w:webHidden/>
          </w:rPr>
          <w:tab/>
        </w:r>
        <w:r>
          <w:rPr>
            <w:noProof/>
            <w:webHidden/>
          </w:rPr>
          <w:fldChar w:fldCharType="begin"/>
        </w:r>
        <w:r>
          <w:rPr>
            <w:noProof/>
            <w:webHidden/>
          </w:rPr>
          <w:instrText xml:space="preserve"> PAGEREF _Toc243922579 \h </w:instrText>
        </w:r>
        <w:r>
          <w:rPr>
            <w:noProof/>
            <w:webHidden/>
          </w:rPr>
        </w:r>
        <w:r>
          <w:rPr>
            <w:noProof/>
            <w:webHidden/>
          </w:rPr>
          <w:fldChar w:fldCharType="separate"/>
        </w:r>
        <w:r>
          <w:rPr>
            <w:noProof/>
            <w:webHidden/>
          </w:rPr>
          <w:t>6</w:t>
        </w:r>
        <w:r>
          <w:rPr>
            <w:noProof/>
            <w:webHidden/>
          </w:rPr>
          <w:fldChar w:fldCharType="end"/>
        </w:r>
      </w:hyperlink>
    </w:p>
    <w:p w14:paraId="4CB7A492" w14:textId="2D5CADFF">
      <w:pPr>
        <w:pStyle w:val="TJ2"/>
        <w:rPr>
          <w:rFonts w:asciiTheme="minorHAnsi" w:hAnsiTheme="minorHAnsi" w:cstheme="minorBidi"/>
          <w:noProof/>
          <w:sz w:val="24"/>
          <w:szCs w:val="21"/>
          <w:lang w:eastAsia="en-GB" w:bidi="sa-IN"/>
        </w:rPr>
      </w:pPr>
      <w:hyperlink w:anchor="_Toc243922580" w:history="1">
        <w:r>
          <w:rPr>
            <w:rStyle w:val="Hiperhivatkozs"/>
            <w:noProof/>
            <w:lang w:bidi="ar-SA"/>
          </w:rPr>
          <w:t>1.3. Scope</w:t>
        </w:r>
        <w:r>
          <w:rPr>
            <w:noProof/>
            <w:webHidden/>
          </w:rPr>
          <w:tab/>
        </w:r>
        <w:r>
          <w:rPr>
            <w:noProof/>
            <w:webHidden/>
          </w:rPr>
          <w:fldChar w:fldCharType="begin"/>
        </w:r>
        <w:r>
          <w:rPr>
            <w:noProof/>
            <w:webHidden/>
          </w:rPr>
          <w:instrText xml:space="preserve"> PAGEREF _Toc243922580 \h </w:instrText>
        </w:r>
        <w:r>
          <w:rPr>
            <w:noProof/>
            <w:webHidden/>
          </w:rPr>
        </w:r>
        <w:r>
          <w:rPr>
            <w:noProof/>
            <w:webHidden/>
          </w:rPr>
          <w:fldChar w:fldCharType="separate"/>
        </w:r>
        <w:r>
          <w:rPr>
            <w:noProof/>
            <w:webHidden/>
          </w:rPr>
          <w:t>6</w:t>
        </w:r>
        <w:r>
          <w:rPr>
            <w:noProof/>
            <w:webHidden/>
          </w:rPr>
          <w:fldChar w:fldCharType="end"/>
        </w:r>
      </w:hyperlink>
    </w:p>
    <w:p w14:paraId="3C315B9E" w14:textId="2DCDBBE4">
      <w:pPr>
        <w:pStyle w:val="TJ2"/>
        <w:rPr>
          <w:rFonts w:asciiTheme="minorHAnsi" w:hAnsiTheme="minorHAnsi" w:cstheme="minorBidi"/>
          <w:noProof/>
          <w:sz w:val="24"/>
          <w:szCs w:val="21"/>
          <w:lang w:eastAsia="en-GB" w:bidi="sa-IN"/>
        </w:rPr>
      </w:pPr>
      <w:hyperlink w:anchor="_Toc243922581" w:history="1">
        <w:r>
          <w:rPr>
            <w:rStyle w:val="Hiperhivatkozs"/>
            <w:noProof/>
            <w:lang w:bidi="ar-SA"/>
          </w:rPr>
          <w:t>1.4. Further reading</w:t>
        </w:r>
        <w:r>
          <w:rPr>
            <w:noProof/>
            <w:webHidden/>
          </w:rPr>
          <w:tab/>
        </w:r>
        <w:r>
          <w:rPr>
            <w:noProof/>
            <w:webHidden/>
          </w:rPr>
          <w:fldChar w:fldCharType="begin"/>
        </w:r>
        <w:r>
          <w:rPr>
            <w:noProof/>
            <w:webHidden/>
          </w:rPr>
          <w:instrText xml:space="preserve"> PAGEREF _Toc243922581 \h </w:instrText>
        </w:r>
        <w:r>
          <w:rPr>
            <w:noProof/>
            <w:webHidden/>
          </w:rPr>
        </w:r>
        <w:r>
          <w:rPr>
            <w:noProof/>
            <w:webHidden/>
          </w:rPr>
          <w:fldChar w:fldCharType="separate"/>
        </w:r>
        <w:r>
          <w:rPr>
            <w:noProof/>
            <w:webHidden/>
          </w:rPr>
          <w:t>7</w:t>
        </w:r>
        <w:r>
          <w:rPr>
            <w:noProof/>
            <w:webHidden/>
          </w:rPr>
          <w:fldChar w:fldCharType="end"/>
        </w:r>
      </w:hyperlink>
    </w:p>
    <w:p w14:paraId="4C94896D" w14:textId="51059FD9">
      <w:pPr>
        <w:pStyle w:val="TJ2"/>
        <w:rPr>
          <w:rFonts w:asciiTheme="minorHAnsi" w:hAnsiTheme="minorHAnsi" w:cstheme="minorBidi"/>
          <w:noProof/>
          <w:sz w:val="24"/>
          <w:szCs w:val="21"/>
          <w:lang w:eastAsia="en-GB" w:bidi="sa-IN"/>
        </w:rPr>
      </w:pPr>
      <w:hyperlink w:anchor="_Toc243922582" w:history="1">
        <w:r>
          <w:rPr>
            <w:rStyle w:val="Hiperhivatkozs"/>
            <w:noProof/>
            <w:lang w:bidi="ar-SA"/>
          </w:rPr>
          <w:t>1.5. Software</w:t>
        </w:r>
        <w:r>
          <w:rPr>
            <w:noProof/>
            <w:webHidden/>
          </w:rPr>
          <w:tab/>
        </w:r>
        <w:r>
          <w:rPr>
            <w:noProof/>
            <w:webHidden/>
          </w:rPr>
          <w:fldChar w:fldCharType="begin"/>
        </w:r>
        <w:r>
          <w:rPr>
            <w:noProof/>
            <w:webHidden/>
          </w:rPr>
          <w:instrText xml:space="preserve"> PAGEREF _Toc243922582 \h </w:instrText>
        </w:r>
        <w:r>
          <w:rPr>
            <w:noProof/>
            <w:webHidden/>
          </w:rPr>
        </w:r>
        <w:r>
          <w:rPr>
            <w:noProof/>
            <w:webHidden/>
          </w:rPr>
          <w:fldChar w:fldCharType="separate"/>
        </w:r>
        <w:r>
          <w:rPr>
            <w:noProof/>
            <w:webHidden/>
          </w:rPr>
          <w:t>7</w:t>
        </w:r>
        <w:r>
          <w:rPr>
            <w:noProof/>
            <w:webHidden/>
          </w:rPr>
          <w:fldChar w:fldCharType="end"/>
        </w:r>
      </w:hyperlink>
    </w:p>
    <w:p w14:paraId="7968E9F2" w14:textId="1DDAF8B5">
      <w:pPr>
        <w:pStyle w:val="TJ2"/>
        <w:rPr>
          <w:rFonts w:asciiTheme="minorHAnsi" w:hAnsiTheme="minorHAnsi" w:cstheme="minorBidi"/>
          <w:noProof/>
          <w:sz w:val="24"/>
          <w:szCs w:val="21"/>
          <w:lang w:eastAsia="en-GB" w:bidi="sa-IN"/>
        </w:rPr>
      </w:pPr>
      <w:hyperlink w:anchor="_Toc243922583" w:history="1">
        <w:r>
          <w:rPr>
            <w:rStyle w:val="Hiperhivatkozs"/>
            <w:noProof/>
            <w:lang w:bidi="ar-SA"/>
          </w:rPr>
          <w:t>1.6. Note on the examples</w:t>
        </w:r>
        <w:r>
          <w:rPr>
            <w:noProof/>
            <w:webHidden/>
          </w:rPr>
          <w:tab/>
        </w:r>
        <w:r>
          <w:rPr>
            <w:noProof/>
            <w:webHidden/>
          </w:rPr>
          <w:fldChar w:fldCharType="begin"/>
        </w:r>
        <w:r>
          <w:rPr>
            <w:noProof/>
            <w:webHidden/>
          </w:rPr>
          <w:instrText xml:space="preserve"> PAGEREF _Toc243922583 \h </w:instrText>
        </w:r>
        <w:r>
          <w:rPr>
            <w:noProof/>
            <w:webHidden/>
          </w:rPr>
        </w:r>
        <w:r>
          <w:rPr>
            <w:noProof/>
            <w:webHidden/>
          </w:rPr>
          <w:fldChar w:fldCharType="separate"/>
        </w:r>
        <w:r>
          <w:rPr>
            <w:noProof/>
            <w:webHidden/>
          </w:rPr>
          <w:t>7</w:t>
        </w:r>
        <w:r>
          <w:rPr>
            <w:noProof/>
            <w:webHidden/>
          </w:rPr>
          <w:fldChar w:fldCharType="end"/>
        </w:r>
      </w:hyperlink>
    </w:p>
    <w:p w14:paraId="48E3D077" w14:textId="05EF3092">
      <w:pPr>
        <w:pStyle w:val="TJ2"/>
        <w:rPr>
          <w:rFonts w:asciiTheme="minorHAnsi" w:hAnsiTheme="minorHAnsi" w:cstheme="minorBidi"/>
          <w:noProof/>
          <w:sz w:val="24"/>
          <w:szCs w:val="21"/>
          <w:lang w:eastAsia="en-GB" w:bidi="sa-IN"/>
        </w:rPr>
      </w:pPr>
      <w:hyperlink w:anchor="_Toc243922584" w:history="1">
        <w:r>
          <w:rPr>
            <w:rStyle w:val="Hiperhivatkozs"/>
            <w:noProof/>
            <w:lang w:bidi="ar-SA"/>
          </w:rPr>
          <w:t>1.7. Abbreviations</w:t>
        </w:r>
        <w:r>
          <w:rPr>
            <w:noProof/>
            <w:webHidden/>
          </w:rPr>
          <w:tab/>
        </w:r>
        <w:r>
          <w:rPr>
            <w:noProof/>
            <w:webHidden/>
          </w:rPr>
          <w:fldChar w:fldCharType="begin"/>
        </w:r>
        <w:r>
          <w:rPr>
            <w:noProof/>
            <w:webHidden/>
          </w:rPr>
          <w:instrText xml:space="preserve"> PAGEREF _Toc243922584 \h </w:instrText>
        </w:r>
        <w:r>
          <w:rPr>
            <w:noProof/>
            <w:webHidden/>
          </w:rPr>
        </w:r>
        <w:r>
          <w:rPr>
            <w:noProof/>
            <w:webHidden/>
          </w:rPr>
          <w:fldChar w:fldCharType="separate"/>
        </w:r>
        <w:r>
          <w:rPr>
            <w:noProof/>
            <w:webHidden/>
          </w:rPr>
          <w:t>8</w:t>
        </w:r>
        <w:r>
          <w:rPr>
            <w:noProof/>
            <w:webHidden/>
          </w:rPr>
          <w:fldChar w:fldCharType="end"/>
        </w:r>
      </w:hyperlink>
    </w:p>
    <w:p w14:paraId="66C14044" w14:textId="2A68F0A8">
      <w:pPr>
        <w:pStyle w:val="TJ1"/>
        <w:rPr>
          <w:rFonts w:asciiTheme="minorHAnsi" w:hAnsiTheme="minorHAnsi" w:cstheme="minorBidi"/>
          <w:b w:val="0"/>
          <w:noProof/>
          <w:sz w:val="24"/>
          <w:szCs w:val="21"/>
          <w:lang w:eastAsia="en-GB" w:bidi="sa-IN"/>
        </w:rPr>
      </w:pPr>
      <w:hyperlink w:anchor="_Toc243922585" w:history="1">
        <w:r>
          <w:rPr>
            <w:rStyle w:val="Hiperhivatkozs"/>
            <w:noProof/>
            <w:lang w:bidi="ar-SA"/>
          </w:rPr>
          <w:t>2. Theoretical framework</w:t>
        </w:r>
        <w:r>
          <w:rPr>
            <w:noProof/>
            <w:webHidden/>
          </w:rPr>
          <w:tab/>
        </w:r>
        <w:r>
          <w:rPr>
            <w:noProof/>
            <w:webHidden/>
          </w:rPr>
          <w:fldChar w:fldCharType="begin"/>
        </w:r>
        <w:r>
          <w:rPr>
            <w:noProof/>
            <w:webHidden/>
          </w:rPr>
          <w:instrText xml:space="preserve"> PAGEREF _Toc243922585 \h </w:instrText>
        </w:r>
        <w:r>
          <w:rPr>
            <w:noProof/>
            <w:webHidden/>
          </w:rPr>
        </w:r>
        <w:r>
          <w:rPr>
            <w:noProof/>
            <w:webHidden/>
          </w:rPr>
          <w:fldChar w:fldCharType="separate"/>
        </w:r>
        <w:r>
          <w:rPr>
            <w:noProof/>
            <w:webHidden/>
          </w:rPr>
          <w:t>9</w:t>
        </w:r>
        <w:r>
          <w:rPr>
            <w:noProof/>
            <w:webHidden/>
          </w:rPr>
          <w:fldChar w:fldCharType="end"/>
        </w:r>
      </w:hyperlink>
    </w:p>
    <w:p w14:paraId="1ECB6525" w14:textId="72099F98">
      <w:pPr>
        <w:pStyle w:val="TJ2"/>
        <w:rPr>
          <w:rFonts w:asciiTheme="minorHAnsi" w:hAnsiTheme="minorHAnsi" w:cstheme="minorBidi"/>
          <w:noProof/>
          <w:sz w:val="24"/>
          <w:szCs w:val="21"/>
          <w:lang w:eastAsia="en-GB" w:bidi="sa-IN"/>
        </w:rPr>
      </w:pPr>
      <w:hyperlink w:anchor="_Toc243922586" w:history="1">
        <w:r>
          <w:rPr>
            <w:rStyle w:val="Hiperhivatkozs"/>
            <w:noProof/>
            <w:lang w:bidi="ar-SA"/>
          </w:rPr>
          <w:t>2.1. Terminology for the analysis of writing</w:t>
        </w:r>
        <w:r>
          <w:rPr>
            <w:noProof/>
            <w:webHidden/>
          </w:rPr>
          <w:tab/>
        </w:r>
        <w:r>
          <w:rPr>
            <w:noProof/>
            <w:webHidden/>
          </w:rPr>
          <w:fldChar w:fldCharType="begin"/>
        </w:r>
        <w:r>
          <w:rPr>
            <w:noProof/>
            <w:webHidden/>
          </w:rPr>
          <w:instrText xml:space="preserve"> PAGEREF _Toc243922586 \h </w:instrText>
        </w:r>
        <w:r>
          <w:rPr>
            <w:noProof/>
            <w:webHidden/>
          </w:rPr>
        </w:r>
        <w:r>
          <w:rPr>
            <w:noProof/>
            <w:webHidden/>
          </w:rPr>
          <w:fldChar w:fldCharType="separate"/>
        </w:r>
        <w:r>
          <w:rPr>
            <w:noProof/>
            <w:webHidden/>
          </w:rPr>
          <w:t>9</w:t>
        </w:r>
        <w:r>
          <w:rPr>
            <w:noProof/>
            <w:webHidden/>
          </w:rPr>
          <w:fldChar w:fldCharType="end"/>
        </w:r>
      </w:hyperlink>
    </w:p>
    <w:p w14:paraId="7BF3FA41" w14:textId="0BFE9E54">
      <w:pPr>
        <w:pStyle w:val="TJ2"/>
        <w:rPr>
          <w:rFonts w:asciiTheme="minorHAnsi" w:hAnsiTheme="minorHAnsi" w:cstheme="minorBidi"/>
          <w:noProof/>
          <w:sz w:val="24"/>
          <w:szCs w:val="21"/>
          <w:lang w:eastAsia="en-GB" w:bidi="sa-IN"/>
        </w:rPr>
      </w:pPr>
      <w:hyperlink w:anchor="_Toc243922587" w:history="1">
        <w:r>
          <w:rPr>
            <w:rStyle w:val="Hiperhivatkozs"/>
            <w:noProof/>
            <w:lang w:bidi="ar-SA"/>
          </w:rPr>
          <w:t>2.2. Terminology for encoding</w:t>
        </w:r>
        <w:r>
          <w:rPr>
            <w:noProof/>
            <w:webHidden/>
          </w:rPr>
          <w:tab/>
        </w:r>
        <w:r>
          <w:rPr>
            <w:noProof/>
            <w:webHidden/>
          </w:rPr>
          <w:fldChar w:fldCharType="begin"/>
        </w:r>
        <w:r>
          <w:rPr>
            <w:noProof/>
            <w:webHidden/>
          </w:rPr>
          <w:instrText xml:space="preserve"> PAGEREF _Toc243922587 \h </w:instrText>
        </w:r>
        <w:r>
          <w:rPr>
            <w:noProof/>
            <w:webHidden/>
          </w:rPr>
        </w:r>
        <w:r>
          <w:rPr>
            <w:noProof/>
            <w:webHidden/>
          </w:rPr>
          <w:fldChar w:fldCharType="separate"/>
        </w:r>
        <w:r>
          <w:rPr>
            <w:noProof/>
            <w:webHidden/>
          </w:rPr>
          <w:t>10</w:t>
        </w:r>
        <w:r>
          <w:rPr>
            <w:noProof/>
            <w:webHidden/>
          </w:rPr>
          <w:fldChar w:fldCharType="end"/>
        </w:r>
      </w:hyperlink>
    </w:p>
    <w:p w14:paraId="59D48A32" w14:textId="7D88E0C4">
      <w:pPr>
        <w:pStyle w:val="TJ3"/>
        <w:rPr>
          <w:rFonts w:asciiTheme="minorHAnsi" w:hAnsiTheme="minorHAnsi" w:cstheme="minorBidi"/>
          <w:noProof/>
          <w:sz w:val="24"/>
          <w:szCs w:val="21"/>
          <w:lang w:eastAsia="en-GB" w:bidi="sa-IN"/>
        </w:rPr>
      </w:pPr>
      <w:hyperlink w:anchor="_Toc243922588" w:history="1">
        <w:r>
          <w:rPr>
            <w:rStyle w:val="Hiperhivatkozs"/>
            <w:noProof/>
            <w:lang w:bidi="ar-SA"/>
          </w:rPr>
          <w:t>2.2.1. Markup</w:t>
        </w:r>
        <w:r>
          <w:rPr>
            <w:noProof/>
            <w:webHidden/>
          </w:rPr>
          <w:tab/>
        </w:r>
        <w:r>
          <w:rPr>
            <w:noProof/>
            <w:webHidden/>
          </w:rPr>
          <w:fldChar w:fldCharType="begin"/>
        </w:r>
        <w:r>
          <w:rPr>
            <w:noProof/>
            <w:webHidden/>
          </w:rPr>
          <w:instrText xml:space="preserve"> PAGEREF _Toc243922588 \h </w:instrText>
        </w:r>
        <w:r>
          <w:rPr>
            <w:noProof/>
            <w:webHidden/>
          </w:rPr>
        </w:r>
        <w:r>
          <w:rPr>
            <w:noProof/>
            <w:webHidden/>
          </w:rPr>
          <w:fldChar w:fldCharType="separate"/>
        </w:r>
        <w:r>
          <w:rPr>
            <w:noProof/>
            <w:webHidden/>
          </w:rPr>
          <w:t>10</w:t>
        </w:r>
        <w:r>
          <w:rPr>
            <w:noProof/>
            <w:webHidden/>
          </w:rPr>
          <w:fldChar w:fldCharType="end"/>
        </w:r>
      </w:hyperlink>
    </w:p>
    <w:p w14:paraId="49C6804C" w14:textId="02C5FB46">
      <w:pPr>
        <w:pStyle w:val="TJ3"/>
        <w:rPr>
          <w:rFonts w:asciiTheme="minorHAnsi" w:hAnsiTheme="minorHAnsi" w:cstheme="minorBidi"/>
          <w:noProof/>
          <w:sz w:val="24"/>
          <w:szCs w:val="21"/>
          <w:lang w:eastAsia="en-GB" w:bidi="sa-IN"/>
        </w:rPr>
      </w:pPr>
      <w:hyperlink w:anchor="_Toc243922589" w:history="1">
        <w:r>
          <w:rPr>
            <w:rStyle w:val="Hiperhivatkozs"/>
            <w:noProof/>
            <w:lang w:bidi="ar-SA"/>
          </w:rPr>
          <w:t>2.2.2. XML elements</w:t>
        </w:r>
        <w:r>
          <w:rPr>
            <w:noProof/>
            <w:webHidden/>
          </w:rPr>
          <w:tab/>
        </w:r>
        <w:r>
          <w:rPr>
            <w:noProof/>
            <w:webHidden/>
          </w:rPr>
          <w:fldChar w:fldCharType="begin"/>
        </w:r>
        <w:r>
          <w:rPr>
            <w:noProof/>
            <w:webHidden/>
          </w:rPr>
          <w:instrText xml:space="preserve"> PAGEREF _Toc243922589 \h </w:instrText>
        </w:r>
        <w:r>
          <w:rPr>
            <w:noProof/>
            <w:webHidden/>
          </w:rPr>
        </w:r>
        <w:r>
          <w:rPr>
            <w:noProof/>
            <w:webHidden/>
          </w:rPr>
          <w:fldChar w:fldCharType="separate"/>
        </w:r>
        <w:r>
          <w:rPr>
            <w:noProof/>
            <w:webHidden/>
          </w:rPr>
          <w:t>10</w:t>
        </w:r>
        <w:r>
          <w:rPr>
            <w:noProof/>
            <w:webHidden/>
          </w:rPr>
          <w:fldChar w:fldCharType="end"/>
        </w:r>
      </w:hyperlink>
    </w:p>
    <w:p w14:paraId="5F34BF2C" w14:textId="7D949A73">
      <w:pPr>
        <w:pStyle w:val="TJ3"/>
        <w:rPr>
          <w:rFonts w:asciiTheme="minorHAnsi" w:hAnsiTheme="minorHAnsi" w:cstheme="minorBidi"/>
          <w:noProof/>
          <w:sz w:val="24"/>
          <w:szCs w:val="21"/>
          <w:lang w:eastAsia="en-GB" w:bidi="sa-IN"/>
        </w:rPr>
      </w:pPr>
      <w:hyperlink w:anchor="_Toc243922590" w:history="1">
        <w:r>
          <w:rPr>
            <w:rStyle w:val="Hiperhivatkozs"/>
            <w:noProof/>
            <w:lang w:bidi="ar-SA"/>
          </w:rPr>
          <w:t>2.2.3. Character entity references</w:t>
        </w:r>
        <w:r>
          <w:rPr>
            <w:noProof/>
            <w:webHidden/>
          </w:rPr>
          <w:tab/>
        </w:r>
        <w:r>
          <w:rPr>
            <w:noProof/>
            <w:webHidden/>
          </w:rPr>
          <w:fldChar w:fldCharType="begin"/>
        </w:r>
        <w:r>
          <w:rPr>
            <w:noProof/>
            <w:webHidden/>
          </w:rPr>
          <w:instrText xml:space="preserve"> PAGEREF _Toc243922590 \h </w:instrText>
        </w:r>
        <w:r>
          <w:rPr>
            <w:noProof/>
            <w:webHidden/>
          </w:rPr>
        </w:r>
        <w:r>
          <w:rPr>
            <w:noProof/>
            <w:webHidden/>
          </w:rPr>
          <w:fldChar w:fldCharType="separate"/>
        </w:r>
        <w:r>
          <w:rPr>
            <w:noProof/>
            <w:webHidden/>
          </w:rPr>
          <w:t>12</w:t>
        </w:r>
        <w:r>
          <w:rPr>
            <w:noProof/>
            <w:webHidden/>
          </w:rPr>
          <w:fldChar w:fldCharType="end"/>
        </w:r>
      </w:hyperlink>
    </w:p>
    <w:p w14:paraId="0596D37B" w14:textId="23EA7871">
      <w:pPr>
        <w:pStyle w:val="TJ3"/>
        <w:rPr>
          <w:rFonts w:asciiTheme="minorHAnsi" w:hAnsiTheme="minorHAnsi" w:cstheme="minorBidi"/>
          <w:noProof/>
          <w:sz w:val="24"/>
          <w:szCs w:val="21"/>
          <w:lang w:eastAsia="en-GB" w:bidi="sa-IN"/>
        </w:rPr>
      </w:pPr>
      <w:hyperlink w:anchor="_Toc243922591" w:history="1">
        <w:r>
          <w:rPr>
            <w:rStyle w:val="Hiperhivatkozs"/>
            <w:noProof/>
            <w:lang w:bidi="ar-SA"/>
          </w:rPr>
          <w:t>2.2.4. XML hierarchy</w:t>
        </w:r>
        <w:r>
          <w:rPr>
            <w:noProof/>
            <w:webHidden/>
          </w:rPr>
          <w:tab/>
        </w:r>
        <w:r>
          <w:rPr>
            <w:noProof/>
            <w:webHidden/>
          </w:rPr>
          <w:fldChar w:fldCharType="begin"/>
        </w:r>
        <w:r>
          <w:rPr>
            <w:noProof/>
            <w:webHidden/>
          </w:rPr>
          <w:instrText xml:space="preserve"> PAGEREF _Toc243922591 \h </w:instrText>
        </w:r>
        <w:r>
          <w:rPr>
            <w:noProof/>
            <w:webHidden/>
          </w:rPr>
        </w:r>
        <w:r>
          <w:rPr>
            <w:noProof/>
            <w:webHidden/>
          </w:rPr>
          <w:fldChar w:fldCharType="separate"/>
        </w:r>
        <w:r>
          <w:rPr>
            <w:noProof/>
            <w:webHidden/>
          </w:rPr>
          <w:t>12</w:t>
        </w:r>
        <w:r>
          <w:rPr>
            <w:noProof/>
            <w:webHidden/>
          </w:rPr>
          <w:fldChar w:fldCharType="end"/>
        </w:r>
      </w:hyperlink>
    </w:p>
    <w:p w14:paraId="063BB6A8" w14:textId="32CBE5C2">
      <w:pPr>
        <w:pStyle w:val="TJ3"/>
        <w:rPr>
          <w:rFonts w:asciiTheme="minorHAnsi" w:hAnsiTheme="minorHAnsi" w:cstheme="minorBidi"/>
          <w:noProof/>
          <w:sz w:val="24"/>
          <w:szCs w:val="21"/>
          <w:lang w:eastAsia="en-GB" w:bidi="sa-IN"/>
        </w:rPr>
      </w:pPr>
      <w:hyperlink w:anchor="_Toc243922592" w:history="1">
        <w:r>
          <w:rPr>
            <w:rStyle w:val="Hiperhivatkozs"/>
            <w:noProof/>
            <w:lang w:bidi="ar-SA"/>
          </w:rPr>
          <w:t>2.2.5. Well-formedness and validity</w:t>
        </w:r>
        <w:r>
          <w:rPr>
            <w:noProof/>
            <w:webHidden/>
          </w:rPr>
          <w:tab/>
        </w:r>
        <w:r>
          <w:rPr>
            <w:noProof/>
            <w:webHidden/>
          </w:rPr>
          <w:fldChar w:fldCharType="begin"/>
        </w:r>
        <w:r>
          <w:rPr>
            <w:noProof/>
            <w:webHidden/>
          </w:rPr>
          <w:instrText xml:space="preserve"> PAGEREF _Toc243922592 \h </w:instrText>
        </w:r>
        <w:r>
          <w:rPr>
            <w:noProof/>
            <w:webHidden/>
          </w:rPr>
        </w:r>
        <w:r>
          <w:rPr>
            <w:noProof/>
            <w:webHidden/>
          </w:rPr>
          <w:fldChar w:fldCharType="separate"/>
        </w:r>
        <w:r>
          <w:rPr>
            <w:noProof/>
            <w:webHidden/>
          </w:rPr>
          <w:t>13</w:t>
        </w:r>
        <w:r>
          <w:rPr>
            <w:noProof/>
            <w:webHidden/>
          </w:rPr>
          <w:fldChar w:fldCharType="end"/>
        </w:r>
      </w:hyperlink>
    </w:p>
    <w:p w14:paraId="3BDAFB83" w14:textId="733F2F3D">
      <w:pPr>
        <w:pStyle w:val="TJ2"/>
        <w:rPr>
          <w:rFonts w:asciiTheme="minorHAnsi" w:hAnsiTheme="minorHAnsi" w:cstheme="minorBidi"/>
          <w:noProof/>
          <w:sz w:val="24"/>
          <w:szCs w:val="21"/>
          <w:lang w:eastAsia="en-GB" w:bidi="sa-IN"/>
        </w:rPr>
      </w:pPr>
      <w:hyperlink w:anchor="_Toc243922593" w:history="1">
        <w:r>
          <w:rPr>
            <w:rStyle w:val="Hiperhivatkozs"/>
            <w:noProof/>
            <w:lang w:bidi="ar-SA"/>
          </w:rPr>
          <w:t>2.3. The framework of an EpiDoc edition</w:t>
        </w:r>
        <w:r>
          <w:rPr>
            <w:noProof/>
            <w:webHidden/>
          </w:rPr>
          <w:tab/>
        </w:r>
        <w:r>
          <w:rPr>
            <w:noProof/>
            <w:webHidden/>
          </w:rPr>
          <w:fldChar w:fldCharType="begin"/>
        </w:r>
        <w:r>
          <w:rPr>
            <w:noProof/>
            <w:webHidden/>
          </w:rPr>
          <w:instrText xml:space="preserve"> PAGEREF _Toc243922593 \h </w:instrText>
        </w:r>
        <w:r>
          <w:rPr>
            <w:noProof/>
            <w:webHidden/>
          </w:rPr>
        </w:r>
        <w:r>
          <w:rPr>
            <w:noProof/>
            <w:webHidden/>
          </w:rPr>
          <w:fldChar w:fldCharType="separate"/>
        </w:r>
        <w:r>
          <w:rPr>
            <w:noProof/>
            <w:webHidden/>
          </w:rPr>
          <w:t>13</w:t>
        </w:r>
        <w:r>
          <w:rPr>
            <w:noProof/>
            <w:webHidden/>
          </w:rPr>
          <w:fldChar w:fldCharType="end"/>
        </w:r>
      </w:hyperlink>
    </w:p>
    <w:p w14:paraId="5AEF9812" w14:textId="6DB30934">
      <w:pPr>
        <w:pStyle w:val="TJ3"/>
        <w:rPr>
          <w:rFonts w:asciiTheme="minorHAnsi" w:hAnsiTheme="minorHAnsi" w:cstheme="minorBidi"/>
          <w:noProof/>
          <w:sz w:val="24"/>
          <w:szCs w:val="21"/>
          <w:lang w:eastAsia="en-GB" w:bidi="sa-IN"/>
        </w:rPr>
      </w:pPr>
      <w:hyperlink w:anchor="_Toc243922594" w:history="1">
        <w:r>
          <w:rPr>
            <w:rStyle w:val="Hiperhivatkozs"/>
            <w:noProof/>
            <w:lang w:bidi="ar-SA"/>
          </w:rPr>
          <w:t>2.3.1. Technical specifications</w:t>
        </w:r>
        <w:r>
          <w:rPr>
            <w:noProof/>
            <w:webHidden/>
          </w:rPr>
          <w:tab/>
        </w:r>
        <w:r>
          <w:rPr>
            <w:noProof/>
            <w:webHidden/>
          </w:rPr>
          <w:fldChar w:fldCharType="begin"/>
        </w:r>
        <w:r>
          <w:rPr>
            <w:noProof/>
            <w:webHidden/>
          </w:rPr>
          <w:instrText xml:space="preserve"> PAGEREF _Toc243922594 \h </w:instrText>
        </w:r>
        <w:r>
          <w:rPr>
            <w:noProof/>
            <w:webHidden/>
          </w:rPr>
        </w:r>
        <w:r>
          <w:rPr>
            <w:noProof/>
            <w:webHidden/>
          </w:rPr>
          <w:fldChar w:fldCharType="separate"/>
        </w:r>
        <w:r>
          <w:rPr>
            <w:noProof/>
            <w:webHidden/>
          </w:rPr>
          <w:t>13</w:t>
        </w:r>
        <w:r>
          <w:rPr>
            <w:noProof/>
            <w:webHidden/>
          </w:rPr>
          <w:fldChar w:fldCharType="end"/>
        </w:r>
      </w:hyperlink>
    </w:p>
    <w:p w14:paraId="34A9CF52" w14:textId="0C39AE71">
      <w:pPr>
        <w:pStyle w:val="TJ3"/>
        <w:rPr>
          <w:rFonts w:asciiTheme="minorHAnsi" w:hAnsiTheme="minorHAnsi" w:cstheme="minorBidi"/>
          <w:noProof/>
          <w:sz w:val="24"/>
          <w:szCs w:val="21"/>
          <w:lang w:eastAsia="en-GB" w:bidi="sa-IN"/>
        </w:rPr>
      </w:pPr>
      <w:hyperlink w:anchor="_Toc243922595" w:history="1">
        <w:r>
          <w:rPr>
            <w:rStyle w:val="Hiperhivatkozs"/>
            <w:noProof/>
            <w:lang w:bidi="ar-SA"/>
          </w:rPr>
          <w:t>2.3.2. The TEI header</w:t>
        </w:r>
        <w:r>
          <w:rPr>
            <w:noProof/>
            <w:webHidden/>
          </w:rPr>
          <w:tab/>
        </w:r>
        <w:r>
          <w:rPr>
            <w:noProof/>
            <w:webHidden/>
          </w:rPr>
          <w:fldChar w:fldCharType="begin"/>
        </w:r>
        <w:r>
          <w:rPr>
            <w:noProof/>
            <w:webHidden/>
          </w:rPr>
          <w:instrText xml:space="preserve"> PAGEREF _Toc243922595 \h </w:instrText>
        </w:r>
        <w:r>
          <w:rPr>
            <w:noProof/>
            <w:webHidden/>
          </w:rPr>
        </w:r>
        <w:r>
          <w:rPr>
            <w:noProof/>
            <w:webHidden/>
          </w:rPr>
          <w:fldChar w:fldCharType="separate"/>
        </w:r>
        <w:r>
          <w:rPr>
            <w:noProof/>
            <w:webHidden/>
          </w:rPr>
          <w:t>14</w:t>
        </w:r>
        <w:r>
          <w:rPr>
            <w:noProof/>
            <w:webHidden/>
          </w:rPr>
          <w:fldChar w:fldCharType="end"/>
        </w:r>
      </w:hyperlink>
    </w:p>
    <w:p w14:paraId="71833C07" w14:textId="599CBCA4">
      <w:pPr>
        <w:pStyle w:val="TJ3"/>
        <w:rPr>
          <w:rFonts w:asciiTheme="minorHAnsi" w:hAnsiTheme="minorHAnsi" w:cstheme="minorBidi"/>
          <w:noProof/>
          <w:sz w:val="24"/>
          <w:szCs w:val="21"/>
          <w:lang w:eastAsia="en-GB" w:bidi="sa-IN"/>
        </w:rPr>
      </w:pPr>
      <w:hyperlink w:anchor="_Toc243922596" w:history="1">
        <w:r>
          <w:rPr>
            <w:rStyle w:val="Hiperhivatkozs"/>
            <w:noProof/>
            <w:lang w:bidi="ar-SA"/>
          </w:rPr>
          <w:t>2.3.3. The body of the document</w:t>
        </w:r>
        <w:r>
          <w:rPr>
            <w:noProof/>
            <w:webHidden/>
          </w:rPr>
          <w:tab/>
        </w:r>
        <w:r>
          <w:rPr>
            <w:noProof/>
            <w:webHidden/>
          </w:rPr>
          <w:fldChar w:fldCharType="begin"/>
        </w:r>
        <w:r>
          <w:rPr>
            <w:noProof/>
            <w:webHidden/>
          </w:rPr>
          <w:instrText xml:space="preserve"> PAGEREF _Toc243922596 \h </w:instrText>
        </w:r>
        <w:r>
          <w:rPr>
            <w:noProof/>
            <w:webHidden/>
          </w:rPr>
        </w:r>
        <w:r>
          <w:rPr>
            <w:noProof/>
            <w:webHidden/>
          </w:rPr>
          <w:fldChar w:fldCharType="separate"/>
        </w:r>
        <w:r>
          <w:rPr>
            <w:noProof/>
            <w:webHidden/>
          </w:rPr>
          <w:t>14</w:t>
        </w:r>
        <w:r>
          <w:rPr>
            <w:noProof/>
            <w:webHidden/>
          </w:rPr>
          <w:fldChar w:fldCharType="end"/>
        </w:r>
      </w:hyperlink>
    </w:p>
    <w:p w14:paraId="52A2BE12" w14:textId="5BF2F8B9">
      <w:pPr>
        <w:pStyle w:val="TJ1"/>
        <w:rPr>
          <w:rFonts w:asciiTheme="minorHAnsi" w:hAnsiTheme="minorHAnsi" w:cstheme="minorBidi"/>
          <w:b w:val="0"/>
          <w:noProof/>
          <w:sz w:val="24"/>
          <w:szCs w:val="21"/>
          <w:lang w:eastAsia="en-GB" w:bidi="sa-IN"/>
        </w:rPr>
      </w:pPr>
      <w:hyperlink w:anchor="_Toc243922597" w:history="1">
        <w:r>
          <w:rPr>
            <w:rStyle w:val="Hiperhivatkozs"/>
            <w:noProof/>
            <w:lang w:bidi="ar-SA"/>
          </w:rPr>
          <w:t>3. Intrinsic structure</w:t>
        </w:r>
        <w:r>
          <w:rPr>
            <w:noProof/>
            <w:webHidden/>
          </w:rPr>
          <w:tab/>
        </w:r>
        <w:r>
          <w:rPr>
            <w:noProof/>
            <w:webHidden/>
          </w:rPr>
          <w:fldChar w:fldCharType="begin"/>
        </w:r>
        <w:r>
          <w:rPr>
            <w:noProof/>
            <w:webHidden/>
          </w:rPr>
          <w:instrText xml:space="preserve"> PAGEREF _Toc243922597 \h </w:instrText>
        </w:r>
        <w:r>
          <w:rPr>
            <w:noProof/>
            <w:webHidden/>
          </w:rPr>
        </w:r>
        <w:r>
          <w:rPr>
            <w:noProof/>
            <w:webHidden/>
          </w:rPr>
          <w:fldChar w:fldCharType="separate"/>
        </w:r>
        <w:r>
          <w:rPr>
            <w:noProof/>
            <w:webHidden/>
          </w:rPr>
          <w:t>16</w:t>
        </w:r>
        <w:r>
          <w:rPr>
            <w:noProof/>
            <w:webHidden/>
          </w:rPr>
          <w:fldChar w:fldCharType="end"/>
        </w:r>
      </w:hyperlink>
    </w:p>
    <w:p w14:paraId="4862972C" w14:textId="1D07142B">
      <w:pPr>
        <w:pStyle w:val="TJ2"/>
        <w:rPr>
          <w:rFonts w:asciiTheme="minorHAnsi" w:hAnsiTheme="minorHAnsi" w:cstheme="minorBidi"/>
          <w:noProof/>
          <w:sz w:val="24"/>
          <w:szCs w:val="21"/>
          <w:lang w:eastAsia="en-GB" w:bidi="sa-IN"/>
        </w:rPr>
      </w:pPr>
      <w:hyperlink w:anchor="_Toc243922598" w:history="1">
        <w:r>
          <w:rPr>
            <w:rStyle w:val="Hiperhivatkozs"/>
            <w:noProof/>
            <w:lang w:bidi="ar-SA"/>
          </w:rPr>
          <w:t>3.1. Representing intrinsic structure</w:t>
        </w:r>
        <w:r>
          <w:rPr>
            <w:noProof/>
            <w:webHidden/>
          </w:rPr>
          <w:tab/>
        </w:r>
        <w:r>
          <w:rPr>
            <w:noProof/>
            <w:webHidden/>
          </w:rPr>
          <w:fldChar w:fldCharType="begin"/>
        </w:r>
        <w:r>
          <w:rPr>
            <w:noProof/>
            <w:webHidden/>
          </w:rPr>
          <w:instrText xml:space="preserve"> PAGEREF _Toc243922598 \h </w:instrText>
        </w:r>
        <w:r>
          <w:rPr>
            <w:noProof/>
            <w:webHidden/>
          </w:rPr>
        </w:r>
        <w:r>
          <w:rPr>
            <w:noProof/>
            <w:webHidden/>
          </w:rPr>
          <w:fldChar w:fldCharType="separate"/>
        </w:r>
        <w:r>
          <w:rPr>
            <w:noProof/>
            <w:webHidden/>
          </w:rPr>
          <w:t>16</w:t>
        </w:r>
        <w:r>
          <w:rPr>
            <w:noProof/>
            <w:webHidden/>
          </w:rPr>
          <w:fldChar w:fldCharType="end"/>
        </w:r>
      </w:hyperlink>
    </w:p>
    <w:p w14:paraId="094E5CA3" w14:textId="3914F2E9">
      <w:pPr>
        <w:pStyle w:val="TJ3"/>
        <w:rPr>
          <w:rFonts w:asciiTheme="minorHAnsi" w:hAnsiTheme="minorHAnsi" w:cstheme="minorBidi"/>
          <w:noProof/>
          <w:sz w:val="24"/>
          <w:szCs w:val="21"/>
          <w:lang w:eastAsia="en-GB" w:bidi="sa-IN"/>
        </w:rPr>
      </w:pPr>
      <w:hyperlink w:anchor="_Toc243922599" w:history="1">
        <w:r>
          <w:rPr>
            <w:rStyle w:val="Hiperhivatkozs"/>
            <w:noProof/>
            <w:lang w:bidi="ar-SA"/>
          </w:rPr>
          <w:t>3.1.1. Numeration for reference</w:t>
        </w:r>
        <w:r>
          <w:rPr>
            <w:noProof/>
            <w:webHidden/>
          </w:rPr>
          <w:tab/>
        </w:r>
        <w:r>
          <w:rPr>
            <w:noProof/>
            <w:webHidden/>
          </w:rPr>
          <w:fldChar w:fldCharType="begin"/>
        </w:r>
        <w:r>
          <w:rPr>
            <w:noProof/>
            <w:webHidden/>
          </w:rPr>
          <w:instrText xml:space="preserve"> PAGEREF _Toc243922599 \h </w:instrText>
        </w:r>
        <w:r>
          <w:rPr>
            <w:noProof/>
            <w:webHidden/>
          </w:rPr>
        </w:r>
        <w:r>
          <w:rPr>
            <w:noProof/>
            <w:webHidden/>
          </w:rPr>
          <w:fldChar w:fldCharType="separate"/>
        </w:r>
        <w:r>
          <w:rPr>
            <w:noProof/>
            <w:webHidden/>
          </w:rPr>
          <w:t>17</w:t>
        </w:r>
        <w:r>
          <w:rPr>
            <w:noProof/>
            <w:webHidden/>
          </w:rPr>
          <w:fldChar w:fldCharType="end"/>
        </w:r>
      </w:hyperlink>
    </w:p>
    <w:p w14:paraId="1E44910A" w14:textId="6685B58C">
      <w:pPr>
        <w:pStyle w:val="TJ2"/>
        <w:rPr>
          <w:rFonts w:asciiTheme="minorHAnsi" w:hAnsiTheme="minorHAnsi" w:cstheme="minorBidi"/>
          <w:noProof/>
          <w:sz w:val="24"/>
          <w:szCs w:val="21"/>
          <w:lang w:eastAsia="en-GB" w:bidi="sa-IN"/>
        </w:rPr>
      </w:pPr>
      <w:hyperlink w:anchor="_Toc243922600" w:history="1">
        <w:r>
          <w:rPr>
            <w:rStyle w:val="Hiperhivatkozs"/>
            <w:noProof/>
            <w:lang w:bidi="ar-SA"/>
          </w:rPr>
          <w:t>3.2. Encoding with block-level containers</w:t>
        </w:r>
        <w:r>
          <w:rPr>
            <w:noProof/>
            <w:webHidden/>
          </w:rPr>
          <w:tab/>
        </w:r>
        <w:r>
          <w:rPr>
            <w:noProof/>
            <w:webHidden/>
          </w:rPr>
          <w:fldChar w:fldCharType="begin"/>
        </w:r>
        <w:r>
          <w:rPr>
            <w:noProof/>
            <w:webHidden/>
          </w:rPr>
          <w:instrText xml:space="preserve"> PAGEREF _Toc243922600 \h </w:instrText>
        </w:r>
        <w:r>
          <w:rPr>
            <w:noProof/>
            <w:webHidden/>
          </w:rPr>
        </w:r>
        <w:r>
          <w:rPr>
            <w:noProof/>
            <w:webHidden/>
          </w:rPr>
          <w:fldChar w:fldCharType="separate"/>
        </w:r>
        <w:r>
          <w:rPr>
            <w:noProof/>
            <w:webHidden/>
          </w:rPr>
          <w:t>17</w:t>
        </w:r>
        <w:r>
          <w:rPr>
            <w:noProof/>
            <w:webHidden/>
          </w:rPr>
          <w:fldChar w:fldCharType="end"/>
        </w:r>
      </w:hyperlink>
    </w:p>
    <w:p w14:paraId="477CEC79" w14:textId="40121CD5">
      <w:pPr>
        <w:pStyle w:val="TJ3"/>
        <w:rPr>
          <w:rFonts w:asciiTheme="minorHAnsi" w:hAnsiTheme="minorHAnsi" w:cstheme="minorBidi"/>
          <w:noProof/>
          <w:sz w:val="24"/>
          <w:szCs w:val="21"/>
          <w:lang w:eastAsia="en-GB" w:bidi="sa-IN"/>
        </w:rPr>
      </w:pPr>
      <w:hyperlink w:anchor="_Toc243922601" w:history="1">
        <w:r>
          <w:rPr>
            <w:rStyle w:val="Hiperhivatkozs"/>
            <w:noProof/>
            <w:lang w:bidi="ar-SA"/>
          </w:rPr>
          <w:t>3.2.1. Prose containers</w:t>
        </w:r>
        <w:r>
          <w:rPr>
            <w:noProof/>
            <w:webHidden/>
          </w:rPr>
          <w:tab/>
        </w:r>
        <w:r>
          <w:rPr>
            <w:noProof/>
            <w:webHidden/>
          </w:rPr>
          <w:fldChar w:fldCharType="begin"/>
        </w:r>
        <w:r>
          <w:rPr>
            <w:noProof/>
            <w:webHidden/>
          </w:rPr>
          <w:instrText xml:space="preserve"> PAGEREF _Toc243922601 \h </w:instrText>
        </w:r>
        <w:r>
          <w:rPr>
            <w:noProof/>
            <w:webHidden/>
          </w:rPr>
        </w:r>
        <w:r>
          <w:rPr>
            <w:noProof/>
            <w:webHidden/>
          </w:rPr>
          <w:fldChar w:fldCharType="separate"/>
        </w:r>
        <w:r>
          <w:rPr>
            <w:noProof/>
            <w:webHidden/>
          </w:rPr>
          <w:t>17</w:t>
        </w:r>
        <w:r>
          <w:rPr>
            <w:noProof/>
            <w:webHidden/>
          </w:rPr>
          <w:fldChar w:fldCharType="end"/>
        </w:r>
      </w:hyperlink>
    </w:p>
    <w:p w14:paraId="1E88AE82" w14:textId="30BA002C">
      <w:pPr>
        <w:pStyle w:val="TJ3"/>
        <w:rPr>
          <w:rFonts w:asciiTheme="minorHAnsi" w:hAnsiTheme="minorHAnsi" w:cstheme="minorBidi"/>
          <w:noProof/>
          <w:sz w:val="24"/>
          <w:szCs w:val="21"/>
          <w:lang w:eastAsia="en-GB" w:bidi="sa-IN"/>
        </w:rPr>
      </w:pPr>
      <w:hyperlink w:anchor="_Toc243922602" w:history="1">
        <w:r>
          <w:rPr>
            <w:rStyle w:val="Hiperhivatkozs"/>
            <w:noProof/>
            <w:lang w:bidi="ar-SA"/>
          </w:rPr>
          <w:t>3.2.2. Verse containers</w:t>
        </w:r>
        <w:r>
          <w:rPr>
            <w:noProof/>
            <w:webHidden/>
          </w:rPr>
          <w:tab/>
        </w:r>
        <w:r>
          <w:rPr>
            <w:noProof/>
            <w:webHidden/>
          </w:rPr>
          <w:fldChar w:fldCharType="begin"/>
        </w:r>
        <w:r>
          <w:rPr>
            <w:noProof/>
            <w:webHidden/>
          </w:rPr>
          <w:instrText xml:space="preserve"> PAGEREF _Toc243922602 \h </w:instrText>
        </w:r>
        <w:r>
          <w:rPr>
            <w:noProof/>
            <w:webHidden/>
          </w:rPr>
        </w:r>
        <w:r>
          <w:rPr>
            <w:noProof/>
            <w:webHidden/>
          </w:rPr>
          <w:fldChar w:fldCharType="separate"/>
        </w:r>
        <w:r>
          <w:rPr>
            <w:noProof/>
            <w:webHidden/>
          </w:rPr>
          <w:t>18</w:t>
        </w:r>
        <w:r>
          <w:rPr>
            <w:noProof/>
            <w:webHidden/>
          </w:rPr>
          <w:fldChar w:fldCharType="end"/>
        </w:r>
      </w:hyperlink>
    </w:p>
    <w:p w14:paraId="7C9B6ED0" w14:textId="65E49627">
      <w:pPr>
        <w:pStyle w:val="TJ3"/>
        <w:rPr>
          <w:rFonts w:asciiTheme="minorHAnsi" w:hAnsiTheme="minorHAnsi" w:cstheme="minorBidi"/>
          <w:noProof/>
          <w:sz w:val="24"/>
          <w:szCs w:val="21"/>
          <w:lang w:eastAsia="en-GB" w:bidi="sa-IN"/>
        </w:rPr>
      </w:pPr>
      <w:hyperlink w:anchor="_Toc243922603" w:history="1">
        <w:r>
          <w:rPr>
            <w:rStyle w:val="Hiperhivatkozs"/>
            <w:noProof/>
            <w:lang w:bidi="ar-SA"/>
          </w:rPr>
          <w:t>3.2.3. Interrupted container boundaries</w:t>
        </w:r>
        <w:r>
          <w:rPr>
            <w:noProof/>
            <w:webHidden/>
          </w:rPr>
          <w:tab/>
        </w:r>
        <w:r>
          <w:rPr>
            <w:noProof/>
            <w:webHidden/>
          </w:rPr>
          <w:fldChar w:fldCharType="begin"/>
        </w:r>
        <w:r>
          <w:rPr>
            <w:noProof/>
            <w:webHidden/>
          </w:rPr>
          <w:instrText xml:space="preserve"> PAGEREF _Toc243922603 \h </w:instrText>
        </w:r>
        <w:r>
          <w:rPr>
            <w:noProof/>
            <w:webHidden/>
          </w:rPr>
        </w:r>
        <w:r>
          <w:rPr>
            <w:noProof/>
            <w:webHidden/>
          </w:rPr>
          <w:fldChar w:fldCharType="separate"/>
        </w:r>
        <w:r>
          <w:rPr>
            <w:noProof/>
            <w:webHidden/>
          </w:rPr>
          <w:t>20</w:t>
        </w:r>
        <w:r>
          <w:rPr>
            <w:noProof/>
            <w:webHidden/>
          </w:rPr>
          <w:fldChar w:fldCharType="end"/>
        </w:r>
      </w:hyperlink>
    </w:p>
    <w:p w14:paraId="71F72D9A" w14:textId="680225CA">
      <w:pPr>
        <w:pStyle w:val="TJ3"/>
        <w:rPr>
          <w:rFonts w:asciiTheme="minorHAnsi" w:hAnsiTheme="minorHAnsi" w:cstheme="minorBidi"/>
          <w:noProof/>
          <w:sz w:val="24"/>
          <w:szCs w:val="21"/>
          <w:lang w:eastAsia="en-GB" w:bidi="sa-IN"/>
        </w:rPr>
      </w:pPr>
      <w:hyperlink w:anchor="_Toc243922604" w:history="1">
        <w:r>
          <w:rPr>
            <w:rStyle w:val="Hiperhivatkozs"/>
            <w:noProof/>
            <w:lang w:bidi="ar-SA"/>
          </w:rPr>
          <w:t>3.2.4. Container boundaries interrupting the text</w:t>
        </w:r>
        <w:r>
          <w:rPr>
            <w:noProof/>
            <w:webHidden/>
          </w:rPr>
          <w:tab/>
        </w:r>
        <w:r>
          <w:rPr>
            <w:noProof/>
            <w:webHidden/>
          </w:rPr>
          <w:fldChar w:fldCharType="begin"/>
        </w:r>
        <w:r>
          <w:rPr>
            <w:noProof/>
            <w:webHidden/>
          </w:rPr>
          <w:instrText xml:space="preserve"> PAGEREF _Toc243922604 \h </w:instrText>
        </w:r>
        <w:r>
          <w:rPr>
            <w:noProof/>
            <w:webHidden/>
          </w:rPr>
        </w:r>
        <w:r>
          <w:rPr>
            <w:noProof/>
            <w:webHidden/>
          </w:rPr>
          <w:fldChar w:fldCharType="separate"/>
        </w:r>
        <w:r>
          <w:rPr>
            <w:noProof/>
            <w:webHidden/>
          </w:rPr>
          <w:t>22</w:t>
        </w:r>
        <w:r>
          <w:rPr>
            <w:noProof/>
            <w:webHidden/>
          </w:rPr>
          <w:fldChar w:fldCharType="end"/>
        </w:r>
      </w:hyperlink>
    </w:p>
    <w:p w14:paraId="329D5984" w14:textId="3BD51B4F">
      <w:pPr>
        <w:pStyle w:val="TJ3"/>
        <w:rPr>
          <w:rFonts w:asciiTheme="minorHAnsi" w:hAnsiTheme="minorHAnsi" w:cstheme="minorBidi"/>
          <w:noProof/>
          <w:sz w:val="24"/>
          <w:szCs w:val="21"/>
          <w:lang w:eastAsia="en-GB" w:bidi="sa-IN"/>
        </w:rPr>
      </w:pPr>
      <w:hyperlink w:anchor="_Toc243922605" w:history="1">
        <w:r>
          <w:rPr>
            <w:rStyle w:val="Hiperhivatkozs"/>
            <w:noProof/>
            <w:lang w:bidi="ar-SA"/>
          </w:rPr>
          <w:t>3.2.5. Good encoding practice for block-level elements</w:t>
        </w:r>
        <w:r>
          <w:rPr>
            <w:noProof/>
            <w:webHidden/>
          </w:rPr>
          <w:tab/>
        </w:r>
        <w:r>
          <w:rPr>
            <w:noProof/>
            <w:webHidden/>
          </w:rPr>
          <w:fldChar w:fldCharType="begin"/>
        </w:r>
        <w:r>
          <w:rPr>
            <w:noProof/>
            <w:webHidden/>
          </w:rPr>
          <w:instrText xml:space="preserve"> PAGEREF _Toc243922605 \h </w:instrText>
        </w:r>
        <w:r>
          <w:rPr>
            <w:noProof/>
            <w:webHidden/>
          </w:rPr>
        </w:r>
        <w:r>
          <w:rPr>
            <w:noProof/>
            <w:webHidden/>
          </w:rPr>
          <w:fldChar w:fldCharType="separate"/>
        </w:r>
        <w:r>
          <w:rPr>
            <w:noProof/>
            <w:webHidden/>
          </w:rPr>
          <w:t>26</w:t>
        </w:r>
        <w:r>
          <w:rPr>
            <w:noProof/>
            <w:webHidden/>
          </w:rPr>
          <w:fldChar w:fldCharType="end"/>
        </w:r>
      </w:hyperlink>
    </w:p>
    <w:p w14:paraId="597FFE6F" w14:textId="1060EF7B">
      <w:pPr>
        <w:pStyle w:val="TJ2"/>
        <w:rPr>
          <w:rFonts w:asciiTheme="minorHAnsi" w:hAnsiTheme="minorHAnsi" w:cstheme="minorBidi"/>
          <w:noProof/>
          <w:sz w:val="24"/>
          <w:szCs w:val="21"/>
          <w:lang w:eastAsia="en-GB" w:bidi="sa-IN"/>
        </w:rPr>
      </w:pPr>
      <w:hyperlink w:anchor="_Toc243922606" w:history="1">
        <w:r>
          <w:rPr>
            <w:rStyle w:val="Hiperhivatkozs"/>
            <w:noProof/>
            <w:lang w:bidi="ar-SA"/>
          </w:rPr>
          <w:t>3.3. Encoding metre in verse</w:t>
        </w:r>
        <w:r>
          <w:rPr>
            <w:noProof/>
            <w:webHidden/>
          </w:rPr>
          <w:tab/>
        </w:r>
        <w:r>
          <w:rPr>
            <w:noProof/>
            <w:webHidden/>
          </w:rPr>
          <w:fldChar w:fldCharType="begin"/>
        </w:r>
        <w:r>
          <w:rPr>
            <w:noProof/>
            <w:webHidden/>
          </w:rPr>
          <w:instrText xml:space="preserve"> PAGEREF _Toc243922606 \h </w:instrText>
        </w:r>
        <w:r>
          <w:rPr>
            <w:noProof/>
            <w:webHidden/>
          </w:rPr>
        </w:r>
        <w:r>
          <w:rPr>
            <w:noProof/>
            <w:webHidden/>
          </w:rPr>
          <w:fldChar w:fldCharType="separate"/>
        </w:r>
        <w:r>
          <w:rPr>
            <w:noProof/>
            <w:webHidden/>
          </w:rPr>
          <w:t>27</w:t>
        </w:r>
        <w:r>
          <w:rPr>
            <w:noProof/>
            <w:webHidden/>
          </w:rPr>
          <w:fldChar w:fldCharType="end"/>
        </w:r>
      </w:hyperlink>
    </w:p>
    <w:p w14:paraId="1E50CE3B" w14:textId="54F3D56C">
      <w:pPr>
        <w:pStyle w:val="TJ3"/>
        <w:rPr>
          <w:rFonts w:asciiTheme="minorHAnsi" w:hAnsiTheme="minorHAnsi" w:cstheme="minorBidi"/>
          <w:noProof/>
          <w:sz w:val="24"/>
          <w:szCs w:val="21"/>
          <w:lang w:eastAsia="en-GB" w:bidi="sa-IN"/>
        </w:rPr>
      </w:pPr>
      <w:hyperlink w:anchor="_Toc243922607" w:history="1">
        <w:r>
          <w:rPr>
            <w:rStyle w:val="Hiperhivatkozs"/>
            <w:noProof/>
            <w:lang w:bidi="ar-SA"/>
          </w:rPr>
          <w:t xml:space="preserve">3.3.1. Encoding an abstract prosodic template with </w:t>
        </w:r>
        <w:r>
          <w:rPr>
            <w:rStyle w:val="Hiperhivatkozs"/>
            <w:rFonts w:ascii="Consolas" w:hAnsi="Consolas" w:cs="Consolas"/>
            <w:noProof/>
            <w:shd w:val="clear" w:color="auto" w:fill="F2F2F2" w:themeFill="background1" w:themeFillShade="F2"/>
            <w:lang w:bidi="ar-SA"/>
          </w:rPr>
          <w:t>@met</w:t>
        </w:r>
        <w:r>
          <w:rPr>
            <w:noProof/>
            <w:webHidden/>
          </w:rPr>
          <w:tab/>
        </w:r>
        <w:r>
          <w:rPr>
            <w:noProof/>
            <w:webHidden/>
          </w:rPr>
          <w:fldChar w:fldCharType="begin"/>
        </w:r>
        <w:r>
          <w:rPr>
            <w:noProof/>
            <w:webHidden/>
          </w:rPr>
          <w:instrText xml:space="preserve"> PAGEREF _Toc243922607 \h </w:instrText>
        </w:r>
        <w:r>
          <w:rPr>
            <w:noProof/>
            <w:webHidden/>
          </w:rPr>
        </w:r>
        <w:r>
          <w:rPr>
            <w:noProof/>
            <w:webHidden/>
          </w:rPr>
          <w:fldChar w:fldCharType="separate"/>
        </w:r>
        <w:r>
          <w:rPr>
            <w:noProof/>
            <w:webHidden/>
          </w:rPr>
          <w:t>27</w:t>
        </w:r>
        <w:r>
          <w:rPr>
            <w:noProof/>
            <w:webHidden/>
          </w:rPr>
          <w:fldChar w:fldCharType="end"/>
        </w:r>
      </w:hyperlink>
    </w:p>
    <w:p w14:paraId="1D04621C" w14:textId="6A4882AC">
      <w:pPr>
        <w:pStyle w:val="TJ3"/>
        <w:rPr>
          <w:rFonts w:asciiTheme="minorHAnsi" w:hAnsiTheme="minorHAnsi" w:cstheme="minorBidi"/>
          <w:noProof/>
          <w:sz w:val="24"/>
          <w:szCs w:val="21"/>
          <w:lang w:eastAsia="en-GB" w:bidi="sa-IN"/>
        </w:rPr>
      </w:pPr>
      <w:hyperlink w:anchor="_Toc243922608" w:history="1">
        <w:r>
          <w:rPr>
            <w:rStyle w:val="Hiperhivatkozs"/>
            <w:noProof/>
            <w:lang w:bidi="ar-SA"/>
          </w:rPr>
          <w:t xml:space="preserve">3.3.2. Encoding an actual prosodic realisation with </w:t>
        </w:r>
        <w:r>
          <w:rPr>
            <w:rStyle w:val="Hiperhivatkozs"/>
            <w:rFonts w:ascii="Consolas" w:hAnsi="Consolas" w:cs="Consolas"/>
            <w:noProof/>
            <w:shd w:val="clear" w:color="auto" w:fill="F2F2F2" w:themeFill="background1" w:themeFillShade="F2"/>
            <w:lang w:bidi="ar-SA"/>
          </w:rPr>
          <w:t>@real</w:t>
        </w:r>
        <w:r>
          <w:rPr>
            <w:noProof/>
            <w:webHidden/>
          </w:rPr>
          <w:tab/>
        </w:r>
        <w:r>
          <w:rPr>
            <w:noProof/>
            <w:webHidden/>
          </w:rPr>
          <w:fldChar w:fldCharType="begin"/>
        </w:r>
        <w:r>
          <w:rPr>
            <w:noProof/>
            <w:webHidden/>
          </w:rPr>
          <w:instrText xml:space="preserve"> PAGEREF _Toc243922608 \h </w:instrText>
        </w:r>
        <w:r>
          <w:rPr>
            <w:noProof/>
            <w:webHidden/>
          </w:rPr>
        </w:r>
        <w:r>
          <w:rPr>
            <w:noProof/>
            <w:webHidden/>
          </w:rPr>
          <w:fldChar w:fldCharType="separate"/>
        </w:r>
        <w:r>
          <w:rPr>
            <w:noProof/>
            <w:webHidden/>
          </w:rPr>
          <w:t>27</w:t>
        </w:r>
        <w:r>
          <w:rPr>
            <w:noProof/>
            <w:webHidden/>
          </w:rPr>
          <w:fldChar w:fldCharType="end"/>
        </w:r>
      </w:hyperlink>
    </w:p>
    <w:p w14:paraId="4C349A3F" w14:textId="2DD7A7AB">
      <w:pPr>
        <w:pStyle w:val="TJ3"/>
        <w:rPr>
          <w:rFonts w:asciiTheme="minorHAnsi" w:hAnsiTheme="minorHAnsi" w:cstheme="minorBidi"/>
          <w:noProof/>
          <w:sz w:val="24"/>
          <w:szCs w:val="21"/>
          <w:lang w:eastAsia="en-GB" w:bidi="sa-IN"/>
        </w:rPr>
      </w:pPr>
      <w:hyperlink w:anchor="_Toc243922609" w:history="1">
        <w:r>
          <w:rPr>
            <w:rStyle w:val="Hiperhivatkozs"/>
            <w:noProof/>
            <w:lang w:bidi="ar-SA"/>
          </w:rPr>
          <w:t>3.3.3. Metres not associated with a clear name</w:t>
        </w:r>
        <w:r>
          <w:rPr>
            <w:noProof/>
            <w:webHidden/>
          </w:rPr>
          <w:tab/>
        </w:r>
        <w:r>
          <w:rPr>
            <w:noProof/>
            <w:webHidden/>
          </w:rPr>
          <w:fldChar w:fldCharType="begin"/>
        </w:r>
        <w:r>
          <w:rPr>
            <w:noProof/>
            <w:webHidden/>
          </w:rPr>
          <w:instrText xml:space="preserve"> PAGEREF _Toc243922609 \h </w:instrText>
        </w:r>
        <w:r>
          <w:rPr>
            <w:noProof/>
            <w:webHidden/>
          </w:rPr>
        </w:r>
        <w:r>
          <w:rPr>
            <w:noProof/>
            <w:webHidden/>
          </w:rPr>
          <w:fldChar w:fldCharType="separate"/>
        </w:r>
        <w:r>
          <w:rPr>
            <w:noProof/>
            <w:webHidden/>
          </w:rPr>
          <w:t>27</w:t>
        </w:r>
        <w:r>
          <w:rPr>
            <w:noProof/>
            <w:webHidden/>
          </w:rPr>
          <w:fldChar w:fldCharType="end"/>
        </w:r>
      </w:hyperlink>
    </w:p>
    <w:p w14:paraId="190E4712" w14:textId="7B1DCA47">
      <w:pPr>
        <w:pStyle w:val="TJ3"/>
        <w:rPr>
          <w:rFonts w:asciiTheme="minorHAnsi" w:hAnsiTheme="minorHAnsi" w:cstheme="minorBidi"/>
          <w:noProof/>
          <w:sz w:val="24"/>
          <w:szCs w:val="21"/>
          <w:lang w:eastAsia="en-GB" w:bidi="sa-IN"/>
        </w:rPr>
      </w:pPr>
      <w:hyperlink w:anchor="_Toc243922610" w:history="1">
        <w:r>
          <w:rPr>
            <w:rStyle w:val="Hiperhivatkozs"/>
            <w:noProof/>
            <w:lang w:bidi="ar-SA"/>
          </w:rPr>
          <w:t>3.3.4. Metrical complications</w:t>
        </w:r>
        <w:r>
          <w:rPr>
            <w:noProof/>
            <w:webHidden/>
          </w:rPr>
          <w:tab/>
        </w:r>
        <w:r>
          <w:rPr>
            <w:noProof/>
            <w:webHidden/>
          </w:rPr>
          <w:fldChar w:fldCharType="begin"/>
        </w:r>
        <w:r>
          <w:rPr>
            <w:noProof/>
            <w:webHidden/>
          </w:rPr>
          <w:instrText xml:space="preserve"> PAGEREF _Toc243922610 \h </w:instrText>
        </w:r>
        <w:r>
          <w:rPr>
            <w:noProof/>
            <w:webHidden/>
          </w:rPr>
        </w:r>
        <w:r>
          <w:rPr>
            <w:noProof/>
            <w:webHidden/>
          </w:rPr>
          <w:fldChar w:fldCharType="separate"/>
        </w:r>
        <w:r>
          <w:rPr>
            <w:noProof/>
            <w:webHidden/>
          </w:rPr>
          <w:t>29</w:t>
        </w:r>
        <w:r>
          <w:rPr>
            <w:noProof/>
            <w:webHidden/>
          </w:rPr>
          <w:fldChar w:fldCharType="end"/>
        </w:r>
      </w:hyperlink>
    </w:p>
    <w:p w14:paraId="53C92B65" w14:textId="53869920">
      <w:pPr>
        <w:pStyle w:val="TJ1"/>
        <w:rPr>
          <w:rFonts w:asciiTheme="minorHAnsi" w:hAnsiTheme="minorHAnsi" w:cstheme="minorBidi"/>
          <w:b w:val="0"/>
          <w:noProof/>
          <w:sz w:val="24"/>
          <w:szCs w:val="21"/>
          <w:lang w:eastAsia="en-GB" w:bidi="sa-IN"/>
        </w:rPr>
      </w:pPr>
      <w:hyperlink w:anchor="_Toc243922611" w:history="1">
        <w:r>
          <w:rPr>
            <w:rStyle w:val="Hiperhivatkozs"/>
            <w:noProof/>
            <w:lang w:bidi="ar-SA"/>
          </w:rPr>
          <w:t>4. Extrinsic structure</w:t>
        </w:r>
        <w:r>
          <w:rPr>
            <w:noProof/>
            <w:webHidden/>
          </w:rPr>
          <w:tab/>
        </w:r>
        <w:r>
          <w:rPr>
            <w:noProof/>
            <w:webHidden/>
          </w:rPr>
          <w:fldChar w:fldCharType="begin"/>
        </w:r>
        <w:r>
          <w:rPr>
            <w:noProof/>
            <w:webHidden/>
          </w:rPr>
          <w:instrText xml:space="preserve"> PAGEREF _Toc243922611 \h </w:instrText>
        </w:r>
        <w:r>
          <w:rPr>
            <w:noProof/>
            <w:webHidden/>
          </w:rPr>
        </w:r>
        <w:r>
          <w:rPr>
            <w:noProof/>
            <w:webHidden/>
          </w:rPr>
          <w:fldChar w:fldCharType="separate"/>
        </w:r>
        <w:r>
          <w:rPr>
            <w:noProof/>
            <w:webHidden/>
          </w:rPr>
          <w:t>32</w:t>
        </w:r>
        <w:r>
          <w:rPr>
            <w:noProof/>
            <w:webHidden/>
          </w:rPr>
          <w:fldChar w:fldCharType="end"/>
        </w:r>
      </w:hyperlink>
    </w:p>
    <w:p w14:paraId="6792A1D3" w14:textId="29669BE1">
      <w:pPr>
        <w:pStyle w:val="TJ2"/>
        <w:rPr>
          <w:rFonts w:asciiTheme="minorHAnsi" w:hAnsiTheme="minorHAnsi" w:cstheme="minorBidi"/>
          <w:noProof/>
          <w:sz w:val="24"/>
          <w:szCs w:val="21"/>
          <w:lang w:eastAsia="en-GB" w:bidi="sa-IN"/>
        </w:rPr>
      </w:pPr>
      <w:hyperlink w:anchor="_Toc243922612" w:history="1">
        <w:r>
          <w:rPr>
            <w:rStyle w:val="Hiperhivatkozs"/>
            <w:noProof/>
            <w:lang w:bidi="ar-SA"/>
          </w:rPr>
          <w:t>4.1. Representing extrinsic structure</w:t>
        </w:r>
        <w:r>
          <w:rPr>
            <w:noProof/>
            <w:webHidden/>
          </w:rPr>
          <w:tab/>
        </w:r>
        <w:r>
          <w:rPr>
            <w:noProof/>
            <w:webHidden/>
          </w:rPr>
          <w:fldChar w:fldCharType="begin"/>
        </w:r>
        <w:r>
          <w:rPr>
            <w:noProof/>
            <w:webHidden/>
          </w:rPr>
          <w:instrText xml:space="preserve"> PAGEREF _Toc243922612 \h </w:instrText>
        </w:r>
        <w:r>
          <w:rPr>
            <w:noProof/>
            <w:webHidden/>
          </w:rPr>
        </w:r>
        <w:r>
          <w:rPr>
            <w:noProof/>
            <w:webHidden/>
          </w:rPr>
          <w:fldChar w:fldCharType="separate"/>
        </w:r>
        <w:r>
          <w:rPr>
            <w:noProof/>
            <w:webHidden/>
          </w:rPr>
          <w:t>32</w:t>
        </w:r>
        <w:r>
          <w:rPr>
            <w:noProof/>
            <w:webHidden/>
          </w:rPr>
          <w:fldChar w:fldCharType="end"/>
        </w:r>
      </w:hyperlink>
    </w:p>
    <w:p w14:paraId="7F56F736" w14:textId="48790322">
      <w:pPr>
        <w:pStyle w:val="TJ3"/>
        <w:rPr>
          <w:rFonts w:asciiTheme="minorHAnsi" w:hAnsiTheme="minorHAnsi" w:cstheme="minorBidi"/>
          <w:noProof/>
          <w:sz w:val="24"/>
          <w:szCs w:val="21"/>
          <w:lang w:eastAsia="en-GB" w:bidi="sa-IN"/>
        </w:rPr>
      </w:pPr>
      <w:hyperlink w:anchor="_Toc243922613" w:history="1">
        <w:r>
          <w:rPr>
            <w:rStyle w:val="Hiperhivatkozs"/>
            <w:noProof/>
            <w:lang w:bidi="ar-SA"/>
          </w:rPr>
          <w:t>4.1.1. Numeration for reference</w:t>
        </w:r>
        <w:r>
          <w:rPr>
            <w:noProof/>
            <w:webHidden/>
          </w:rPr>
          <w:tab/>
        </w:r>
        <w:r>
          <w:rPr>
            <w:noProof/>
            <w:webHidden/>
          </w:rPr>
          <w:fldChar w:fldCharType="begin"/>
        </w:r>
        <w:r>
          <w:rPr>
            <w:noProof/>
            <w:webHidden/>
          </w:rPr>
          <w:instrText xml:space="preserve"> PAGEREF _Toc243922613 \h </w:instrText>
        </w:r>
        <w:r>
          <w:rPr>
            <w:noProof/>
            <w:webHidden/>
          </w:rPr>
        </w:r>
        <w:r>
          <w:rPr>
            <w:noProof/>
            <w:webHidden/>
          </w:rPr>
          <w:fldChar w:fldCharType="separate"/>
        </w:r>
        <w:r>
          <w:rPr>
            <w:noProof/>
            <w:webHidden/>
          </w:rPr>
          <w:t>35</w:t>
        </w:r>
        <w:r>
          <w:rPr>
            <w:noProof/>
            <w:webHidden/>
          </w:rPr>
          <w:fldChar w:fldCharType="end"/>
        </w:r>
      </w:hyperlink>
    </w:p>
    <w:p w14:paraId="4656D179" w14:textId="13A8C688">
      <w:pPr>
        <w:pStyle w:val="TJ2"/>
        <w:rPr>
          <w:rFonts w:asciiTheme="minorHAnsi" w:hAnsiTheme="minorHAnsi" w:cstheme="minorBidi"/>
          <w:noProof/>
          <w:sz w:val="24"/>
          <w:szCs w:val="21"/>
          <w:lang w:eastAsia="en-GB" w:bidi="sa-IN"/>
        </w:rPr>
      </w:pPr>
      <w:hyperlink w:anchor="_Toc243922614" w:history="1">
        <w:r>
          <w:rPr>
            <w:rStyle w:val="Hiperhivatkozs"/>
            <w:noProof/>
            <w:lang w:bidi="ar-SA"/>
          </w:rPr>
          <w:t>4.2. Boxlike partitions</w:t>
        </w:r>
        <w:r>
          <w:rPr>
            <w:noProof/>
            <w:webHidden/>
          </w:rPr>
          <w:tab/>
        </w:r>
        <w:r>
          <w:rPr>
            <w:noProof/>
            <w:webHidden/>
          </w:rPr>
          <w:fldChar w:fldCharType="begin"/>
        </w:r>
        <w:r>
          <w:rPr>
            <w:noProof/>
            <w:webHidden/>
          </w:rPr>
          <w:instrText xml:space="preserve"> PAGEREF _Toc243922614 \h </w:instrText>
        </w:r>
        <w:r>
          <w:rPr>
            <w:noProof/>
            <w:webHidden/>
          </w:rPr>
        </w:r>
        <w:r>
          <w:rPr>
            <w:noProof/>
            <w:webHidden/>
          </w:rPr>
          <w:fldChar w:fldCharType="separate"/>
        </w:r>
        <w:r>
          <w:rPr>
            <w:noProof/>
            <w:webHidden/>
          </w:rPr>
          <w:t>35</w:t>
        </w:r>
        <w:r>
          <w:rPr>
            <w:noProof/>
            <w:webHidden/>
          </w:rPr>
          <w:fldChar w:fldCharType="end"/>
        </w:r>
      </w:hyperlink>
    </w:p>
    <w:p w14:paraId="0BAED65E" w14:textId="22AE6BD8">
      <w:pPr>
        <w:pStyle w:val="TJ3"/>
        <w:rPr>
          <w:rFonts w:asciiTheme="minorHAnsi" w:hAnsiTheme="minorHAnsi" w:cstheme="minorBidi"/>
          <w:noProof/>
          <w:sz w:val="24"/>
          <w:szCs w:val="21"/>
          <w:lang w:eastAsia="en-GB" w:bidi="sa-IN"/>
        </w:rPr>
      </w:pPr>
      <w:hyperlink w:anchor="_Toc243922615" w:history="1">
        <w:r>
          <w:rPr>
            <w:rStyle w:val="Hiperhivatkozs"/>
            <w:noProof/>
            <w:lang w:bidi="ar-SA"/>
          </w:rPr>
          <w:t>4.2.1. Encoding as textpart divisions</w:t>
        </w:r>
        <w:r>
          <w:rPr>
            <w:noProof/>
            <w:webHidden/>
          </w:rPr>
          <w:tab/>
        </w:r>
        <w:r>
          <w:rPr>
            <w:noProof/>
            <w:webHidden/>
          </w:rPr>
          <w:fldChar w:fldCharType="begin"/>
        </w:r>
        <w:r>
          <w:rPr>
            <w:noProof/>
            <w:webHidden/>
          </w:rPr>
          <w:instrText xml:space="preserve"> PAGEREF _Toc243922615 \h </w:instrText>
        </w:r>
        <w:r>
          <w:rPr>
            <w:noProof/>
            <w:webHidden/>
          </w:rPr>
        </w:r>
        <w:r>
          <w:rPr>
            <w:noProof/>
            <w:webHidden/>
          </w:rPr>
          <w:fldChar w:fldCharType="separate"/>
        </w:r>
        <w:r>
          <w:rPr>
            <w:noProof/>
            <w:webHidden/>
          </w:rPr>
          <w:t>36</w:t>
        </w:r>
        <w:r>
          <w:rPr>
            <w:noProof/>
            <w:webHidden/>
          </w:rPr>
          <w:fldChar w:fldCharType="end"/>
        </w:r>
      </w:hyperlink>
    </w:p>
    <w:p w14:paraId="4D628B98" w14:textId="0417D6C6">
      <w:pPr>
        <w:pStyle w:val="TJ2"/>
        <w:rPr>
          <w:rFonts w:asciiTheme="minorHAnsi" w:hAnsiTheme="minorHAnsi" w:cstheme="minorBidi"/>
          <w:noProof/>
          <w:sz w:val="24"/>
          <w:szCs w:val="21"/>
          <w:lang w:eastAsia="en-GB" w:bidi="sa-IN"/>
        </w:rPr>
      </w:pPr>
      <w:hyperlink w:anchor="_Toc243922616" w:history="1">
        <w:r>
          <w:rPr>
            <w:rStyle w:val="Hiperhivatkozs"/>
            <w:noProof/>
            <w:lang w:bidi="ar-SA"/>
          </w:rPr>
          <w:t>4.3. Encoding with milestones</w:t>
        </w:r>
        <w:r>
          <w:rPr>
            <w:noProof/>
            <w:webHidden/>
          </w:rPr>
          <w:tab/>
        </w:r>
        <w:r>
          <w:rPr>
            <w:noProof/>
            <w:webHidden/>
          </w:rPr>
          <w:fldChar w:fldCharType="begin"/>
        </w:r>
        <w:r>
          <w:rPr>
            <w:noProof/>
            <w:webHidden/>
          </w:rPr>
          <w:instrText xml:space="preserve"> PAGEREF _Toc243922616 \h </w:instrText>
        </w:r>
        <w:r>
          <w:rPr>
            <w:noProof/>
            <w:webHidden/>
          </w:rPr>
        </w:r>
        <w:r>
          <w:rPr>
            <w:noProof/>
            <w:webHidden/>
          </w:rPr>
          <w:fldChar w:fldCharType="separate"/>
        </w:r>
        <w:r>
          <w:rPr>
            <w:noProof/>
            <w:webHidden/>
          </w:rPr>
          <w:t>38</w:t>
        </w:r>
        <w:r>
          <w:rPr>
            <w:noProof/>
            <w:webHidden/>
          </w:rPr>
          <w:fldChar w:fldCharType="end"/>
        </w:r>
      </w:hyperlink>
    </w:p>
    <w:p w14:paraId="58922FF1" w14:textId="3DE569BB">
      <w:pPr>
        <w:pStyle w:val="TJ3"/>
        <w:rPr>
          <w:rFonts w:asciiTheme="minorHAnsi" w:hAnsiTheme="minorHAnsi" w:cstheme="minorBidi"/>
          <w:noProof/>
          <w:sz w:val="24"/>
          <w:szCs w:val="21"/>
          <w:lang w:eastAsia="en-GB" w:bidi="sa-IN"/>
        </w:rPr>
      </w:pPr>
      <w:hyperlink w:anchor="_Toc243922617" w:history="1">
        <w:r>
          <w:rPr>
            <w:rStyle w:val="Hiperhivatkozs"/>
            <w:noProof/>
            <w:lang w:bidi="ar-SA"/>
          </w:rPr>
          <w:t>4.3.1. Milestone units</w:t>
        </w:r>
        <w:r>
          <w:rPr>
            <w:noProof/>
            <w:webHidden/>
          </w:rPr>
          <w:tab/>
        </w:r>
        <w:r>
          <w:rPr>
            <w:noProof/>
            <w:webHidden/>
          </w:rPr>
          <w:fldChar w:fldCharType="begin"/>
        </w:r>
        <w:r>
          <w:rPr>
            <w:noProof/>
            <w:webHidden/>
          </w:rPr>
          <w:instrText xml:space="preserve"> PAGEREF _Toc243922617 \h </w:instrText>
        </w:r>
        <w:r>
          <w:rPr>
            <w:noProof/>
            <w:webHidden/>
          </w:rPr>
        </w:r>
        <w:r>
          <w:rPr>
            <w:noProof/>
            <w:webHidden/>
          </w:rPr>
          <w:fldChar w:fldCharType="separate"/>
        </w:r>
        <w:r>
          <w:rPr>
            <w:noProof/>
            <w:webHidden/>
          </w:rPr>
          <w:t>38</w:t>
        </w:r>
        <w:r>
          <w:rPr>
            <w:noProof/>
            <w:webHidden/>
          </w:rPr>
          <w:fldChar w:fldCharType="end"/>
        </w:r>
      </w:hyperlink>
    </w:p>
    <w:p w14:paraId="7B4615B3" w14:textId="5552592D">
      <w:pPr>
        <w:pStyle w:val="TJ3"/>
        <w:rPr>
          <w:rFonts w:asciiTheme="minorHAnsi" w:hAnsiTheme="minorHAnsi" w:cstheme="minorBidi"/>
          <w:noProof/>
          <w:sz w:val="24"/>
          <w:szCs w:val="21"/>
          <w:lang w:eastAsia="en-GB" w:bidi="sa-IN"/>
        </w:rPr>
      </w:pPr>
      <w:hyperlink w:anchor="_Toc243922618" w:history="1">
        <w:r>
          <w:rPr>
            <w:rStyle w:val="Hiperhivatkozs"/>
            <w:noProof/>
            <w:lang w:bidi="ar-SA"/>
          </w:rPr>
          <w:t>4.3.2. Milestones interrupting the text</w:t>
        </w:r>
        <w:r>
          <w:rPr>
            <w:noProof/>
            <w:webHidden/>
          </w:rPr>
          <w:tab/>
        </w:r>
        <w:r>
          <w:rPr>
            <w:noProof/>
            <w:webHidden/>
          </w:rPr>
          <w:fldChar w:fldCharType="begin"/>
        </w:r>
        <w:r>
          <w:rPr>
            <w:noProof/>
            <w:webHidden/>
          </w:rPr>
          <w:instrText xml:space="preserve"> PAGEREF _Toc243922618 \h </w:instrText>
        </w:r>
        <w:r>
          <w:rPr>
            <w:noProof/>
            <w:webHidden/>
          </w:rPr>
        </w:r>
        <w:r>
          <w:rPr>
            <w:noProof/>
            <w:webHidden/>
          </w:rPr>
          <w:fldChar w:fldCharType="separate"/>
        </w:r>
        <w:r>
          <w:rPr>
            <w:noProof/>
            <w:webHidden/>
          </w:rPr>
          <w:t>39</w:t>
        </w:r>
        <w:r>
          <w:rPr>
            <w:noProof/>
            <w:webHidden/>
          </w:rPr>
          <w:fldChar w:fldCharType="end"/>
        </w:r>
      </w:hyperlink>
    </w:p>
    <w:p w14:paraId="4ABB7C79" w14:textId="0950256D">
      <w:pPr>
        <w:pStyle w:val="TJ3"/>
        <w:rPr>
          <w:rFonts w:asciiTheme="minorHAnsi" w:hAnsiTheme="minorHAnsi" w:cstheme="minorBidi"/>
          <w:noProof/>
          <w:sz w:val="24"/>
          <w:szCs w:val="21"/>
          <w:lang w:eastAsia="en-GB" w:bidi="sa-IN"/>
        </w:rPr>
      </w:pPr>
      <w:hyperlink w:anchor="_Toc243922619" w:history="1">
        <w:r>
          <w:rPr>
            <w:rStyle w:val="Hiperhivatkozs"/>
            <w:noProof/>
            <w:lang w:bidi="ar-SA"/>
          </w:rPr>
          <w:t>4.3.3. Good encoding practice for milestone elements</w:t>
        </w:r>
        <w:r>
          <w:rPr>
            <w:noProof/>
            <w:webHidden/>
          </w:rPr>
          <w:tab/>
        </w:r>
        <w:r>
          <w:rPr>
            <w:noProof/>
            <w:webHidden/>
          </w:rPr>
          <w:fldChar w:fldCharType="begin"/>
        </w:r>
        <w:r>
          <w:rPr>
            <w:noProof/>
            <w:webHidden/>
          </w:rPr>
          <w:instrText xml:space="preserve"> PAGEREF _Toc243922619 \h </w:instrText>
        </w:r>
        <w:r>
          <w:rPr>
            <w:noProof/>
            <w:webHidden/>
          </w:rPr>
        </w:r>
        <w:r>
          <w:rPr>
            <w:noProof/>
            <w:webHidden/>
          </w:rPr>
          <w:fldChar w:fldCharType="separate"/>
        </w:r>
        <w:r>
          <w:rPr>
            <w:noProof/>
            <w:webHidden/>
          </w:rPr>
          <w:t>40</w:t>
        </w:r>
        <w:r>
          <w:rPr>
            <w:noProof/>
            <w:webHidden/>
          </w:rPr>
          <w:fldChar w:fldCharType="end"/>
        </w:r>
      </w:hyperlink>
    </w:p>
    <w:p w14:paraId="15A2FEF5" w14:textId="5897CEF0">
      <w:pPr>
        <w:pStyle w:val="TJ2"/>
        <w:rPr>
          <w:rFonts w:asciiTheme="minorHAnsi" w:hAnsiTheme="minorHAnsi" w:cstheme="minorBidi"/>
          <w:noProof/>
          <w:sz w:val="24"/>
          <w:szCs w:val="21"/>
          <w:lang w:eastAsia="en-GB" w:bidi="sa-IN"/>
        </w:rPr>
      </w:pPr>
      <w:hyperlink w:anchor="_Toc243922620" w:history="1">
        <w:r>
          <w:rPr>
            <w:rStyle w:val="Hiperhivatkozs"/>
            <w:noProof/>
            <w:lang w:bidi="ar-SA"/>
          </w:rPr>
          <w:t>4.4. Pagelike partitions</w:t>
        </w:r>
        <w:r>
          <w:rPr>
            <w:noProof/>
            <w:webHidden/>
          </w:rPr>
          <w:tab/>
        </w:r>
        <w:r>
          <w:rPr>
            <w:noProof/>
            <w:webHidden/>
          </w:rPr>
          <w:fldChar w:fldCharType="begin"/>
        </w:r>
        <w:r>
          <w:rPr>
            <w:noProof/>
            <w:webHidden/>
          </w:rPr>
          <w:instrText xml:space="preserve"> PAGEREF _Toc243922620 \h </w:instrText>
        </w:r>
        <w:r>
          <w:rPr>
            <w:noProof/>
            <w:webHidden/>
          </w:rPr>
        </w:r>
        <w:r>
          <w:rPr>
            <w:noProof/>
            <w:webHidden/>
          </w:rPr>
          <w:fldChar w:fldCharType="separate"/>
        </w:r>
        <w:r>
          <w:rPr>
            <w:noProof/>
            <w:webHidden/>
          </w:rPr>
          <w:t>42</w:t>
        </w:r>
        <w:r>
          <w:rPr>
            <w:noProof/>
            <w:webHidden/>
          </w:rPr>
          <w:fldChar w:fldCharType="end"/>
        </w:r>
      </w:hyperlink>
    </w:p>
    <w:p w14:paraId="291BBE0B" w14:textId="107AF92E">
      <w:pPr>
        <w:pStyle w:val="TJ3"/>
        <w:rPr>
          <w:rFonts w:asciiTheme="minorHAnsi" w:hAnsiTheme="minorHAnsi" w:cstheme="minorBidi"/>
          <w:noProof/>
          <w:sz w:val="24"/>
          <w:szCs w:val="21"/>
          <w:lang w:eastAsia="en-GB" w:bidi="sa-IN"/>
        </w:rPr>
      </w:pPr>
      <w:hyperlink w:anchor="_Toc243922621" w:history="1">
        <w:r>
          <w:rPr>
            <w:rStyle w:val="Hiperhivatkozs"/>
            <w:noProof/>
            <w:lang w:bidi="ar-SA"/>
          </w:rPr>
          <w:t>4.4.2. Marking up genuine pages</w:t>
        </w:r>
        <w:r>
          <w:rPr>
            <w:noProof/>
            <w:webHidden/>
          </w:rPr>
          <w:tab/>
        </w:r>
        <w:r>
          <w:rPr>
            <w:noProof/>
            <w:webHidden/>
          </w:rPr>
          <w:fldChar w:fldCharType="begin"/>
        </w:r>
        <w:r>
          <w:rPr>
            <w:noProof/>
            <w:webHidden/>
          </w:rPr>
          <w:instrText xml:space="preserve"> PAGEREF _Toc243922621 \h </w:instrText>
        </w:r>
        <w:r>
          <w:rPr>
            <w:noProof/>
            <w:webHidden/>
          </w:rPr>
        </w:r>
        <w:r>
          <w:rPr>
            <w:noProof/>
            <w:webHidden/>
          </w:rPr>
          <w:fldChar w:fldCharType="separate"/>
        </w:r>
        <w:r>
          <w:rPr>
            <w:noProof/>
            <w:webHidden/>
          </w:rPr>
          <w:t>43</w:t>
        </w:r>
        <w:r>
          <w:rPr>
            <w:noProof/>
            <w:webHidden/>
          </w:rPr>
          <w:fldChar w:fldCharType="end"/>
        </w:r>
      </w:hyperlink>
    </w:p>
    <w:p w14:paraId="285678F3" w14:textId="5EFBCFE1">
      <w:pPr>
        <w:pStyle w:val="TJ3"/>
        <w:rPr>
          <w:rFonts w:asciiTheme="minorHAnsi" w:hAnsiTheme="minorHAnsi" w:cstheme="minorBidi"/>
          <w:noProof/>
          <w:sz w:val="24"/>
          <w:szCs w:val="21"/>
          <w:lang w:eastAsia="en-GB" w:bidi="sa-IN"/>
        </w:rPr>
      </w:pPr>
      <w:hyperlink w:anchor="_Toc243922622" w:history="1">
        <w:r>
          <w:rPr>
            <w:rStyle w:val="Hiperhivatkozs"/>
            <w:noProof/>
            <w:lang w:bidi="ar-SA"/>
          </w:rPr>
          <w:t>4.4.3. Marking up other pagelike zones</w:t>
        </w:r>
        <w:r>
          <w:rPr>
            <w:noProof/>
            <w:webHidden/>
          </w:rPr>
          <w:tab/>
        </w:r>
        <w:r>
          <w:rPr>
            <w:noProof/>
            <w:webHidden/>
          </w:rPr>
          <w:fldChar w:fldCharType="begin"/>
        </w:r>
        <w:r>
          <w:rPr>
            <w:noProof/>
            <w:webHidden/>
          </w:rPr>
          <w:instrText xml:space="preserve"> PAGEREF _Toc243922622 \h </w:instrText>
        </w:r>
        <w:r>
          <w:rPr>
            <w:noProof/>
            <w:webHidden/>
          </w:rPr>
        </w:r>
        <w:r>
          <w:rPr>
            <w:noProof/>
            <w:webHidden/>
          </w:rPr>
          <w:fldChar w:fldCharType="separate"/>
        </w:r>
        <w:r>
          <w:rPr>
            <w:noProof/>
            <w:webHidden/>
          </w:rPr>
          <w:t>44</w:t>
        </w:r>
        <w:r>
          <w:rPr>
            <w:noProof/>
            <w:webHidden/>
          </w:rPr>
          <w:fldChar w:fldCharType="end"/>
        </w:r>
      </w:hyperlink>
    </w:p>
    <w:p w14:paraId="186ACAA9" w14:textId="528C22E2">
      <w:pPr>
        <w:pStyle w:val="TJ3"/>
        <w:rPr>
          <w:rFonts w:asciiTheme="minorHAnsi" w:hAnsiTheme="minorHAnsi" w:cstheme="minorBidi"/>
          <w:noProof/>
          <w:sz w:val="24"/>
          <w:szCs w:val="21"/>
          <w:lang w:eastAsia="en-GB" w:bidi="sa-IN"/>
        </w:rPr>
      </w:pPr>
      <w:hyperlink w:anchor="_Toc243922623" w:history="1">
        <w:r>
          <w:rPr>
            <w:rStyle w:val="Hiperhivatkozs"/>
            <w:noProof/>
            <w:lang w:bidi="ar-SA"/>
          </w:rPr>
          <w:t>4.4.4. Numbered elements in pagelike partitions</w:t>
        </w:r>
        <w:r>
          <w:rPr>
            <w:noProof/>
            <w:webHidden/>
          </w:rPr>
          <w:tab/>
        </w:r>
        <w:r>
          <w:rPr>
            <w:noProof/>
            <w:webHidden/>
          </w:rPr>
          <w:fldChar w:fldCharType="begin"/>
        </w:r>
        <w:r>
          <w:rPr>
            <w:noProof/>
            <w:webHidden/>
          </w:rPr>
          <w:instrText xml:space="preserve"> PAGEREF _Toc243922623 \h </w:instrText>
        </w:r>
        <w:r>
          <w:rPr>
            <w:noProof/>
            <w:webHidden/>
          </w:rPr>
        </w:r>
        <w:r>
          <w:rPr>
            <w:noProof/>
            <w:webHidden/>
          </w:rPr>
          <w:fldChar w:fldCharType="separate"/>
        </w:r>
        <w:r>
          <w:rPr>
            <w:noProof/>
            <w:webHidden/>
          </w:rPr>
          <w:t>45</w:t>
        </w:r>
        <w:r>
          <w:rPr>
            <w:noProof/>
            <w:webHidden/>
          </w:rPr>
          <w:fldChar w:fldCharType="end"/>
        </w:r>
      </w:hyperlink>
    </w:p>
    <w:p w14:paraId="53ED7AB4" w14:textId="0ED88C31">
      <w:pPr>
        <w:pStyle w:val="TJ2"/>
        <w:rPr>
          <w:rFonts w:asciiTheme="minorHAnsi" w:hAnsiTheme="minorHAnsi" w:cstheme="minorBidi"/>
          <w:noProof/>
          <w:sz w:val="24"/>
          <w:szCs w:val="21"/>
          <w:lang w:eastAsia="en-GB" w:bidi="sa-IN"/>
        </w:rPr>
      </w:pPr>
      <w:hyperlink w:anchor="_Toc243922624" w:history="1">
        <w:r>
          <w:rPr>
            <w:rStyle w:val="Hiperhivatkozs"/>
            <w:noProof/>
            <w:lang w:bidi="ar-SA"/>
          </w:rPr>
          <w:t>4.5. Physical lines</w:t>
        </w:r>
        <w:r>
          <w:rPr>
            <w:noProof/>
            <w:webHidden/>
          </w:rPr>
          <w:tab/>
        </w:r>
        <w:r>
          <w:rPr>
            <w:noProof/>
            <w:webHidden/>
          </w:rPr>
          <w:fldChar w:fldCharType="begin"/>
        </w:r>
        <w:r>
          <w:rPr>
            <w:noProof/>
            <w:webHidden/>
          </w:rPr>
          <w:instrText xml:space="preserve"> PAGEREF _Toc243922624 \h </w:instrText>
        </w:r>
        <w:r>
          <w:rPr>
            <w:noProof/>
            <w:webHidden/>
          </w:rPr>
        </w:r>
        <w:r>
          <w:rPr>
            <w:noProof/>
            <w:webHidden/>
          </w:rPr>
          <w:fldChar w:fldCharType="separate"/>
        </w:r>
        <w:r>
          <w:rPr>
            <w:noProof/>
            <w:webHidden/>
          </w:rPr>
          <w:t>45</w:t>
        </w:r>
        <w:r>
          <w:rPr>
            <w:noProof/>
            <w:webHidden/>
          </w:rPr>
          <w:fldChar w:fldCharType="end"/>
        </w:r>
      </w:hyperlink>
    </w:p>
    <w:p w14:paraId="588925E7" w14:textId="647AB673">
      <w:pPr>
        <w:pStyle w:val="TJ3"/>
        <w:rPr>
          <w:rFonts w:asciiTheme="minorHAnsi" w:hAnsiTheme="minorHAnsi" w:cstheme="minorBidi"/>
          <w:noProof/>
          <w:sz w:val="24"/>
          <w:szCs w:val="21"/>
          <w:lang w:eastAsia="en-GB" w:bidi="sa-IN"/>
        </w:rPr>
      </w:pPr>
      <w:hyperlink w:anchor="_Toc243922625" w:history="1">
        <w:r>
          <w:rPr>
            <w:rStyle w:val="Hiperhivatkozs"/>
            <w:noProof/>
            <w:lang w:bidi="ar-SA"/>
          </w:rPr>
          <w:t>4.5.1. Marking up line beginnings</w:t>
        </w:r>
        <w:r>
          <w:rPr>
            <w:noProof/>
            <w:webHidden/>
          </w:rPr>
          <w:tab/>
        </w:r>
        <w:r>
          <w:rPr>
            <w:noProof/>
            <w:webHidden/>
          </w:rPr>
          <w:fldChar w:fldCharType="begin"/>
        </w:r>
        <w:r>
          <w:rPr>
            <w:noProof/>
            <w:webHidden/>
          </w:rPr>
          <w:instrText xml:space="preserve"> PAGEREF _Toc243922625 \h </w:instrText>
        </w:r>
        <w:r>
          <w:rPr>
            <w:noProof/>
            <w:webHidden/>
          </w:rPr>
        </w:r>
        <w:r>
          <w:rPr>
            <w:noProof/>
            <w:webHidden/>
          </w:rPr>
          <w:fldChar w:fldCharType="separate"/>
        </w:r>
        <w:r>
          <w:rPr>
            <w:noProof/>
            <w:webHidden/>
          </w:rPr>
          <w:t>46</w:t>
        </w:r>
        <w:r>
          <w:rPr>
            <w:noProof/>
            <w:webHidden/>
          </w:rPr>
          <w:fldChar w:fldCharType="end"/>
        </w:r>
      </w:hyperlink>
    </w:p>
    <w:p w14:paraId="207FF8F2" w14:textId="3456F585">
      <w:pPr>
        <w:pStyle w:val="TJ3"/>
        <w:rPr>
          <w:rFonts w:asciiTheme="minorHAnsi" w:hAnsiTheme="minorHAnsi" w:cstheme="minorBidi"/>
          <w:noProof/>
          <w:sz w:val="24"/>
          <w:szCs w:val="21"/>
          <w:lang w:eastAsia="en-GB" w:bidi="sa-IN"/>
        </w:rPr>
      </w:pPr>
      <w:hyperlink w:anchor="_Toc243922626" w:history="1">
        <w:r>
          <w:rPr>
            <w:rStyle w:val="Hiperhivatkozs"/>
            <w:noProof/>
            <w:lang w:bidi="ar-SA"/>
          </w:rPr>
          <w:t>4.5.2. Numbering lines</w:t>
        </w:r>
        <w:r>
          <w:rPr>
            <w:noProof/>
            <w:webHidden/>
          </w:rPr>
          <w:tab/>
        </w:r>
        <w:r>
          <w:rPr>
            <w:noProof/>
            <w:webHidden/>
          </w:rPr>
          <w:fldChar w:fldCharType="begin"/>
        </w:r>
        <w:r>
          <w:rPr>
            <w:noProof/>
            <w:webHidden/>
          </w:rPr>
          <w:instrText xml:space="preserve"> PAGEREF _Toc243922626 \h </w:instrText>
        </w:r>
        <w:r>
          <w:rPr>
            <w:noProof/>
            <w:webHidden/>
          </w:rPr>
        </w:r>
        <w:r>
          <w:rPr>
            <w:noProof/>
            <w:webHidden/>
          </w:rPr>
          <w:fldChar w:fldCharType="separate"/>
        </w:r>
        <w:r>
          <w:rPr>
            <w:noProof/>
            <w:webHidden/>
          </w:rPr>
          <w:t>47</w:t>
        </w:r>
        <w:r>
          <w:rPr>
            <w:noProof/>
            <w:webHidden/>
          </w:rPr>
          <w:fldChar w:fldCharType="end"/>
        </w:r>
      </w:hyperlink>
    </w:p>
    <w:p w14:paraId="687E1036" w14:textId="6571C7A3">
      <w:pPr>
        <w:pStyle w:val="TJ2"/>
        <w:rPr>
          <w:rFonts w:asciiTheme="minorHAnsi" w:hAnsiTheme="minorHAnsi" w:cstheme="minorBidi"/>
          <w:noProof/>
          <w:sz w:val="24"/>
          <w:szCs w:val="21"/>
          <w:lang w:eastAsia="en-GB" w:bidi="sa-IN"/>
        </w:rPr>
      </w:pPr>
      <w:hyperlink w:anchor="_Toc243922627" w:history="1">
        <w:r>
          <w:rPr>
            <w:rStyle w:val="Hiperhivatkozs"/>
            <w:noProof/>
            <w:lang w:bidi="ar-SA"/>
          </w:rPr>
          <w:t>4.6. Gridlike partitions</w:t>
        </w:r>
        <w:r>
          <w:rPr>
            <w:noProof/>
            <w:webHidden/>
          </w:rPr>
          <w:tab/>
        </w:r>
        <w:r>
          <w:rPr>
            <w:noProof/>
            <w:webHidden/>
          </w:rPr>
          <w:fldChar w:fldCharType="begin"/>
        </w:r>
        <w:r>
          <w:rPr>
            <w:noProof/>
            <w:webHidden/>
          </w:rPr>
          <w:instrText xml:space="preserve"> PAGEREF _Toc243922627 \h </w:instrText>
        </w:r>
        <w:r>
          <w:rPr>
            <w:noProof/>
            <w:webHidden/>
          </w:rPr>
        </w:r>
        <w:r>
          <w:rPr>
            <w:noProof/>
            <w:webHidden/>
          </w:rPr>
          <w:fldChar w:fldCharType="separate"/>
        </w:r>
        <w:r>
          <w:rPr>
            <w:noProof/>
            <w:webHidden/>
          </w:rPr>
          <w:t>48</w:t>
        </w:r>
        <w:r>
          <w:rPr>
            <w:noProof/>
            <w:webHidden/>
          </w:rPr>
          <w:fldChar w:fldCharType="end"/>
        </w:r>
      </w:hyperlink>
    </w:p>
    <w:p w14:paraId="4740DF94" w14:textId="24773A4E">
      <w:pPr>
        <w:pStyle w:val="TJ3"/>
        <w:rPr>
          <w:rFonts w:asciiTheme="minorHAnsi" w:hAnsiTheme="minorHAnsi" w:cstheme="minorBidi"/>
          <w:noProof/>
          <w:sz w:val="24"/>
          <w:szCs w:val="21"/>
          <w:lang w:eastAsia="en-GB" w:bidi="sa-IN"/>
        </w:rPr>
      </w:pPr>
      <w:hyperlink w:anchor="_Toc243922628" w:history="1">
        <w:r>
          <w:rPr>
            <w:rStyle w:val="Hiperhivatkozs"/>
            <w:noProof/>
            <w:lang w:bidi="ar-SA"/>
          </w:rPr>
          <w:t>4.6.1. Marking up gridlike partitions</w:t>
        </w:r>
        <w:r>
          <w:rPr>
            <w:noProof/>
            <w:webHidden/>
          </w:rPr>
          <w:tab/>
        </w:r>
        <w:r>
          <w:rPr>
            <w:noProof/>
            <w:webHidden/>
          </w:rPr>
          <w:fldChar w:fldCharType="begin"/>
        </w:r>
        <w:r>
          <w:rPr>
            <w:noProof/>
            <w:webHidden/>
          </w:rPr>
          <w:instrText xml:space="preserve"> PAGEREF _Toc243922628 \h </w:instrText>
        </w:r>
        <w:r>
          <w:rPr>
            <w:noProof/>
            <w:webHidden/>
          </w:rPr>
        </w:r>
        <w:r>
          <w:rPr>
            <w:noProof/>
            <w:webHidden/>
          </w:rPr>
          <w:fldChar w:fldCharType="separate"/>
        </w:r>
        <w:r>
          <w:rPr>
            <w:noProof/>
            <w:webHidden/>
          </w:rPr>
          <w:t>48</w:t>
        </w:r>
        <w:r>
          <w:rPr>
            <w:noProof/>
            <w:webHidden/>
          </w:rPr>
          <w:fldChar w:fldCharType="end"/>
        </w:r>
      </w:hyperlink>
    </w:p>
    <w:p w14:paraId="1ECE0330" w14:textId="01A6A187">
      <w:pPr>
        <w:pStyle w:val="TJ2"/>
        <w:rPr>
          <w:rFonts w:asciiTheme="minorHAnsi" w:hAnsiTheme="minorHAnsi" w:cstheme="minorBidi"/>
          <w:noProof/>
          <w:sz w:val="24"/>
          <w:szCs w:val="21"/>
          <w:lang w:eastAsia="en-GB" w:bidi="sa-IN"/>
        </w:rPr>
      </w:pPr>
      <w:hyperlink w:anchor="_Toc243922629" w:history="1">
        <w:r>
          <w:rPr>
            <w:rStyle w:val="Hiperhivatkozs"/>
            <w:noProof/>
            <w:lang w:bidi="ar-SA"/>
          </w:rPr>
          <w:t>4.7. Dealing with the realities of extrinsic structure</w:t>
        </w:r>
        <w:r>
          <w:rPr>
            <w:noProof/>
            <w:webHidden/>
          </w:rPr>
          <w:tab/>
        </w:r>
        <w:r>
          <w:rPr>
            <w:noProof/>
            <w:webHidden/>
          </w:rPr>
          <w:fldChar w:fldCharType="begin"/>
        </w:r>
        <w:r>
          <w:rPr>
            <w:noProof/>
            <w:webHidden/>
          </w:rPr>
          <w:instrText xml:space="preserve"> PAGEREF _Toc243922629 \h </w:instrText>
        </w:r>
        <w:r>
          <w:rPr>
            <w:noProof/>
            <w:webHidden/>
          </w:rPr>
        </w:r>
        <w:r>
          <w:rPr>
            <w:noProof/>
            <w:webHidden/>
          </w:rPr>
          <w:fldChar w:fldCharType="separate"/>
        </w:r>
        <w:r>
          <w:rPr>
            <w:noProof/>
            <w:webHidden/>
          </w:rPr>
          <w:t>49</w:t>
        </w:r>
        <w:r>
          <w:rPr>
            <w:noProof/>
            <w:webHidden/>
          </w:rPr>
          <w:fldChar w:fldCharType="end"/>
        </w:r>
      </w:hyperlink>
    </w:p>
    <w:p w14:paraId="605D1AC8" w14:textId="49EB95AD">
      <w:pPr>
        <w:pStyle w:val="TJ3"/>
        <w:rPr>
          <w:rFonts w:asciiTheme="minorHAnsi" w:hAnsiTheme="minorHAnsi" w:cstheme="minorBidi"/>
          <w:noProof/>
          <w:sz w:val="24"/>
          <w:szCs w:val="21"/>
          <w:lang w:eastAsia="en-GB" w:bidi="sa-IN"/>
        </w:rPr>
      </w:pPr>
      <w:hyperlink w:anchor="_Toc243922630" w:history="1">
        <w:r>
          <w:rPr>
            <w:rStyle w:val="Hiperhivatkozs"/>
            <w:noProof/>
            <w:lang w:bidi="ar-SA"/>
          </w:rPr>
          <w:t>4.7.1. Peripheral inscribed zones</w:t>
        </w:r>
        <w:r>
          <w:rPr>
            <w:noProof/>
            <w:webHidden/>
          </w:rPr>
          <w:tab/>
        </w:r>
        <w:r>
          <w:rPr>
            <w:noProof/>
            <w:webHidden/>
          </w:rPr>
          <w:fldChar w:fldCharType="begin"/>
        </w:r>
        <w:r>
          <w:rPr>
            <w:noProof/>
            <w:webHidden/>
          </w:rPr>
          <w:instrText xml:space="preserve"> PAGEREF _Toc243922630 \h </w:instrText>
        </w:r>
        <w:r>
          <w:rPr>
            <w:noProof/>
            <w:webHidden/>
          </w:rPr>
        </w:r>
        <w:r>
          <w:rPr>
            <w:noProof/>
            <w:webHidden/>
          </w:rPr>
          <w:fldChar w:fldCharType="separate"/>
        </w:r>
        <w:r>
          <w:rPr>
            <w:noProof/>
            <w:webHidden/>
          </w:rPr>
          <w:t>49</w:t>
        </w:r>
        <w:r>
          <w:rPr>
            <w:noProof/>
            <w:webHidden/>
          </w:rPr>
          <w:fldChar w:fldCharType="end"/>
        </w:r>
      </w:hyperlink>
    </w:p>
    <w:p w14:paraId="6ED95C65" w14:textId="5ECA77E1">
      <w:pPr>
        <w:pStyle w:val="TJ3"/>
        <w:rPr>
          <w:rFonts w:asciiTheme="minorHAnsi" w:hAnsiTheme="minorHAnsi" w:cstheme="minorBidi"/>
          <w:noProof/>
          <w:sz w:val="24"/>
          <w:szCs w:val="21"/>
          <w:lang w:eastAsia="en-GB" w:bidi="sa-IN"/>
        </w:rPr>
      </w:pPr>
      <w:hyperlink w:anchor="_Toc243922631" w:history="1">
        <w:r>
          <w:rPr>
            <w:rStyle w:val="Hiperhivatkozs"/>
            <w:noProof/>
            <w:lang w:bidi="ar-SA"/>
          </w:rPr>
          <w:t>4.7.2. Pagination or foliation: “forme work”</w:t>
        </w:r>
        <w:r>
          <w:rPr>
            <w:noProof/>
            <w:webHidden/>
          </w:rPr>
          <w:tab/>
        </w:r>
        <w:r>
          <w:rPr>
            <w:noProof/>
            <w:webHidden/>
          </w:rPr>
          <w:fldChar w:fldCharType="begin"/>
        </w:r>
        <w:r>
          <w:rPr>
            <w:noProof/>
            <w:webHidden/>
          </w:rPr>
          <w:instrText xml:space="preserve"> PAGEREF _Toc243922631 \h </w:instrText>
        </w:r>
        <w:r>
          <w:rPr>
            <w:noProof/>
            <w:webHidden/>
          </w:rPr>
        </w:r>
        <w:r>
          <w:rPr>
            <w:noProof/>
            <w:webHidden/>
          </w:rPr>
          <w:fldChar w:fldCharType="separate"/>
        </w:r>
        <w:r>
          <w:rPr>
            <w:noProof/>
            <w:webHidden/>
          </w:rPr>
          <w:t>52</w:t>
        </w:r>
        <w:r>
          <w:rPr>
            <w:noProof/>
            <w:webHidden/>
          </w:rPr>
          <w:fldChar w:fldCharType="end"/>
        </w:r>
      </w:hyperlink>
    </w:p>
    <w:p w14:paraId="23BA848E" w14:textId="172EFB5E">
      <w:pPr>
        <w:pStyle w:val="TJ3"/>
        <w:rPr>
          <w:rFonts w:asciiTheme="minorHAnsi" w:hAnsiTheme="minorHAnsi" w:cstheme="minorBidi"/>
          <w:noProof/>
          <w:sz w:val="24"/>
          <w:szCs w:val="21"/>
          <w:lang w:eastAsia="en-GB" w:bidi="sa-IN"/>
        </w:rPr>
      </w:pPr>
      <w:hyperlink w:anchor="_Toc243922632" w:history="1">
        <w:r>
          <w:rPr>
            <w:rStyle w:val="Hiperhivatkozs"/>
            <w:noProof/>
            <w:lang w:bidi="ar-SA"/>
          </w:rPr>
          <w:t>4.7.3. When to use textpart divisions</w:t>
        </w:r>
        <w:r>
          <w:rPr>
            <w:noProof/>
            <w:webHidden/>
          </w:rPr>
          <w:tab/>
        </w:r>
        <w:r>
          <w:rPr>
            <w:noProof/>
            <w:webHidden/>
          </w:rPr>
          <w:fldChar w:fldCharType="begin"/>
        </w:r>
        <w:r>
          <w:rPr>
            <w:noProof/>
            <w:webHidden/>
          </w:rPr>
          <w:instrText xml:space="preserve"> PAGEREF _Toc243922632 \h </w:instrText>
        </w:r>
        <w:r>
          <w:rPr>
            <w:noProof/>
            <w:webHidden/>
          </w:rPr>
        </w:r>
        <w:r>
          <w:rPr>
            <w:noProof/>
            <w:webHidden/>
          </w:rPr>
          <w:fldChar w:fldCharType="separate"/>
        </w:r>
        <w:r>
          <w:rPr>
            <w:noProof/>
            <w:webHidden/>
          </w:rPr>
          <w:t>54</w:t>
        </w:r>
        <w:r>
          <w:rPr>
            <w:noProof/>
            <w:webHidden/>
          </w:rPr>
          <w:fldChar w:fldCharType="end"/>
        </w:r>
      </w:hyperlink>
    </w:p>
    <w:p w14:paraId="457C0AC9" w14:textId="17E78CC8">
      <w:pPr>
        <w:pStyle w:val="TJ3"/>
        <w:rPr>
          <w:rFonts w:asciiTheme="minorHAnsi" w:hAnsiTheme="minorHAnsi" w:cstheme="minorBidi"/>
          <w:noProof/>
          <w:sz w:val="24"/>
          <w:szCs w:val="21"/>
          <w:lang w:eastAsia="en-GB" w:bidi="sa-IN"/>
        </w:rPr>
      </w:pPr>
      <w:hyperlink w:anchor="_Toc243922633" w:history="1">
        <w:r>
          <w:rPr>
            <w:rStyle w:val="Hiperhivatkozs"/>
            <w:noProof/>
            <w:lang w:bidi="ar-SA"/>
          </w:rPr>
          <w:t>4.7.4. When to use pagelike partitions</w:t>
        </w:r>
        <w:r>
          <w:rPr>
            <w:noProof/>
            <w:webHidden/>
          </w:rPr>
          <w:tab/>
        </w:r>
        <w:r>
          <w:rPr>
            <w:noProof/>
            <w:webHidden/>
          </w:rPr>
          <w:fldChar w:fldCharType="begin"/>
        </w:r>
        <w:r>
          <w:rPr>
            <w:noProof/>
            <w:webHidden/>
          </w:rPr>
          <w:instrText xml:space="preserve"> PAGEREF _Toc243922633 \h </w:instrText>
        </w:r>
        <w:r>
          <w:rPr>
            <w:noProof/>
            <w:webHidden/>
          </w:rPr>
        </w:r>
        <w:r>
          <w:rPr>
            <w:noProof/>
            <w:webHidden/>
          </w:rPr>
          <w:fldChar w:fldCharType="separate"/>
        </w:r>
        <w:r>
          <w:rPr>
            <w:noProof/>
            <w:webHidden/>
          </w:rPr>
          <w:t>56</w:t>
        </w:r>
        <w:r>
          <w:rPr>
            <w:noProof/>
            <w:webHidden/>
          </w:rPr>
          <w:fldChar w:fldCharType="end"/>
        </w:r>
      </w:hyperlink>
    </w:p>
    <w:p w14:paraId="42B69AA2" w14:textId="797FE651">
      <w:pPr>
        <w:pStyle w:val="TJ3"/>
        <w:rPr>
          <w:rFonts w:asciiTheme="minorHAnsi" w:hAnsiTheme="minorHAnsi" w:cstheme="minorBidi"/>
          <w:noProof/>
          <w:sz w:val="24"/>
          <w:szCs w:val="21"/>
          <w:lang w:eastAsia="en-GB" w:bidi="sa-IN"/>
        </w:rPr>
      </w:pPr>
      <w:hyperlink w:anchor="_Toc243922634" w:history="1">
        <w:r>
          <w:rPr>
            <w:rStyle w:val="Hiperhivatkozs"/>
            <w:noProof/>
            <w:lang w:bidi="ar-SA"/>
          </w:rPr>
          <w:t>4.7.5. When to use gridlike partitions</w:t>
        </w:r>
        <w:r>
          <w:rPr>
            <w:noProof/>
            <w:webHidden/>
          </w:rPr>
          <w:tab/>
        </w:r>
        <w:r>
          <w:rPr>
            <w:noProof/>
            <w:webHidden/>
          </w:rPr>
          <w:fldChar w:fldCharType="begin"/>
        </w:r>
        <w:r>
          <w:rPr>
            <w:noProof/>
            <w:webHidden/>
          </w:rPr>
          <w:instrText xml:space="preserve"> PAGEREF _Toc243922634 \h </w:instrText>
        </w:r>
        <w:r>
          <w:rPr>
            <w:noProof/>
            <w:webHidden/>
          </w:rPr>
        </w:r>
        <w:r>
          <w:rPr>
            <w:noProof/>
            <w:webHidden/>
          </w:rPr>
          <w:fldChar w:fldCharType="separate"/>
        </w:r>
        <w:r>
          <w:rPr>
            <w:noProof/>
            <w:webHidden/>
          </w:rPr>
          <w:t>60</w:t>
        </w:r>
        <w:r>
          <w:rPr>
            <w:noProof/>
            <w:webHidden/>
          </w:rPr>
          <w:fldChar w:fldCharType="end"/>
        </w:r>
      </w:hyperlink>
    </w:p>
    <w:p w14:paraId="72571BFB" w14:textId="18D3A4CF">
      <w:pPr>
        <w:pStyle w:val="TJ3"/>
        <w:rPr>
          <w:rFonts w:asciiTheme="minorHAnsi" w:hAnsiTheme="minorHAnsi" w:cstheme="minorBidi"/>
          <w:noProof/>
          <w:sz w:val="24"/>
          <w:szCs w:val="21"/>
          <w:lang w:eastAsia="en-GB" w:bidi="sa-IN"/>
        </w:rPr>
      </w:pPr>
      <w:hyperlink w:anchor="_Toc243922635" w:history="1">
        <w:r>
          <w:rPr>
            <w:rStyle w:val="Hiperhivatkozs"/>
            <w:noProof/>
            <w:lang w:bidi="ar-SA"/>
          </w:rPr>
          <w:t>4.7.6. Untidy extrinsic structure</w:t>
        </w:r>
        <w:r>
          <w:rPr>
            <w:noProof/>
            <w:webHidden/>
          </w:rPr>
          <w:tab/>
        </w:r>
        <w:r>
          <w:rPr>
            <w:noProof/>
            <w:webHidden/>
          </w:rPr>
          <w:fldChar w:fldCharType="begin"/>
        </w:r>
        <w:r>
          <w:rPr>
            <w:noProof/>
            <w:webHidden/>
          </w:rPr>
          <w:instrText xml:space="preserve"> PAGEREF _Toc243922635 \h </w:instrText>
        </w:r>
        <w:r>
          <w:rPr>
            <w:noProof/>
            <w:webHidden/>
          </w:rPr>
        </w:r>
        <w:r>
          <w:rPr>
            <w:noProof/>
            <w:webHidden/>
          </w:rPr>
          <w:fldChar w:fldCharType="separate"/>
        </w:r>
        <w:r>
          <w:rPr>
            <w:noProof/>
            <w:webHidden/>
          </w:rPr>
          <w:t>64</w:t>
        </w:r>
        <w:r>
          <w:rPr>
            <w:noProof/>
            <w:webHidden/>
          </w:rPr>
          <w:fldChar w:fldCharType="end"/>
        </w:r>
      </w:hyperlink>
    </w:p>
    <w:p w14:paraId="12D951F0" w14:textId="126FF0D3">
      <w:pPr>
        <w:pStyle w:val="TJ1"/>
        <w:rPr>
          <w:rFonts w:asciiTheme="minorHAnsi" w:hAnsiTheme="minorHAnsi" w:cstheme="minorBidi"/>
          <w:b w:val="0"/>
          <w:noProof/>
          <w:sz w:val="24"/>
          <w:szCs w:val="21"/>
          <w:lang w:eastAsia="en-GB" w:bidi="sa-IN"/>
        </w:rPr>
      </w:pPr>
      <w:hyperlink w:anchor="_Toc243922636" w:history="1">
        <w:r>
          <w:rPr>
            <w:rStyle w:val="Hiperhivatkozs"/>
            <w:noProof/>
            <w:lang w:bidi="ar-SA"/>
          </w:rPr>
          <w:t>5. The received text</w:t>
        </w:r>
        <w:r>
          <w:rPr>
            <w:noProof/>
            <w:webHidden/>
          </w:rPr>
          <w:tab/>
        </w:r>
        <w:r>
          <w:rPr>
            <w:noProof/>
            <w:webHidden/>
          </w:rPr>
          <w:fldChar w:fldCharType="begin"/>
        </w:r>
        <w:r>
          <w:rPr>
            <w:noProof/>
            <w:webHidden/>
          </w:rPr>
          <w:instrText xml:space="preserve"> PAGEREF _Toc243922636 \h </w:instrText>
        </w:r>
        <w:r>
          <w:rPr>
            <w:noProof/>
            <w:webHidden/>
          </w:rPr>
        </w:r>
        <w:r>
          <w:rPr>
            <w:noProof/>
            <w:webHidden/>
          </w:rPr>
          <w:fldChar w:fldCharType="separate"/>
        </w:r>
        <w:r>
          <w:rPr>
            <w:noProof/>
            <w:webHidden/>
          </w:rPr>
          <w:t>70</w:t>
        </w:r>
        <w:r>
          <w:rPr>
            <w:noProof/>
            <w:webHidden/>
          </w:rPr>
          <w:fldChar w:fldCharType="end"/>
        </w:r>
      </w:hyperlink>
    </w:p>
    <w:p w14:paraId="36293171" w14:textId="3C066230">
      <w:pPr>
        <w:pStyle w:val="TJ2"/>
        <w:rPr>
          <w:rFonts w:asciiTheme="minorHAnsi" w:hAnsiTheme="minorHAnsi" w:cstheme="minorBidi"/>
          <w:noProof/>
          <w:sz w:val="24"/>
          <w:szCs w:val="21"/>
          <w:lang w:eastAsia="en-GB" w:bidi="sa-IN"/>
        </w:rPr>
      </w:pPr>
      <w:hyperlink w:anchor="_Toc243922637" w:history="1">
        <w:r>
          <w:rPr>
            <w:rStyle w:val="Hiperhivatkozs"/>
            <w:noProof/>
            <w:lang w:bidi="ar-SA"/>
          </w:rPr>
          <w:t>5.1. Phonographic graphemes</w:t>
        </w:r>
        <w:r>
          <w:rPr>
            <w:noProof/>
            <w:webHidden/>
          </w:rPr>
          <w:tab/>
        </w:r>
        <w:r>
          <w:rPr>
            <w:noProof/>
            <w:webHidden/>
          </w:rPr>
          <w:fldChar w:fldCharType="begin"/>
        </w:r>
        <w:r>
          <w:rPr>
            <w:noProof/>
            <w:webHidden/>
          </w:rPr>
          <w:instrText xml:space="preserve"> PAGEREF _Toc243922637 \h </w:instrText>
        </w:r>
        <w:r>
          <w:rPr>
            <w:noProof/>
            <w:webHidden/>
          </w:rPr>
        </w:r>
        <w:r>
          <w:rPr>
            <w:noProof/>
            <w:webHidden/>
          </w:rPr>
          <w:fldChar w:fldCharType="separate"/>
        </w:r>
        <w:r>
          <w:rPr>
            <w:noProof/>
            <w:webHidden/>
          </w:rPr>
          <w:t>70</w:t>
        </w:r>
        <w:r>
          <w:rPr>
            <w:noProof/>
            <w:webHidden/>
          </w:rPr>
          <w:fldChar w:fldCharType="end"/>
        </w:r>
      </w:hyperlink>
    </w:p>
    <w:p w14:paraId="655A79F1" w14:textId="5EEE7704">
      <w:pPr>
        <w:pStyle w:val="TJ3"/>
        <w:rPr>
          <w:rFonts w:asciiTheme="minorHAnsi" w:hAnsiTheme="minorHAnsi" w:cstheme="minorBidi"/>
          <w:noProof/>
          <w:sz w:val="24"/>
          <w:szCs w:val="21"/>
          <w:lang w:eastAsia="en-GB" w:bidi="sa-IN"/>
        </w:rPr>
      </w:pPr>
      <w:hyperlink w:anchor="_Toc243922638" w:history="1">
        <w:r>
          <w:rPr>
            <w:rStyle w:val="Hiperhivatkozs"/>
            <w:noProof/>
            <w:lang w:bidi="ar-SA"/>
          </w:rPr>
          <w:t xml:space="preserve">5.1.1. Tagging target graphemes as one </w:t>
        </w:r>
        <w:r>
          <w:rPr>
            <w:rStyle w:val="Hiperhivatkozs"/>
            <w:i/>
            <w:iCs/>
            <w:noProof/>
            <w:lang w:bidi="ar-SA"/>
          </w:rPr>
          <w:t>akṣara</w:t>
        </w:r>
        <w:r>
          <w:rPr>
            <w:noProof/>
            <w:webHidden/>
          </w:rPr>
          <w:tab/>
        </w:r>
        <w:r>
          <w:rPr>
            <w:noProof/>
            <w:webHidden/>
          </w:rPr>
          <w:fldChar w:fldCharType="begin"/>
        </w:r>
        <w:r>
          <w:rPr>
            <w:noProof/>
            <w:webHidden/>
          </w:rPr>
          <w:instrText xml:space="preserve"> PAGEREF _Toc243922638 \h </w:instrText>
        </w:r>
        <w:r>
          <w:rPr>
            <w:noProof/>
            <w:webHidden/>
          </w:rPr>
        </w:r>
        <w:r>
          <w:rPr>
            <w:noProof/>
            <w:webHidden/>
          </w:rPr>
          <w:fldChar w:fldCharType="separate"/>
        </w:r>
        <w:r>
          <w:rPr>
            <w:noProof/>
            <w:webHidden/>
          </w:rPr>
          <w:t>70</w:t>
        </w:r>
        <w:r>
          <w:rPr>
            <w:noProof/>
            <w:webHidden/>
          </w:rPr>
          <w:fldChar w:fldCharType="end"/>
        </w:r>
      </w:hyperlink>
    </w:p>
    <w:p w14:paraId="5B04EDBD" w14:textId="5261D408">
      <w:pPr>
        <w:pStyle w:val="TJ3"/>
        <w:rPr>
          <w:rFonts w:asciiTheme="minorHAnsi" w:hAnsiTheme="minorHAnsi" w:cstheme="minorBidi"/>
          <w:noProof/>
          <w:sz w:val="24"/>
          <w:szCs w:val="21"/>
          <w:lang w:eastAsia="en-GB" w:bidi="sa-IN"/>
        </w:rPr>
      </w:pPr>
      <w:hyperlink w:anchor="_Toc243922639" w:history="1">
        <w:r>
          <w:rPr>
            <w:rStyle w:val="Hiperhivatkozs"/>
            <w:noProof/>
            <w:lang w:bidi="ar-SA"/>
          </w:rPr>
          <w:t>5.1.2. Tagging parts of phonographic glyphs</w:t>
        </w:r>
        <w:r>
          <w:rPr>
            <w:noProof/>
            <w:webHidden/>
          </w:rPr>
          <w:tab/>
        </w:r>
        <w:r>
          <w:rPr>
            <w:noProof/>
            <w:webHidden/>
          </w:rPr>
          <w:fldChar w:fldCharType="begin"/>
        </w:r>
        <w:r>
          <w:rPr>
            <w:noProof/>
            <w:webHidden/>
          </w:rPr>
          <w:instrText xml:space="preserve"> PAGEREF _Toc243922639 \h </w:instrText>
        </w:r>
        <w:r>
          <w:rPr>
            <w:noProof/>
            <w:webHidden/>
          </w:rPr>
        </w:r>
        <w:r>
          <w:rPr>
            <w:noProof/>
            <w:webHidden/>
          </w:rPr>
          <w:fldChar w:fldCharType="separate"/>
        </w:r>
        <w:r>
          <w:rPr>
            <w:noProof/>
            <w:webHidden/>
          </w:rPr>
          <w:t>70</w:t>
        </w:r>
        <w:r>
          <w:rPr>
            <w:noProof/>
            <w:webHidden/>
          </w:rPr>
          <w:fldChar w:fldCharType="end"/>
        </w:r>
      </w:hyperlink>
    </w:p>
    <w:p w14:paraId="672147AC" w14:textId="1B92A7B7">
      <w:pPr>
        <w:pStyle w:val="TJ3"/>
        <w:rPr>
          <w:rFonts w:asciiTheme="minorHAnsi" w:hAnsiTheme="minorHAnsi" w:cstheme="minorBidi"/>
          <w:noProof/>
          <w:sz w:val="24"/>
          <w:szCs w:val="21"/>
          <w:lang w:eastAsia="en-GB" w:bidi="sa-IN"/>
        </w:rPr>
      </w:pPr>
      <w:hyperlink w:anchor="_Toc243922640" w:history="1">
        <w:r>
          <w:rPr>
            <w:rStyle w:val="Hiperhivatkozs"/>
            <w:noProof/>
            <w:lang w:bidi="ar-SA"/>
          </w:rPr>
          <w:t>5.1.3. Unusual spatial arrangement in conjuncts</w:t>
        </w:r>
        <w:r>
          <w:rPr>
            <w:noProof/>
            <w:webHidden/>
          </w:rPr>
          <w:tab/>
        </w:r>
        <w:r>
          <w:rPr>
            <w:noProof/>
            <w:webHidden/>
          </w:rPr>
          <w:fldChar w:fldCharType="begin"/>
        </w:r>
        <w:r>
          <w:rPr>
            <w:noProof/>
            <w:webHidden/>
          </w:rPr>
          <w:instrText xml:space="preserve"> PAGEREF _Toc243922640 \h </w:instrText>
        </w:r>
        <w:r>
          <w:rPr>
            <w:noProof/>
            <w:webHidden/>
          </w:rPr>
        </w:r>
        <w:r>
          <w:rPr>
            <w:noProof/>
            <w:webHidden/>
          </w:rPr>
          <w:fldChar w:fldCharType="separate"/>
        </w:r>
        <w:r>
          <w:rPr>
            <w:noProof/>
            <w:webHidden/>
          </w:rPr>
          <w:t>71</w:t>
        </w:r>
        <w:r>
          <w:rPr>
            <w:noProof/>
            <w:webHidden/>
          </w:rPr>
          <w:fldChar w:fldCharType="end"/>
        </w:r>
      </w:hyperlink>
    </w:p>
    <w:p w14:paraId="02C76D6D" w14:textId="716D2F12">
      <w:pPr>
        <w:pStyle w:val="TJ3"/>
        <w:rPr>
          <w:rFonts w:asciiTheme="minorHAnsi" w:hAnsiTheme="minorHAnsi" w:cstheme="minorBidi"/>
          <w:noProof/>
          <w:sz w:val="24"/>
          <w:szCs w:val="21"/>
          <w:lang w:eastAsia="en-GB" w:bidi="sa-IN"/>
        </w:rPr>
      </w:pPr>
      <w:hyperlink w:anchor="_Toc243922641" w:history="1">
        <w:r>
          <w:rPr>
            <w:rStyle w:val="Hiperhivatkozs"/>
            <w:noProof/>
            <w:lang w:bidi="ar-SA"/>
          </w:rPr>
          <w:t>5.1.4. Complex glyphs deliberately split over an intervening feature</w:t>
        </w:r>
        <w:r>
          <w:rPr>
            <w:noProof/>
            <w:webHidden/>
          </w:rPr>
          <w:tab/>
        </w:r>
        <w:r>
          <w:rPr>
            <w:noProof/>
            <w:webHidden/>
          </w:rPr>
          <w:fldChar w:fldCharType="begin"/>
        </w:r>
        <w:r>
          <w:rPr>
            <w:noProof/>
            <w:webHidden/>
          </w:rPr>
          <w:instrText xml:space="preserve"> PAGEREF _Toc243922641 \h </w:instrText>
        </w:r>
        <w:r>
          <w:rPr>
            <w:noProof/>
            <w:webHidden/>
          </w:rPr>
        </w:r>
        <w:r>
          <w:rPr>
            <w:noProof/>
            <w:webHidden/>
          </w:rPr>
          <w:fldChar w:fldCharType="separate"/>
        </w:r>
        <w:r>
          <w:rPr>
            <w:noProof/>
            <w:webHidden/>
          </w:rPr>
          <w:t>72</w:t>
        </w:r>
        <w:r>
          <w:rPr>
            <w:noProof/>
            <w:webHidden/>
          </w:rPr>
          <w:fldChar w:fldCharType="end"/>
        </w:r>
      </w:hyperlink>
    </w:p>
    <w:p w14:paraId="37BD9D34" w14:textId="7DA4F390">
      <w:pPr>
        <w:pStyle w:val="TJ3"/>
        <w:rPr>
          <w:rFonts w:asciiTheme="minorHAnsi" w:hAnsiTheme="minorHAnsi" w:cstheme="minorBidi"/>
          <w:noProof/>
          <w:sz w:val="24"/>
          <w:szCs w:val="21"/>
          <w:lang w:eastAsia="en-GB" w:bidi="sa-IN"/>
        </w:rPr>
      </w:pPr>
      <w:hyperlink w:anchor="_Toc243922642" w:history="1">
        <w:r>
          <w:rPr>
            <w:rStyle w:val="Hiperhivatkozs"/>
            <w:noProof/>
            <w:lang w:bidi="ar-SA"/>
          </w:rPr>
          <w:t>5.1.5. Phonographic glyphs in a different function</w:t>
        </w:r>
        <w:r>
          <w:rPr>
            <w:noProof/>
            <w:webHidden/>
          </w:rPr>
          <w:tab/>
        </w:r>
        <w:r>
          <w:rPr>
            <w:noProof/>
            <w:webHidden/>
          </w:rPr>
          <w:fldChar w:fldCharType="begin"/>
        </w:r>
        <w:r>
          <w:rPr>
            <w:noProof/>
            <w:webHidden/>
          </w:rPr>
          <w:instrText xml:space="preserve"> PAGEREF _Toc243922642 \h </w:instrText>
        </w:r>
        <w:r>
          <w:rPr>
            <w:noProof/>
            <w:webHidden/>
          </w:rPr>
        </w:r>
        <w:r>
          <w:rPr>
            <w:noProof/>
            <w:webHidden/>
          </w:rPr>
          <w:fldChar w:fldCharType="separate"/>
        </w:r>
        <w:r>
          <w:rPr>
            <w:noProof/>
            <w:webHidden/>
          </w:rPr>
          <w:t>74</w:t>
        </w:r>
        <w:r>
          <w:rPr>
            <w:noProof/>
            <w:webHidden/>
          </w:rPr>
          <w:fldChar w:fldCharType="end"/>
        </w:r>
      </w:hyperlink>
    </w:p>
    <w:p w14:paraId="0044ACFD" w14:textId="53334D0B">
      <w:pPr>
        <w:pStyle w:val="TJ2"/>
        <w:rPr>
          <w:rFonts w:asciiTheme="minorHAnsi" w:hAnsiTheme="minorHAnsi" w:cstheme="minorBidi"/>
          <w:noProof/>
          <w:sz w:val="24"/>
          <w:szCs w:val="21"/>
          <w:lang w:eastAsia="en-GB" w:bidi="sa-IN"/>
        </w:rPr>
      </w:pPr>
      <w:hyperlink w:anchor="_Toc243922643" w:history="1">
        <w:r>
          <w:rPr>
            <w:rStyle w:val="Hiperhivatkozs"/>
            <w:noProof/>
            <w:lang w:bidi="ar-SA"/>
          </w:rPr>
          <w:t>5.2. Numeral signs</w:t>
        </w:r>
        <w:r>
          <w:rPr>
            <w:noProof/>
            <w:webHidden/>
          </w:rPr>
          <w:tab/>
        </w:r>
        <w:r>
          <w:rPr>
            <w:noProof/>
            <w:webHidden/>
          </w:rPr>
          <w:fldChar w:fldCharType="begin"/>
        </w:r>
        <w:r>
          <w:rPr>
            <w:noProof/>
            <w:webHidden/>
          </w:rPr>
          <w:instrText xml:space="preserve"> PAGEREF _Toc243922643 \h </w:instrText>
        </w:r>
        <w:r>
          <w:rPr>
            <w:noProof/>
            <w:webHidden/>
          </w:rPr>
        </w:r>
        <w:r>
          <w:rPr>
            <w:noProof/>
            <w:webHidden/>
          </w:rPr>
          <w:fldChar w:fldCharType="separate"/>
        </w:r>
        <w:r>
          <w:rPr>
            <w:noProof/>
            <w:webHidden/>
          </w:rPr>
          <w:t>74</w:t>
        </w:r>
        <w:r>
          <w:rPr>
            <w:noProof/>
            <w:webHidden/>
          </w:rPr>
          <w:fldChar w:fldCharType="end"/>
        </w:r>
      </w:hyperlink>
    </w:p>
    <w:p w14:paraId="65AD08E6" w14:textId="3BD32245">
      <w:pPr>
        <w:pStyle w:val="TJ3"/>
        <w:rPr>
          <w:rFonts w:asciiTheme="minorHAnsi" w:hAnsiTheme="minorHAnsi" w:cstheme="minorBidi"/>
          <w:noProof/>
          <w:sz w:val="24"/>
          <w:szCs w:val="21"/>
          <w:lang w:eastAsia="en-GB" w:bidi="sa-IN"/>
        </w:rPr>
      </w:pPr>
      <w:hyperlink w:anchor="_Toc243922644" w:history="1">
        <w:r>
          <w:rPr>
            <w:rStyle w:val="Hiperhivatkozs"/>
            <w:noProof/>
            <w:lang w:bidi="ar-SA"/>
          </w:rPr>
          <w:t>5.2.1. Glyph encoding for numerals</w:t>
        </w:r>
        <w:r>
          <w:rPr>
            <w:noProof/>
            <w:webHidden/>
          </w:rPr>
          <w:tab/>
        </w:r>
        <w:r>
          <w:rPr>
            <w:noProof/>
            <w:webHidden/>
          </w:rPr>
          <w:fldChar w:fldCharType="begin"/>
        </w:r>
        <w:r>
          <w:rPr>
            <w:noProof/>
            <w:webHidden/>
          </w:rPr>
          <w:instrText xml:space="preserve"> PAGEREF _Toc243922644 \h </w:instrText>
        </w:r>
        <w:r>
          <w:rPr>
            <w:noProof/>
            <w:webHidden/>
          </w:rPr>
        </w:r>
        <w:r>
          <w:rPr>
            <w:noProof/>
            <w:webHidden/>
          </w:rPr>
          <w:fldChar w:fldCharType="separate"/>
        </w:r>
        <w:r>
          <w:rPr>
            <w:noProof/>
            <w:webHidden/>
          </w:rPr>
          <w:t>74</w:t>
        </w:r>
        <w:r>
          <w:rPr>
            <w:noProof/>
            <w:webHidden/>
          </w:rPr>
          <w:fldChar w:fldCharType="end"/>
        </w:r>
      </w:hyperlink>
    </w:p>
    <w:p w14:paraId="3A3B5917" w14:textId="18CA0CE8">
      <w:pPr>
        <w:pStyle w:val="TJ3"/>
        <w:rPr>
          <w:rFonts w:asciiTheme="minorHAnsi" w:hAnsiTheme="minorHAnsi" w:cstheme="minorBidi"/>
          <w:noProof/>
          <w:sz w:val="24"/>
          <w:szCs w:val="21"/>
          <w:lang w:eastAsia="en-GB" w:bidi="sa-IN"/>
        </w:rPr>
      </w:pPr>
      <w:hyperlink w:anchor="_Toc243922645" w:history="1">
        <w:r>
          <w:rPr>
            <w:rStyle w:val="Hiperhivatkozs"/>
            <w:noProof/>
            <w:lang w:bidi="ar-SA"/>
          </w:rPr>
          <w:t>5.2.2. Numeral signs and their context</w:t>
        </w:r>
        <w:r>
          <w:rPr>
            <w:noProof/>
            <w:webHidden/>
          </w:rPr>
          <w:tab/>
        </w:r>
        <w:r>
          <w:rPr>
            <w:noProof/>
            <w:webHidden/>
          </w:rPr>
          <w:fldChar w:fldCharType="begin"/>
        </w:r>
        <w:r>
          <w:rPr>
            <w:noProof/>
            <w:webHidden/>
          </w:rPr>
          <w:instrText xml:space="preserve"> PAGEREF _Toc243922645 \h </w:instrText>
        </w:r>
        <w:r>
          <w:rPr>
            <w:noProof/>
            <w:webHidden/>
          </w:rPr>
        </w:r>
        <w:r>
          <w:rPr>
            <w:noProof/>
            <w:webHidden/>
          </w:rPr>
          <w:fldChar w:fldCharType="separate"/>
        </w:r>
        <w:r>
          <w:rPr>
            <w:noProof/>
            <w:webHidden/>
          </w:rPr>
          <w:t>75</w:t>
        </w:r>
        <w:r>
          <w:rPr>
            <w:noProof/>
            <w:webHidden/>
          </w:rPr>
          <w:fldChar w:fldCharType="end"/>
        </w:r>
      </w:hyperlink>
    </w:p>
    <w:p w14:paraId="11D5A10C" w14:textId="1ED07149">
      <w:pPr>
        <w:pStyle w:val="TJ3"/>
        <w:rPr>
          <w:rFonts w:asciiTheme="minorHAnsi" w:hAnsiTheme="minorHAnsi" w:cstheme="minorBidi"/>
          <w:noProof/>
          <w:sz w:val="24"/>
          <w:szCs w:val="21"/>
          <w:lang w:eastAsia="en-GB" w:bidi="sa-IN"/>
        </w:rPr>
      </w:pPr>
      <w:hyperlink w:anchor="_Toc243922646" w:history="1">
        <w:r>
          <w:rPr>
            <w:rStyle w:val="Hiperhivatkozs"/>
            <w:noProof/>
            <w:lang w:bidi="ar-SA"/>
          </w:rPr>
          <w:t>5.2.3. Numeral glyphs in a non-numeral function</w:t>
        </w:r>
        <w:r>
          <w:rPr>
            <w:noProof/>
            <w:webHidden/>
          </w:rPr>
          <w:tab/>
        </w:r>
        <w:r>
          <w:rPr>
            <w:noProof/>
            <w:webHidden/>
          </w:rPr>
          <w:fldChar w:fldCharType="begin"/>
        </w:r>
        <w:r>
          <w:rPr>
            <w:noProof/>
            <w:webHidden/>
          </w:rPr>
          <w:instrText xml:space="preserve"> PAGEREF _Toc243922646 \h </w:instrText>
        </w:r>
        <w:r>
          <w:rPr>
            <w:noProof/>
            <w:webHidden/>
          </w:rPr>
        </w:r>
        <w:r>
          <w:rPr>
            <w:noProof/>
            <w:webHidden/>
          </w:rPr>
          <w:fldChar w:fldCharType="separate"/>
        </w:r>
        <w:r>
          <w:rPr>
            <w:noProof/>
            <w:webHidden/>
          </w:rPr>
          <w:t>75</w:t>
        </w:r>
        <w:r>
          <w:rPr>
            <w:noProof/>
            <w:webHidden/>
          </w:rPr>
          <w:fldChar w:fldCharType="end"/>
        </w:r>
      </w:hyperlink>
    </w:p>
    <w:p w14:paraId="4B900D18" w14:textId="5BF696F1">
      <w:pPr>
        <w:pStyle w:val="TJ2"/>
        <w:rPr>
          <w:rFonts w:asciiTheme="minorHAnsi" w:hAnsiTheme="minorHAnsi" w:cstheme="minorBidi"/>
          <w:noProof/>
          <w:sz w:val="24"/>
          <w:szCs w:val="21"/>
          <w:lang w:eastAsia="en-GB" w:bidi="sa-IN"/>
        </w:rPr>
      </w:pPr>
      <w:hyperlink w:anchor="_Toc243922647" w:history="1">
        <w:r>
          <w:rPr>
            <w:rStyle w:val="Hiperhivatkozs"/>
            <w:noProof/>
            <w:lang w:bidi="ar-SA"/>
          </w:rPr>
          <w:t>5.3. Peripheral graphemes</w:t>
        </w:r>
        <w:r>
          <w:rPr>
            <w:noProof/>
            <w:webHidden/>
          </w:rPr>
          <w:tab/>
        </w:r>
        <w:r>
          <w:rPr>
            <w:noProof/>
            <w:webHidden/>
          </w:rPr>
          <w:fldChar w:fldCharType="begin"/>
        </w:r>
        <w:r>
          <w:rPr>
            <w:noProof/>
            <w:webHidden/>
          </w:rPr>
          <w:instrText xml:space="preserve"> PAGEREF _Toc243922647 \h </w:instrText>
        </w:r>
        <w:r>
          <w:rPr>
            <w:noProof/>
            <w:webHidden/>
          </w:rPr>
        </w:r>
        <w:r>
          <w:rPr>
            <w:noProof/>
            <w:webHidden/>
          </w:rPr>
          <w:fldChar w:fldCharType="separate"/>
        </w:r>
        <w:r>
          <w:rPr>
            <w:noProof/>
            <w:webHidden/>
          </w:rPr>
          <w:t>76</w:t>
        </w:r>
        <w:r>
          <w:rPr>
            <w:noProof/>
            <w:webHidden/>
          </w:rPr>
          <w:fldChar w:fldCharType="end"/>
        </w:r>
      </w:hyperlink>
    </w:p>
    <w:p w14:paraId="70533359" w14:textId="6D7BBCE4">
      <w:pPr>
        <w:pStyle w:val="TJ3"/>
        <w:rPr>
          <w:rFonts w:asciiTheme="minorHAnsi" w:hAnsiTheme="minorHAnsi" w:cstheme="minorBidi"/>
          <w:noProof/>
          <w:sz w:val="24"/>
          <w:szCs w:val="21"/>
          <w:lang w:eastAsia="en-GB" w:bidi="sa-IN"/>
        </w:rPr>
      </w:pPr>
      <w:hyperlink w:anchor="_Toc243922648" w:history="1">
        <w:r>
          <w:rPr>
            <w:rStyle w:val="Hiperhivatkozs"/>
            <w:noProof/>
            <w:lang w:bidi="ar-SA"/>
          </w:rPr>
          <w:t>5.3.1. Representing peripheral graphemes in a digital edition</w:t>
        </w:r>
        <w:r>
          <w:rPr>
            <w:noProof/>
            <w:webHidden/>
          </w:rPr>
          <w:tab/>
        </w:r>
        <w:r>
          <w:rPr>
            <w:noProof/>
            <w:webHidden/>
          </w:rPr>
          <w:fldChar w:fldCharType="begin"/>
        </w:r>
        <w:r>
          <w:rPr>
            <w:noProof/>
            <w:webHidden/>
          </w:rPr>
          <w:instrText xml:space="preserve"> PAGEREF _Toc243922648 \h </w:instrText>
        </w:r>
        <w:r>
          <w:rPr>
            <w:noProof/>
            <w:webHidden/>
          </w:rPr>
        </w:r>
        <w:r>
          <w:rPr>
            <w:noProof/>
            <w:webHidden/>
          </w:rPr>
          <w:fldChar w:fldCharType="separate"/>
        </w:r>
        <w:r>
          <w:rPr>
            <w:noProof/>
            <w:webHidden/>
          </w:rPr>
          <w:t>76</w:t>
        </w:r>
        <w:r>
          <w:rPr>
            <w:noProof/>
            <w:webHidden/>
          </w:rPr>
          <w:fldChar w:fldCharType="end"/>
        </w:r>
      </w:hyperlink>
    </w:p>
    <w:p w14:paraId="42E5D12C" w14:textId="0F3A8305">
      <w:pPr>
        <w:pStyle w:val="TJ3"/>
        <w:rPr>
          <w:rFonts w:asciiTheme="minorHAnsi" w:hAnsiTheme="minorHAnsi" w:cstheme="minorBidi"/>
          <w:noProof/>
          <w:sz w:val="24"/>
          <w:szCs w:val="21"/>
          <w:lang w:eastAsia="en-GB" w:bidi="sa-IN"/>
        </w:rPr>
      </w:pPr>
      <w:hyperlink w:anchor="_Toc243922649" w:history="1">
        <w:r>
          <w:rPr>
            <w:rStyle w:val="Hiperhivatkozs"/>
            <w:noProof/>
            <w:lang w:bidi="ar-SA"/>
          </w:rPr>
          <w:t>5.3.2. Classifying symbols by function</w:t>
        </w:r>
        <w:r>
          <w:rPr>
            <w:noProof/>
            <w:webHidden/>
          </w:rPr>
          <w:tab/>
        </w:r>
        <w:r>
          <w:rPr>
            <w:noProof/>
            <w:webHidden/>
          </w:rPr>
          <w:fldChar w:fldCharType="begin"/>
        </w:r>
        <w:r>
          <w:rPr>
            <w:noProof/>
            <w:webHidden/>
          </w:rPr>
          <w:instrText xml:space="preserve"> PAGEREF _Toc243922649 \h </w:instrText>
        </w:r>
        <w:r>
          <w:rPr>
            <w:noProof/>
            <w:webHidden/>
          </w:rPr>
        </w:r>
        <w:r>
          <w:rPr>
            <w:noProof/>
            <w:webHidden/>
          </w:rPr>
          <w:fldChar w:fldCharType="separate"/>
        </w:r>
        <w:r>
          <w:rPr>
            <w:noProof/>
            <w:webHidden/>
          </w:rPr>
          <w:t>77</w:t>
        </w:r>
        <w:r>
          <w:rPr>
            <w:noProof/>
            <w:webHidden/>
          </w:rPr>
          <w:fldChar w:fldCharType="end"/>
        </w:r>
      </w:hyperlink>
    </w:p>
    <w:p w14:paraId="059657EF" w14:textId="527E1360">
      <w:pPr>
        <w:pStyle w:val="TJ3"/>
        <w:rPr>
          <w:rFonts w:asciiTheme="minorHAnsi" w:hAnsiTheme="minorHAnsi" w:cstheme="minorBidi"/>
          <w:noProof/>
          <w:sz w:val="24"/>
          <w:szCs w:val="21"/>
          <w:lang w:eastAsia="en-GB" w:bidi="sa-IN"/>
        </w:rPr>
      </w:pPr>
      <w:hyperlink w:anchor="_Toc243922650" w:history="1">
        <w:r>
          <w:rPr>
            <w:rStyle w:val="Hiperhivatkozs"/>
            <w:noProof/>
            <w:lang w:bidi="ar-SA"/>
          </w:rPr>
          <w:t>5.3.3. Transliterating peripheral graphemes</w:t>
        </w:r>
        <w:r>
          <w:rPr>
            <w:noProof/>
            <w:webHidden/>
          </w:rPr>
          <w:tab/>
        </w:r>
        <w:r>
          <w:rPr>
            <w:noProof/>
            <w:webHidden/>
          </w:rPr>
          <w:fldChar w:fldCharType="begin"/>
        </w:r>
        <w:r>
          <w:rPr>
            <w:noProof/>
            <w:webHidden/>
          </w:rPr>
          <w:instrText xml:space="preserve"> PAGEREF _Toc243922650 \h </w:instrText>
        </w:r>
        <w:r>
          <w:rPr>
            <w:noProof/>
            <w:webHidden/>
          </w:rPr>
        </w:r>
        <w:r>
          <w:rPr>
            <w:noProof/>
            <w:webHidden/>
          </w:rPr>
          <w:fldChar w:fldCharType="separate"/>
        </w:r>
        <w:r>
          <w:rPr>
            <w:noProof/>
            <w:webHidden/>
          </w:rPr>
          <w:t>78</w:t>
        </w:r>
        <w:r>
          <w:rPr>
            <w:noProof/>
            <w:webHidden/>
          </w:rPr>
          <w:fldChar w:fldCharType="end"/>
        </w:r>
      </w:hyperlink>
    </w:p>
    <w:p w14:paraId="73B82238" w14:textId="05241337">
      <w:pPr>
        <w:pStyle w:val="TJ3"/>
        <w:rPr>
          <w:rFonts w:asciiTheme="minorHAnsi" w:hAnsiTheme="minorHAnsi" w:cstheme="minorBidi"/>
          <w:noProof/>
          <w:sz w:val="24"/>
          <w:szCs w:val="21"/>
          <w:lang w:eastAsia="en-GB" w:bidi="sa-IN"/>
        </w:rPr>
      </w:pPr>
      <w:hyperlink w:anchor="_Toc243922651" w:history="1">
        <w:r>
          <w:rPr>
            <w:rStyle w:val="Hiperhivatkozs"/>
            <w:noProof/>
            <w:lang w:bidi="ar-SA"/>
          </w:rPr>
          <w:t>5.3.4. Glyph encoding for peripheral graphemes</w:t>
        </w:r>
        <w:r>
          <w:rPr>
            <w:noProof/>
            <w:webHidden/>
          </w:rPr>
          <w:tab/>
        </w:r>
        <w:r>
          <w:rPr>
            <w:noProof/>
            <w:webHidden/>
          </w:rPr>
          <w:fldChar w:fldCharType="begin"/>
        </w:r>
        <w:r>
          <w:rPr>
            <w:noProof/>
            <w:webHidden/>
          </w:rPr>
          <w:instrText xml:space="preserve"> PAGEREF _Toc243922651 \h </w:instrText>
        </w:r>
        <w:r>
          <w:rPr>
            <w:noProof/>
            <w:webHidden/>
          </w:rPr>
        </w:r>
        <w:r>
          <w:rPr>
            <w:noProof/>
            <w:webHidden/>
          </w:rPr>
          <w:fldChar w:fldCharType="separate"/>
        </w:r>
        <w:r>
          <w:rPr>
            <w:noProof/>
            <w:webHidden/>
          </w:rPr>
          <w:t>78</w:t>
        </w:r>
        <w:r>
          <w:rPr>
            <w:noProof/>
            <w:webHidden/>
          </w:rPr>
          <w:fldChar w:fldCharType="end"/>
        </w:r>
      </w:hyperlink>
    </w:p>
    <w:p w14:paraId="7A05B999" w14:textId="68049937">
      <w:pPr>
        <w:pStyle w:val="TJ3"/>
        <w:rPr>
          <w:rFonts w:asciiTheme="minorHAnsi" w:hAnsiTheme="minorHAnsi" w:cstheme="minorBidi"/>
          <w:noProof/>
          <w:sz w:val="24"/>
          <w:szCs w:val="21"/>
          <w:lang w:eastAsia="en-GB" w:bidi="sa-IN"/>
        </w:rPr>
      </w:pPr>
      <w:hyperlink w:anchor="_Toc243922652" w:history="1">
        <w:r>
          <w:rPr>
            <w:rStyle w:val="Hiperhivatkozs"/>
            <w:noProof/>
            <w:lang w:bidi="ar-SA"/>
          </w:rPr>
          <w:t>5.3.5. Multiple peripheral graphemes</w:t>
        </w:r>
        <w:r>
          <w:rPr>
            <w:noProof/>
            <w:webHidden/>
          </w:rPr>
          <w:tab/>
        </w:r>
        <w:r>
          <w:rPr>
            <w:noProof/>
            <w:webHidden/>
          </w:rPr>
          <w:fldChar w:fldCharType="begin"/>
        </w:r>
        <w:r>
          <w:rPr>
            <w:noProof/>
            <w:webHidden/>
          </w:rPr>
          <w:instrText xml:space="preserve"> PAGEREF _Toc243922652 \h </w:instrText>
        </w:r>
        <w:r>
          <w:rPr>
            <w:noProof/>
            <w:webHidden/>
          </w:rPr>
        </w:r>
        <w:r>
          <w:rPr>
            <w:noProof/>
            <w:webHidden/>
          </w:rPr>
          <w:fldChar w:fldCharType="separate"/>
        </w:r>
        <w:r>
          <w:rPr>
            <w:noProof/>
            <w:webHidden/>
          </w:rPr>
          <w:t>82</w:t>
        </w:r>
        <w:r>
          <w:rPr>
            <w:noProof/>
            <w:webHidden/>
          </w:rPr>
          <w:fldChar w:fldCharType="end"/>
        </w:r>
      </w:hyperlink>
    </w:p>
    <w:p w14:paraId="48AE1B24" w14:textId="4C495505">
      <w:pPr>
        <w:pStyle w:val="TJ3"/>
        <w:rPr>
          <w:rFonts w:asciiTheme="minorHAnsi" w:hAnsiTheme="minorHAnsi" w:cstheme="minorBidi"/>
          <w:noProof/>
          <w:sz w:val="24"/>
          <w:szCs w:val="21"/>
          <w:lang w:eastAsia="en-GB" w:bidi="sa-IN"/>
        </w:rPr>
      </w:pPr>
      <w:hyperlink w:anchor="_Toc243922653" w:history="1">
        <w:r>
          <w:rPr>
            <w:rStyle w:val="Hiperhivatkozs"/>
            <w:noProof/>
            <w:lang w:bidi="ar-SA"/>
          </w:rPr>
          <w:t>5.3.6. Peripheral graphemes and their context</w:t>
        </w:r>
        <w:r>
          <w:rPr>
            <w:noProof/>
            <w:webHidden/>
          </w:rPr>
          <w:tab/>
        </w:r>
        <w:r>
          <w:rPr>
            <w:noProof/>
            <w:webHidden/>
          </w:rPr>
          <w:fldChar w:fldCharType="begin"/>
        </w:r>
        <w:r>
          <w:rPr>
            <w:noProof/>
            <w:webHidden/>
          </w:rPr>
          <w:instrText xml:space="preserve"> PAGEREF _Toc243922653 \h </w:instrText>
        </w:r>
        <w:r>
          <w:rPr>
            <w:noProof/>
            <w:webHidden/>
          </w:rPr>
        </w:r>
        <w:r>
          <w:rPr>
            <w:noProof/>
            <w:webHidden/>
          </w:rPr>
          <w:fldChar w:fldCharType="separate"/>
        </w:r>
        <w:r>
          <w:rPr>
            <w:noProof/>
            <w:webHidden/>
          </w:rPr>
          <w:t>82</w:t>
        </w:r>
        <w:r>
          <w:rPr>
            <w:noProof/>
            <w:webHidden/>
          </w:rPr>
          <w:fldChar w:fldCharType="end"/>
        </w:r>
      </w:hyperlink>
    </w:p>
    <w:p w14:paraId="5A5417F5" w14:textId="67A5B643">
      <w:pPr>
        <w:pStyle w:val="TJ2"/>
        <w:rPr>
          <w:rFonts w:asciiTheme="minorHAnsi" w:hAnsiTheme="minorHAnsi" w:cstheme="minorBidi"/>
          <w:noProof/>
          <w:sz w:val="24"/>
          <w:szCs w:val="21"/>
          <w:lang w:eastAsia="en-GB" w:bidi="sa-IN"/>
        </w:rPr>
      </w:pPr>
      <w:hyperlink w:anchor="_Toc243922654" w:history="1">
        <w:r>
          <w:rPr>
            <w:rStyle w:val="Hiperhivatkozs"/>
            <w:noProof/>
            <w:lang w:bidi="ar-SA"/>
          </w:rPr>
          <w:t>5.4. Space left blank in the original</w:t>
        </w:r>
        <w:r>
          <w:rPr>
            <w:noProof/>
            <w:webHidden/>
          </w:rPr>
          <w:tab/>
        </w:r>
        <w:r>
          <w:rPr>
            <w:noProof/>
            <w:webHidden/>
          </w:rPr>
          <w:fldChar w:fldCharType="begin"/>
        </w:r>
        <w:r>
          <w:rPr>
            <w:noProof/>
            <w:webHidden/>
          </w:rPr>
          <w:instrText xml:space="preserve"> PAGEREF _Toc243922654 \h </w:instrText>
        </w:r>
        <w:r>
          <w:rPr>
            <w:noProof/>
            <w:webHidden/>
          </w:rPr>
        </w:r>
        <w:r>
          <w:rPr>
            <w:noProof/>
            <w:webHidden/>
          </w:rPr>
          <w:fldChar w:fldCharType="separate"/>
        </w:r>
        <w:r>
          <w:rPr>
            <w:noProof/>
            <w:webHidden/>
          </w:rPr>
          <w:t>83</w:t>
        </w:r>
        <w:r>
          <w:rPr>
            <w:noProof/>
            <w:webHidden/>
          </w:rPr>
          <w:fldChar w:fldCharType="end"/>
        </w:r>
      </w:hyperlink>
    </w:p>
    <w:p w14:paraId="6727F0B6" w14:textId="5E346829">
      <w:pPr>
        <w:pStyle w:val="TJ3"/>
        <w:rPr>
          <w:rFonts w:asciiTheme="minorHAnsi" w:hAnsiTheme="minorHAnsi" w:cstheme="minorBidi"/>
          <w:noProof/>
          <w:sz w:val="24"/>
          <w:szCs w:val="21"/>
          <w:lang w:eastAsia="en-GB" w:bidi="sa-IN"/>
        </w:rPr>
      </w:pPr>
      <w:hyperlink w:anchor="_Toc243922655" w:history="1">
        <w:r>
          <w:rPr>
            <w:rStyle w:val="Hiperhivatkozs"/>
            <w:noProof/>
            <w:lang w:bidi="ar-SA"/>
          </w:rPr>
          <w:t>5.4.1. Space for semantic segmentation</w:t>
        </w:r>
        <w:r>
          <w:rPr>
            <w:noProof/>
            <w:webHidden/>
          </w:rPr>
          <w:tab/>
        </w:r>
        <w:r>
          <w:rPr>
            <w:noProof/>
            <w:webHidden/>
          </w:rPr>
          <w:fldChar w:fldCharType="begin"/>
        </w:r>
        <w:r>
          <w:rPr>
            <w:noProof/>
            <w:webHidden/>
          </w:rPr>
          <w:instrText xml:space="preserve"> PAGEREF _Toc243922655 \h </w:instrText>
        </w:r>
        <w:r>
          <w:rPr>
            <w:noProof/>
            <w:webHidden/>
          </w:rPr>
        </w:r>
        <w:r>
          <w:rPr>
            <w:noProof/>
            <w:webHidden/>
          </w:rPr>
          <w:fldChar w:fldCharType="separate"/>
        </w:r>
        <w:r>
          <w:rPr>
            <w:noProof/>
            <w:webHidden/>
          </w:rPr>
          <w:t>83</w:t>
        </w:r>
        <w:r>
          <w:rPr>
            <w:noProof/>
            <w:webHidden/>
          </w:rPr>
          <w:fldChar w:fldCharType="end"/>
        </w:r>
      </w:hyperlink>
    </w:p>
    <w:p w14:paraId="024A66BD" w14:textId="0606A590">
      <w:pPr>
        <w:pStyle w:val="TJ3"/>
        <w:rPr>
          <w:rFonts w:asciiTheme="minorHAnsi" w:hAnsiTheme="minorHAnsi" w:cstheme="minorBidi"/>
          <w:noProof/>
          <w:sz w:val="24"/>
          <w:szCs w:val="21"/>
          <w:lang w:eastAsia="en-GB" w:bidi="sa-IN"/>
        </w:rPr>
      </w:pPr>
      <w:hyperlink w:anchor="_Toc243922656" w:history="1">
        <w:r>
          <w:rPr>
            <w:rStyle w:val="Hiperhivatkozs"/>
            <w:noProof/>
            <w:lang w:bidi="ar-SA"/>
          </w:rPr>
          <w:t>5.4.2. Other kinds of space</w:t>
        </w:r>
        <w:r>
          <w:rPr>
            <w:noProof/>
            <w:webHidden/>
          </w:rPr>
          <w:tab/>
        </w:r>
        <w:r>
          <w:rPr>
            <w:noProof/>
            <w:webHidden/>
          </w:rPr>
          <w:fldChar w:fldCharType="begin"/>
        </w:r>
        <w:r>
          <w:rPr>
            <w:noProof/>
            <w:webHidden/>
          </w:rPr>
          <w:instrText xml:space="preserve"> PAGEREF _Toc243922656 \h </w:instrText>
        </w:r>
        <w:r>
          <w:rPr>
            <w:noProof/>
            <w:webHidden/>
          </w:rPr>
        </w:r>
        <w:r>
          <w:rPr>
            <w:noProof/>
            <w:webHidden/>
          </w:rPr>
          <w:fldChar w:fldCharType="separate"/>
        </w:r>
        <w:r>
          <w:rPr>
            <w:noProof/>
            <w:webHidden/>
          </w:rPr>
          <w:t>85</w:t>
        </w:r>
        <w:r>
          <w:rPr>
            <w:noProof/>
            <w:webHidden/>
          </w:rPr>
          <w:fldChar w:fldCharType="end"/>
        </w:r>
      </w:hyperlink>
    </w:p>
    <w:p w14:paraId="7B54145B" w14:textId="4BAD097E">
      <w:pPr>
        <w:pStyle w:val="TJ3"/>
        <w:rPr>
          <w:rFonts w:asciiTheme="minorHAnsi" w:hAnsiTheme="minorHAnsi" w:cstheme="minorBidi"/>
          <w:noProof/>
          <w:sz w:val="24"/>
          <w:szCs w:val="21"/>
          <w:lang w:eastAsia="en-GB" w:bidi="sa-IN"/>
        </w:rPr>
      </w:pPr>
      <w:hyperlink w:anchor="_Toc243922657" w:history="1">
        <w:r>
          <w:rPr>
            <w:rStyle w:val="Hiperhivatkozs"/>
            <w:noProof/>
            <w:lang w:bidi="ar-SA"/>
          </w:rPr>
          <w:t>5.4.3. The size of spaces</w:t>
        </w:r>
        <w:r>
          <w:rPr>
            <w:noProof/>
            <w:webHidden/>
          </w:rPr>
          <w:tab/>
        </w:r>
        <w:r>
          <w:rPr>
            <w:noProof/>
            <w:webHidden/>
          </w:rPr>
          <w:fldChar w:fldCharType="begin"/>
        </w:r>
        <w:r>
          <w:rPr>
            <w:noProof/>
            <w:webHidden/>
          </w:rPr>
          <w:instrText xml:space="preserve"> PAGEREF _Toc243922657 \h </w:instrText>
        </w:r>
        <w:r>
          <w:rPr>
            <w:noProof/>
            <w:webHidden/>
          </w:rPr>
        </w:r>
        <w:r>
          <w:rPr>
            <w:noProof/>
            <w:webHidden/>
          </w:rPr>
          <w:fldChar w:fldCharType="separate"/>
        </w:r>
        <w:r>
          <w:rPr>
            <w:noProof/>
            <w:webHidden/>
          </w:rPr>
          <w:t>87</w:t>
        </w:r>
        <w:r>
          <w:rPr>
            <w:noProof/>
            <w:webHidden/>
          </w:rPr>
          <w:fldChar w:fldCharType="end"/>
        </w:r>
      </w:hyperlink>
    </w:p>
    <w:p w14:paraId="639DF400" w14:textId="0F0DA045">
      <w:pPr>
        <w:pStyle w:val="TJ3"/>
        <w:rPr>
          <w:rFonts w:asciiTheme="minorHAnsi" w:hAnsiTheme="minorHAnsi" w:cstheme="minorBidi"/>
          <w:noProof/>
          <w:sz w:val="24"/>
          <w:szCs w:val="21"/>
          <w:lang w:eastAsia="en-GB" w:bidi="sa-IN"/>
        </w:rPr>
      </w:pPr>
      <w:hyperlink w:anchor="_Toc243922658" w:history="1">
        <w:r>
          <w:rPr>
            <w:rStyle w:val="Hiperhivatkozs"/>
            <w:noProof/>
            <w:lang w:bidi="ar-SA"/>
          </w:rPr>
          <w:t>5.4.4. Spaces and their context</w:t>
        </w:r>
        <w:r>
          <w:rPr>
            <w:noProof/>
            <w:webHidden/>
          </w:rPr>
          <w:tab/>
        </w:r>
        <w:r>
          <w:rPr>
            <w:noProof/>
            <w:webHidden/>
          </w:rPr>
          <w:fldChar w:fldCharType="begin"/>
        </w:r>
        <w:r>
          <w:rPr>
            <w:noProof/>
            <w:webHidden/>
          </w:rPr>
          <w:instrText xml:space="preserve"> PAGEREF _Toc243922658 \h </w:instrText>
        </w:r>
        <w:r>
          <w:rPr>
            <w:noProof/>
            <w:webHidden/>
          </w:rPr>
        </w:r>
        <w:r>
          <w:rPr>
            <w:noProof/>
            <w:webHidden/>
          </w:rPr>
          <w:fldChar w:fldCharType="separate"/>
        </w:r>
        <w:r>
          <w:rPr>
            <w:noProof/>
            <w:webHidden/>
          </w:rPr>
          <w:t>87</w:t>
        </w:r>
        <w:r>
          <w:rPr>
            <w:noProof/>
            <w:webHidden/>
          </w:rPr>
          <w:fldChar w:fldCharType="end"/>
        </w:r>
      </w:hyperlink>
    </w:p>
    <w:p w14:paraId="3DA68808" w14:textId="1D001CFE">
      <w:pPr>
        <w:pStyle w:val="TJ2"/>
        <w:rPr>
          <w:rFonts w:asciiTheme="minorHAnsi" w:hAnsiTheme="minorHAnsi" w:cstheme="minorBidi"/>
          <w:noProof/>
          <w:sz w:val="24"/>
          <w:szCs w:val="21"/>
          <w:lang w:eastAsia="en-GB" w:bidi="sa-IN"/>
        </w:rPr>
      </w:pPr>
      <w:hyperlink w:anchor="_Toc243922659" w:history="1">
        <w:r>
          <w:rPr>
            <w:rStyle w:val="Hiperhivatkozs"/>
            <w:noProof/>
            <w:lang w:bidi="ar-SA"/>
          </w:rPr>
          <w:t>5.5. Premodern scribal intervention</w:t>
        </w:r>
        <w:r>
          <w:rPr>
            <w:noProof/>
            <w:webHidden/>
          </w:rPr>
          <w:tab/>
        </w:r>
        <w:r>
          <w:rPr>
            <w:noProof/>
            <w:webHidden/>
          </w:rPr>
          <w:fldChar w:fldCharType="begin"/>
        </w:r>
        <w:r>
          <w:rPr>
            <w:noProof/>
            <w:webHidden/>
          </w:rPr>
          <w:instrText xml:space="preserve"> PAGEREF _Toc243922659 \h </w:instrText>
        </w:r>
        <w:r>
          <w:rPr>
            <w:noProof/>
            <w:webHidden/>
          </w:rPr>
        </w:r>
        <w:r>
          <w:rPr>
            <w:noProof/>
            <w:webHidden/>
          </w:rPr>
          <w:fldChar w:fldCharType="separate"/>
        </w:r>
        <w:r>
          <w:rPr>
            <w:noProof/>
            <w:webHidden/>
          </w:rPr>
          <w:t>88</w:t>
        </w:r>
        <w:r>
          <w:rPr>
            <w:noProof/>
            <w:webHidden/>
          </w:rPr>
          <w:fldChar w:fldCharType="end"/>
        </w:r>
      </w:hyperlink>
    </w:p>
    <w:p w14:paraId="38BD6131" w14:textId="44EF37AB">
      <w:pPr>
        <w:pStyle w:val="TJ3"/>
        <w:rPr>
          <w:rFonts w:asciiTheme="minorHAnsi" w:hAnsiTheme="minorHAnsi" w:cstheme="minorBidi"/>
          <w:noProof/>
          <w:sz w:val="24"/>
          <w:szCs w:val="21"/>
          <w:lang w:eastAsia="en-GB" w:bidi="sa-IN"/>
        </w:rPr>
      </w:pPr>
      <w:hyperlink w:anchor="_Toc243922660" w:history="1">
        <w:r>
          <w:rPr>
            <w:rStyle w:val="Hiperhivatkozs"/>
            <w:noProof/>
            <w:lang w:bidi="ar-SA"/>
          </w:rPr>
          <w:t>5.5.1. Scribal deletion</w:t>
        </w:r>
        <w:r>
          <w:rPr>
            <w:noProof/>
            <w:webHidden/>
          </w:rPr>
          <w:tab/>
        </w:r>
        <w:r>
          <w:rPr>
            <w:noProof/>
            <w:webHidden/>
          </w:rPr>
          <w:fldChar w:fldCharType="begin"/>
        </w:r>
        <w:r>
          <w:rPr>
            <w:noProof/>
            <w:webHidden/>
          </w:rPr>
          <w:instrText xml:space="preserve"> PAGEREF _Toc243922660 \h </w:instrText>
        </w:r>
        <w:r>
          <w:rPr>
            <w:noProof/>
            <w:webHidden/>
          </w:rPr>
        </w:r>
        <w:r>
          <w:rPr>
            <w:noProof/>
            <w:webHidden/>
          </w:rPr>
          <w:fldChar w:fldCharType="separate"/>
        </w:r>
        <w:r>
          <w:rPr>
            <w:noProof/>
            <w:webHidden/>
          </w:rPr>
          <w:t>88</w:t>
        </w:r>
        <w:r>
          <w:rPr>
            <w:noProof/>
            <w:webHidden/>
          </w:rPr>
          <w:fldChar w:fldCharType="end"/>
        </w:r>
      </w:hyperlink>
    </w:p>
    <w:p w14:paraId="544656D0" w14:textId="74ED57C0">
      <w:pPr>
        <w:pStyle w:val="TJ3"/>
        <w:rPr>
          <w:rFonts w:asciiTheme="minorHAnsi" w:hAnsiTheme="minorHAnsi" w:cstheme="minorBidi"/>
          <w:noProof/>
          <w:sz w:val="24"/>
          <w:szCs w:val="21"/>
          <w:lang w:eastAsia="en-GB" w:bidi="sa-IN"/>
        </w:rPr>
      </w:pPr>
      <w:hyperlink w:anchor="_Toc243922661" w:history="1">
        <w:r>
          <w:rPr>
            <w:rStyle w:val="Hiperhivatkozs"/>
            <w:noProof/>
            <w:lang w:bidi="ar-SA"/>
          </w:rPr>
          <w:t>5.5.2. Scribal addition</w:t>
        </w:r>
        <w:r>
          <w:rPr>
            <w:noProof/>
            <w:webHidden/>
          </w:rPr>
          <w:tab/>
        </w:r>
        <w:r>
          <w:rPr>
            <w:noProof/>
            <w:webHidden/>
          </w:rPr>
          <w:fldChar w:fldCharType="begin"/>
        </w:r>
        <w:r>
          <w:rPr>
            <w:noProof/>
            <w:webHidden/>
          </w:rPr>
          <w:instrText xml:space="preserve"> PAGEREF _Toc243922661 \h </w:instrText>
        </w:r>
        <w:r>
          <w:rPr>
            <w:noProof/>
            <w:webHidden/>
          </w:rPr>
        </w:r>
        <w:r>
          <w:rPr>
            <w:noProof/>
            <w:webHidden/>
          </w:rPr>
          <w:fldChar w:fldCharType="separate"/>
        </w:r>
        <w:r>
          <w:rPr>
            <w:noProof/>
            <w:webHidden/>
          </w:rPr>
          <w:t>89</w:t>
        </w:r>
        <w:r>
          <w:rPr>
            <w:noProof/>
            <w:webHidden/>
          </w:rPr>
          <w:fldChar w:fldCharType="end"/>
        </w:r>
      </w:hyperlink>
    </w:p>
    <w:p w14:paraId="297D4461" w14:textId="194ACF31">
      <w:pPr>
        <w:pStyle w:val="TJ3"/>
        <w:rPr>
          <w:rFonts w:asciiTheme="minorHAnsi" w:hAnsiTheme="minorHAnsi" w:cstheme="minorBidi"/>
          <w:noProof/>
          <w:sz w:val="24"/>
          <w:szCs w:val="21"/>
          <w:lang w:eastAsia="en-GB" w:bidi="sa-IN"/>
        </w:rPr>
      </w:pPr>
      <w:hyperlink w:anchor="_Toc243922662" w:history="1">
        <w:r>
          <w:rPr>
            <w:rStyle w:val="Hiperhivatkozs"/>
            <w:noProof/>
            <w:lang w:bidi="ar-SA"/>
          </w:rPr>
          <w:t>5.5.3. Scribal correction</w:t>
        </w:r>
        <w:r>
          <w:rPr>
            <w:noProof/>
            <w:webHidden/>
          </w:rPr>
          <w:tab/>
        </w:r>
        <w:r>
          <w:rPr>
            <w:noProof/>
            <w:webHidden/>
          </w:rPr>
          <w:fldChar w:fldCharType="begin"/>
        </w:r>
        <w:r>
          <w:rPr>
            <w:noProof/>
            <w:webHidden/>
          </w:rPr>
          <w:instrText xml:space="preserve"> PAGEREF _Toc243922662 \h </w:instrText>
        </w:r>
        <w:r>
          <w:rPr>
            <w:noProof/>
            <w:webHidden/>
          </w:rPr>
        </w:r>
        <w:r>
          <w:rPr>
            <w:noProof/>
            <w:webHidden/>
          </w:rPr>
          <w:fldChar w:fldCharType="separate"/>
        </w:r>
        <w:r>
          <w:rPr>
            <w:noProof/>
            <w:webHidden/>
          </w:rPr>
          <w:t>91</w:t>
        </w:r>
        <w:r>
          <w:rPr>
            <w:noProof/>
            <w:webHidden/>
          </w:rPr>
          <w:fldChar w:fldCharType="end"/>
        </w:r>
      </w:hyperlink>
    </w:p>
    <w:p w14:paraId="45B4F669" w14:textId="74150A01">
      <w:pPr>
        <w:pStyle w:val="TJ3"/>
        <w:rPr>
          <w:rFonts w:asciiTheme="minorHAnsi" w:hAnsiTheme="minorHAnsi" w:cstheme="minorBidi"/>
          <w:noProof/>
          <w:sz w:val="24"/>
          <w:szCs w:val="21"/>
          <w:lang w:eastAsia="en-GB" w:bidi="sa-IN"/>
        </w:rPr>
      </w:pPr>
      <w:hyperlink w:anchor="_Toc243922663" w:history="1">
        <w:r>
          <w:rPr>
            <w:rStyle w:val="Hiperhivatkozs"/>
            <w:noProof/>
            <w:lang w:bidi="ar-SA"/>
          </w:rPr>
          <w:t>5.5.4. Good practice in encoding scribal intervention</w:t>
        </w:r>
        <w:r>
          <w:rPr>
            <w:noProof/>
            <w:webHidden/>
          </w:rPr>
          <w:tab/>
        </w:r>
        <w:r>
          <w:rPr>
            <w:noProof/>
            <w:webHidden/>
          </w:rPr>
          <w:fldChar w:fldCharType="begin"/>
        </w:r>
        <w:r>
          <w:rPr>
            <w:noProof/>
            <w:webHidden/>
          </w:rPr>
          <w:instrText xml:space="preserve"> PAGEREF _Toc243922663 \h </w:instrText>
        </w:r>
        <w:r>
          <w:rPr>
            <w:noProof/>
            <w:webHidden/>
          </w:rPr>
        </w:r>
        <w:r>
          <w:rPr>
            <w:noProof/>
            <w:webHidden/>
          </w:rPr>
          <w:fldChar w:fldCharType="separate"/>
        </w:r>
        <w:r>
          <w:rPr>
            <w:noProof/>
            <w:webHidden/>
          </w:rPr>
          <w:t>92</w:t>
        </w:r>
        <w:r>
          <w:rPr>
            <w:noProof/>
            <w:webHidden/>
          </w:rPr>
          <w:fldChar w:fldCharType="end"/>
        </w:r>
      </w:hyperlink>
    </w:p>
    <w:p w14:paraId="4A5DE453" w14:textId="0280365D">
      <w:pPr>
        <w:pStyle w:val="TJ1"/>
        <w:rPr>
          <w:rFonts w:asciiTheme="minorHAnsi" w:hAnsiTheme="minorHAnsi" w:cstheme="minorBidi"/>
          <w:b w:val="0"/>
          <w:noProof/>
          <w:sz w:val="24"/>
          <w:szCs w:val="21"/>
          <w:lang w:eastAsia="en-GB" w:bidi="sa-IN"/>
        </w:rPr>
      </w:pPr>
      <w:hyperlink w:anchor="_Toc243922664" w:history="1">
        <w:r>
          <w:rPr>
            <w:rStyle w:val="Hiperhivatkozs"/>
            <w:noProof/>
            <w:lang w:bidi="ar-SA"/>
          </w:rPr>
          <w:t>6. Legibility issues</w:t>
        </w:r>
        <w:r>
          <w:rPr>
            <w:noProof/>
            <w:webHidden/>
          </w:rPr>
          <w:tab/>
        </w:r>
        <w:r>
          <w:rPr>
            <w:noProof/>
            <w:webHidden/>
          </w:rPr>
          <w:fldChar w:fldCharType="begin"/>
        </w:r>
        <w:r>
          <w:rPr>
            <w:noProof/>
            <w:webHidden/>
          </w:rPr>
          <w:instrText xml:space="preserve"> PAGEREF _Toc243922664 \h </w:instrText>
        </w:r>
        <w:r>
          <w:rPr>
            <w:noProof/>
            <w:webHidden/>
          </w:rPr>
        </w:r>
        <w:r>
          <w:rPr>
            <w:noProof/>
            <w:webHidden/>
          </w:rPr>
          <w:fldChar w:fldCharType="separate"/>
        </w:r>
        <w:r>
          <w:rPr>
            <w:noProof/>
            <w:webHidden/>
          </w:rPr>
          <w:t>94</w:t>
        </w:r>
        <w:r>
          <w:rPr>
            <w:noProof/>
            <w:webHidden/>
          </w:rPr>
          <w:fldChar w:fldCharType="end"/>
        </w:r>
      </w:hyperlink>
    </w:p>
    <w:p w14:paraId="0F0D1740" w14:textId="51E0091B">
      <w:pPr>
        <w:pStyle w:val="TJ2"/>
        <w:rPr>
          <w:rFonts w:asciiTheme="minorHAnsi" w:hAnsiTheme="minorHAnsi" w:cstheme="minorBidi"/>
          <w:noProof/>
          <w:sz w:val="24"/>
          <w:szCs w:val="21"/>
          <w:lang w:eastAsia="en-GB" w:bidi="sa-IN"/>
        </w:rPr>
      </w:pPr>
      <w:hyperlink w:anchor="_Toc243922665" w:history="1">
        <w:r>
          <w:rPr>
            <w:rStyle w:val="Hiperhivatkozs"/>
            <w:noProof/>
            <w:lang w:bidi="ar-SA"/>
          </w:rPr>
          <w:t>6.1. Representing legibility issues in TEI/EpiDoc</w:t>
        </w:r>
        <w:r>
          <w:rPr>
            <w:noProof/>
            <w:webHidden/>
          </w:rPr>
          <w:tab/>
        </w:r>
        <w:r>
          <w:rPr>
            <w:noProof/>
            <w:webHidden/>
          </w:rPr>
          <w:fldChar w:fldCharType="begin"/>
        </w:r>
        <w:r>
          <w:rPr>
            <w:noProof/>
            <w:webHidden/>
          </w:rPr>
          <w:instrText xml:space="preserve"> PAGEREF _Toc243922665 \h </w:instrText>
        </w:r>
        <w:r>
          <w:rPr>
            <w:noProof/>
            <w:webHidden/>
          </w:rPr>
        </w:r>
        <w:r>
          <w:rPr>
            <w:noProof/>
            <w:webHidden/>
          </w:rPr>
          <w:fldChar w:fldCharType="separate"/>
        </w:r>
        <w:r>
          <w:rPr>
            <w:noProof/>
            <w:webHidden/>
          </w:rPr>
          <w:t>94</w:t>
        </w:r>
        <w:r>
          <w:rPr>
            <w:noProof/>
            <w:webHidden/>
          </w:rPr>
          <w:fldChar w:fldCharType="end"/>
        </w:r>
      </w:hyperlink>
    </w:p>
    <w:p w14:paraId="0441B697" w14:textId="5AFA7F22">
      <w:pPr>
        <w:pStyle w:val="TJ2"/>
        <w:rPr>
          <w:rFonts w:asciiTheme="minorHAnsi" w:hAnsiTheme="minorHAnsi" w:cstheme="minorBidi"/>
          <w:noProof/>
          <w:sz w:val="24"/>
          <w:szCs w:val="21"/>
          <w:lang w:eastAsia="en-GB" w:bidi="sa-IN"/>
        </w:rPr>
      </w:pPr>
      <w:hyperlink w:anchor="_Toc243922666" w:history="1">
        <w:r>
          <w:rPr>
            <w:rStyle w:val="Hiperhivatkozs"/>
            <w:noProof/>
            <w:lang w:bidi="ar-SA"/>
          </w:rPr>
          <w:t>6.2. Damage not impeding legibility</w:t>
        </w:r>
        <w:r>
          <w:rPr>
            <w:noProof/>
            <w:webHidden/>
          </w:rPr>
          <w:tab/>
        </w:r>
        <w:r>
          <w:rPr>
            <w:noProof/>
            <w:webHidden/>
          </w:rPr>
          <w:fldChar w:fldCharType="begin"/>
        </w:r>
        <w:r>
          <w:rPr>
            <w:noProof/>
            <w:webHidden/>
          </w:rPr>
          <w:instrText xml:space="preserve"> PAGEREF _Toc243922666 \h </w:instrText>
        </w:r>
        <w:r>
          <w:rPr>
            <w:noProof/>
            <w:webHidden/>
          </w:rPr>
        </w:r>
        <w:r>
          <w:rPr>
            <w:noProof/>
            <w:webHidden/>
          </w:rPr>
          <w:fldChar w:fldCharType="separate"/>
        </w:r>
        <w:r>
          <w:rPr>
            <w:noProof/>
            <w:webHidden/>
          </w:rPr>
          <w:t>95</w:t>
        </w:r>
        <w:r>
          <w:rPr>
            <w:noProof/>
            <w:webHidden/>
          </w:rPr>
          <w:fldChar w:fldCharType="end"/>
        </w:r>
      </w:hyperlink>
    </w:p>
    <w:p w14:paraId="68066524" w14:textId="3BBBF60A">
      <w:pPr>
        <w:pStyle w:val="TJ2"/>
        <w:rPr>
          <w:rFonts w:asciiTheme="minorHAnsi" w:hAnsiTheme="minorHAnsi" w:cstheme="minorBidi"/>
          <w:noProof/>
          <w:sz w:val="24"/>
          <w:szCs w:val="21"/>
          <w:lang w:eastAsia="en-GB" w:bidi="sa-IN"/>
        </w:rPr>
      </w:pPr>
      <w:hyperlink w:anchor="_Toc243922667" w:history="1">
        <w:r>
          <w:rPr>
            <w:rStyle w:val="Hiperhivatkozs"/>
            <w:noProof/>
            <w:lang w:bidi="ar-SA"/>
          </w:rPr>
          <w:t>6.3. Unclear readings</w:t>
        </w:r>
        <w:r>
          <w:rPr>
            <w:noProof/>
            <w:webHidden/>
          </w:rPr>
          <w:tab/>
        </w:r>
        <w:r>
          <w:rPr>
            <w:noProof/>
            <w:webHidden/>
          </w:rPr>
          <w:fldChar w:fldCharType="begin"/>
        </w:r>
        <w:r>
          <w:rPr>
            <w:noProof/>
            <w:webHidden/>
          </w:rPr>
          <w:instrText xml:space="preserve"> PAGEREF _Toc243922667 \h </w:instrText>
        </w:r>
        <w:r>
          <w:rPr>
            <w:noProof/>
            <w:webHidden/>
          </w:rPr>
        </w:r>
        <w:r>
          <w:rPr>
            <w:noProof/>
            <w:webHidden/>
          </w:rPr>
          <w:fldChar w:fldCharType="separate"/>
        </w:r>
        <w:r>
          <w:rPr>
            <w:noProof/>
            <w:webHidden/>
          </w:rPr>
          <w:t>95</w:t>
        </w:r>
        <w:r>
          <w:rPr>
            <w:noProof/>
            <w:webHidden/>
          </w:rPr>
          <w:fldChar w:fldCharType="end"/>
        </w:r>
      </w:hyperlink>
    </w:p>
    <w:p w14:paraId="58630F50" w14:textId="45D46D98">
      <w:pPr>
        <w:pStyle w:val="TJ3"/>
        <w:rPr>
          <w:rFonts w:asciiTheme="minorHAnsi" w:hAnsiTheme="minorHAnsi" w:cstheme="minorBidi"/>
          <w:noProof/>
          <w:sz w:val="24"/>
          <w:szCs w:val="21"/>
          <w:lang w:eastAsia="en-GB" w:bidi="sa-IN"/>
        </w:rPr>
      </w:pPr>
      <w:hyperlink w:anchor="_Toc243922668" w:history="1">
        <w:r>
          <w:rPr>
            <w:rStyle w:val="Hiperhivatkozs"/>
            <w:noProof/>
            <w:lang w:bidi="ar-SA"/>
          </w:rPr>
          <w:t>6.3.1. Encoding unclear text</w:t>
        </w:r>
        <w:r>
          <w:rPr>
            <w:noProof/>
            <w:webHidden/>
          </w:rPr>
          <w:tab/>
        </w:r>
        <w:r>
          <w:rPr>
            <w:noProof/>
            <w:webHidden/>
          </w:rPr>
          <w:fldChar w:fldCharType="begin"/>
        </w:r>
        <w:r>
          <w:rPr>
            <w:noProof/>
            <w:webHidden/>
          </w:rPr>
          <w:instrText xml:space="preserve"> PAGEREF _Toc243922668 \h </w:instrText>
        </w:r>
        <w:r>
          <w:rPr>
            <w:noProof/>
            <w:webHidden/>
          </w:rPr>
        </w:r>
        <w:r>
          <w:rPr>
            <w:noProof/>
            <w:webHidden/>
          </w:rPr>
          <w:fldChar w:fldCharType="separate"/>
        </w:r>
        <w:r>
          <w:rPr>
            <w:noProof/>
            <w:webHidden/>
          </w:rPr>
          <w:t>95</w:t>
        </w:r>
        <w:r>
          <w:rPr>
            <w:noProof/>
            <w:webHidden/>
          </w:rPr>
          <w:fldChar w:fldCharType="end"/>
        </w:r>
      </w:hyperlink>
    </w:p>
    <w:p w14:paraId="6B4F45DA" w14:textId="3CE6DA96">
      <w:pPr>
        <w:pStyle w:val="TJ3"/>
        <w:rPr>
          <w:rFonts w:asciiTheme="minorHAnsi" w:hAnsiTheme="minorHAnsi" w:cstheme="minorBidi"/>
          <w:noProof/>
          <w:sz w:val="24"/>
          <w:szCs w:val="21"/>
          <w:lang w:eastAsia="en-GB" w:bidi="sa-IN"/>
        </w:rPr>
      </w:pPr>
      <w:hyperlink w:anchor="_Toc243922669" w:history="1">
        <w:r>
          <w:rPr>
            <w:rStyle w:val="Hiperhivatkozs"/>
            <w:noProof/>
            <w:lang w:bidi="ar-SA"/>
          </w:rPr>
          <w:t>6.3.2. Encoding ambivalent text</w:t>
        </w:r>
        <w:r>
          <w:rPr>
            <w:noProof/>
            <w:webHidden/>
          </w:rPr>
          <w:tab/>
        </w:r>
        <w:r>
          <w:rPr>
            <w:noProof/>
            <w:webHidden/>
          </w:rPr>
          <w:fldChar w:fldCharType="begin"/>
        </w:r>
        <w:r>
          <w:rPr>
            <w:noProof/>
            <w:webHidden/>
          </w:rPr>
          <w:instrText xml:space="preserve"> PAGEREF _Toc243922669 \h </w:instrText>
        </w:r>
        <w:r>
          <w:rPr>
            <w:noProof/>
            <w:webHidden/>
          </w:rPr>
        </w:r>
        <w:r>
          <w:rPr>
            <w:noProof/>
            <w:webHidden/>
          </w:rPr>
          <w:fldChar w:fldCharType="separate"/>
        </w:r>
        <w:r>
          <w:rPr>
            <w:noProof/>
            <w:webHidden/>
          </w:rPr>
          <w:t>97</w:t>
        </w:r>
        <w:r>
          <w:rPr>
            <w:noProof/>
            <w:webHidden/>
          </w:rPr>
          <w:fldChar w:fldCharType="end"/>
        </w:r>
      </w:hyperlink>
    </w:p>
    <w:p w14:paraId="5B37BB92" w14:textId="1B04CEBE">
      <w:pPr>
        <w:pStyle w:val="TJ3"/>
        <w:rPr>
          <w:rFonts w:asciiTheme="minorHAnsi" w:hAnsiTheme="minorHAnsi" w:cstheme="minorBidi"/>
          <w:noProof/>
          <w:sz w:val="24"/>
          <w:szCs w:val="21"/>
          <w:lang w:eastAsia="en-GB" w:bidi="sa-IN"/>
        </w:rPr>
      </w:pPr>
      <w:hyperlink w:anchor="_Toc243922670" w:history="1">
        <w:r>
          <w:rPr>
            <w:rStyle w:val="Hiperhivatkozs"/>
            <w:noProof/>
            <w:lang w:bidi="ar-SA"/>
          </w:rPr>
          <w:t>6.3.3. Good practice in encoding unclear readings</w:t>
        </w:r>
        <w:r>
          <w:rPr>
            <w:noProof/>
            <w:webHidden/>
          </w:rPr>
          <w:tab/>
        </w:r>
        <w:r>
          <w:rPr>
            <w:noProof/>
            <w:webHidden/>
          </w:rPr>
          <w:fldChar w:fldCharType="begin"/>
        </w:r>
        <w:r>
          <w:rPr>
            <w:noProof/>
            <w:webHidden/>
          </w:rPr>
          <w:instrText xml:space="preserve"> PAGEREF _Toc243922670 \h </w:instrText>
        </w:r>
        <w:r>
          <w:rPr>
            <w:noProof/>
            <w:webHidden/>
          </w:rPr>
        </w:r>
        <w:r>
          <w:rPr>
            <w:noProof/>
            <w:webHidden/>
          </w:rPr>
          <w:fldChar w:fldCharType="separate"/>
        </w:r>
        <w:r>
          <w:rPr>
            <w:noProof/>
            <w:webHidden/>
          </w:rPr>
          <w:t>98</w:t>
        </w:r>
        <w:r>
          <w:rPr>
            <w:noProof/>
            <w:webHidden/>
          </w:rPr>
          <w:fldChar w:fldCharType="end"/>
        </w:r>
      </w:hyperlink>
    </w:p>
    <w:p w14:paraId="0423C827" w14:textId="0C9521DD">
      <w:pPr>
        <w:pStyle w:val="TJ2"/>
        <w:rPr>
          <w:rFonts w:asciiTheme="minorHAnsi" w:hAnsiTheme="minorHAnsi" w:cstheme="minorBidi"/>
          <w:noProof/>
          <w:sz w:val="24"/>
          <w:szCs w:val="21"/>
          <w:lang w:eastAsia="en-GB" w:bidi="sa-IN"/>
        </w:rPr>
      </w:pPr>
      <w:hyperlink w:anchor="_Toc243922671" w:history="1">
        <w:r>
          <w:rPr>
            <w:rStyle w:val="Hiperhivatkozs"/>
            <w:noProof/>
            <w:lang w:bidi="ar-SA"/>
          </w:rPr>
          <w:t>6.4. Editorial restoration</w:t>
        </w:r>
        <w:r>
          <w:rPr>
            <w:noProof/>
            <w:webHidden/>
          </w:rPr>
          <w:tab/>
        </w:r>
        <w:r>
          <w:rPr>
            <w:noProof/>
            <w:webHidden/>
          </w:rPr>
          <w:fldChar w:fldCharType="begin"/>
        </w:r>
        <w:r>
          <w:rPr>
            <w:noProof/>
            <w:webHidden/>
          </w:rPr>
          <w:instrText xml:space="preserve"> PAGEREF _Toc243922671 \h </w:instrText>
        </w:r>
        <w:r>
          <w:rPr>
            <w:noProof/>
            <w:webHidden/>
          </w:rPr>
        </w:r>
        <w:r>
          <w:rPr>
            <w:noProof/>
            <w:webHidden/>
          </w:rPr>
          <w:fldChar w:fldCharType="separate"/>
        </w:r>
        <w:r>
          <w:rPr>
            <w:noProof/>
            <w:webHidden/>
          </w:rPr>
          <w:t>99</w:t>
        </w:r>
        <w:r>
          <w:rPr>
            <w:noProof/>
            <w:webHidden/>
          </w:rPr>
          <w:fldChar w:fldCharType="end"/>
        </w:r>
      </w:hyperlink>
    </w:p>
    <w:p w14:paraId="6BC23A29" w14:textId="60182E38">
      <w:pPr>
        <w:pStyle w:val="TJ3"/>
        <w:rPr>
          <w:rFonts w:asciiTheme="minorHAnsi" w:hAnsiTheme="minorHAnsi" w:cstheme="minorBidi"/>
          <w:noProof/>
          <w:sz w:val="24"/>
          <w:szCs w:val="21"/>
          <w:lang w:eastAsia="en-GB" w:bidi="sa-IN"/>
        </w:rPr>
      </w:pPr>
      <w:hyperlink w:anchor="_Toc243922672" w:history="1">
        <w:r>
          <w:rPr>
            <w:rStyle w:val="Hiperhivatkozs"/>
            <w:noProof/>
            <w:lang w:bidi="ar-SA"/>
          </w:rPr>
          <w:t>6.4.1. The reason for a restoration</w:t>
        </w:r>
        <w:r>
          <w:rPr>
            <w:noProof/>
            <w:webHidden/>
          </w:rPr>
          <w:tab/>
        </w:r>
        <w:r>
          <w:rPr>
            <w:noProof/>
            <w:webHidden/>
          </w:rPr>
          <w:fldChar w:fldCharType="begin"/>
        </w:r>
        <w:r>
          <w:rPr>
            <w:noProof/>
            <w:webHidden/>
          </w:rPr>
          <w:instrText xml:space="preserve"> PAGEREF _Toc243922672 \h </w:instrText>
        </w:r>
        <w:r>
          <w:rPr>
            <w:noProof/>
            <w:webHidden/>
          </w:rPr>
        </w:r>
        <w:r>
          <w:rPr>
            <w:noProof/>
            <w:webHidden/>
          </w:rPr>
          <w:fldChar w:fldCharType="separate"/>
        </w:r>
        <w:r>
          <w:rPr>
            <w:noProof/>
            <w:webHidden/>
          </w:rPr>
          <w:t>99</w:t>
        </w:r>
        <w:r>
          <w:rPr>
            <w:noProof/>
            <w:webHidden/>
          </w:rPr>
          <w:fldChar w:fldCharType="end"/>
        </w:r>
      </w:hyperlink>
    </w:p>
    <w:p w14:paraId="153E275D" w14:textId="3A1967EB">
      <w:pPr>
        <w:pStyle w:val="TJ3"/>
        <w:rPr>
          <w:rFonts w:asciiTheme="minorHAnsi" w:hAnsiTheme="minorHAnsi" w:cstheme="minorBidi"/>
          <w:noProof/>
          <w:sz w:val="24"/>
          <w:szCs w:val="21"/>
          <w:lang w:eastAsia="en-GB" w:bidi="sa-IN"/>
        </w:rPr>
      </w:pPr>
      <w:hyperlink w:anchor="_Toc243922673" w:history="1">
        <w:r>
          <w:rPr>
            <w:rStyle w:val="Hiperhivatkozs"/>
            <w:noProof/>
            <w:lang w:bidi="ar-SA"/>
          </w:rPr>
          <w:t>6.4.2. Tentative restoration</w:t>
        </w:r>
        <w:r>
          <w:rPr>
            <w:noProof/>
            <w:webHidden/>
          </w:rPr>
          <w:tab/>
        </w:r>
        <w:r>
          <w:rPr>
            <w:noProof/>
            <w:webHidden/>
          </w:rPr>
          <w:fldChar w:fldCharType="begin"/>
        </w:r>
        <w:r>
          <w:rPr>
            <w:noProof/>
            <w:webHidden/>
          </w:rPr>
          <w:instrText xml:space="preserve"> PAGEREF _Toc243922673 \h </w:instrText>
        </w:r>
        <w:r>
          <w:rPr>
            <w:noProof/>
            <w:webHidden/>
          </w:rPr>
        </w:r>
        <w:r>
          <w:rPr>
            <w:noProof/>
            <w:webHidden/>
          </w:rPr>
          <w:fldChar w:fldCharType="separate"/>
        </w:r>
        <w:r>
          <w:rPr>
            <w:noProof/>
            <w:webHidden/>
          </w:rPr>
          <w:t>100</w:t>
        </w:r>
        <w:r>
          <w:rPr>
            <w:noProof/>
            <w:webHidden/>
          </w:rPr>
          <w:fldChar w:fldCharType="end"/>
        </w:r>
      </w:hyperlink>
    </w:p>
    <w:p w14:paraId="0C78E6FE" w14:textId="5264DF73">
      <w:pPr>
        <w:pStyle w:val="TJ3"/>
        <w:rPr>
          <w:rFonts w:asciiTheme="minorHAnsi" w:hAnsiTheme="minorHAnsi" w:cstheme="minorBidi"/>
          <w:noProof/>
          <w:sz w:val="24"/>
          <w:szCs w:val="21"/>
          <w:lang w:eastAsia="en-GB" w:bidi="sa-IN"/>
        </w:rPr>
      </w:pPr>
      <w:hyperlink w:anchor="_Toc243922674" w:history="1">
        <w:r>
          <w:rPr>
            <w:rStyle w:val="Hiperhivatkozs"/>
            <w:noProof/>
            <w:lang w:bidi="ar-SA"/>
          </w:rPr>
          <w:t>6.4.3. The basis of restoration</w:t>
        </w:r>
        <w:r>
          <w:rPr>
            <w:noProof/>
            <w:webHidden/>
          </w:rPr>
          <w:tab/>
        </w:r>
        <w:r>
          <w:rPr>
            <w:noProof/>
            <w:webHidden/>
          </w:rPr>
          <w:fldChar w:fldCharType="begin"/>
        </w:r>
        <w:r>
          <w:rPr>
            <w:noProof/>
            <w:webHidden/>
          </w:rPr>
          <w:instrText xml:space="preserve"> PAGEREF _Toc243922674 \h </w:instrText>
        </w:r>
        <w:r>
          <w:rPr>
            <w:noProof/>
            <w:webHidden/>
          </w:rPr>
        </w:r>
        <w:r>
          <w:rPr>
            <w:noProof/>
            <w:webHidden/>
          </w:rPr>
          <w:fldChar w:fldCharType="separate"/>
        </w:r>
        <w:r>
          <w:rPr>
            <w:noProof/>
            <w:webHidden/>
          </w:rPr>
          <w:t>100</w:t>
        </w:r>
        <w:r>
          <w:rPr>
            <w:noProof/>
            <w:webHidden/>
          </w:rPr>
          <w:fldChar w:fldCharType="end"/>
        </w:r>
      </w:hyperlink>
    </w:p>
    <w:p w14:paraId="15424756" w14:textId="7711B68D">
      <w:pPr>
        <w:pStyle w:val="TJ2"/>
        <w:rPr>
          <w:rFonts w:asciiTheme="minorHAnsi" w:hAnsiTheme="minorHAnsi" w:cstheme="minorBidi"/>
          <w:noProof/>
          <w:sz w:val="24"/>
          <w:szCs w:val="21"/>
          <w:lang w:eastAsia="en-GB" w:bidi="sa-IN"/>
        </w:rPr>
      </w:pPr>
      <w:hyperlink w:anchor="_Toc243922675" w:history="1">
        <w:r>
          <w:rPr>
            <w:rStyle w:val="Hiperhivatkozs"/>
            <w:noProof/>
            <w:lang w:bidi="ar-SA"/>
          </w:rPr>
          <w:t>6.5. Lacunae</w:t>
        </w:r>
        <w:r>
          <w:rPr>
            <w:noProof/>
            <w:webHidden/>
          </w:rPr>
          <w:tab/>
        </w:r>
        <w:r>
          <w:rPr>
            <w:noProof/>
            <w:webHidden/>
          </w:rPr>
          <w:fldChar w:fldCharType="begin"/>
        </w:r>
        <w:r>
          <w:rPr>
            <w:noProof/>
            <w:webHidden/>
          </w:rPr>
          <w:instrText xml:space="preserve"> PAGEREF _Toc243922675 \h </w:instrText>
        </w:r>
        <w:r>
          <w:rPr>
            <w:noProof/>
            <w:webHidden/>
          </w:rPr>
        </w:r>
        <w:r>
          <w:rPr>
            <w:noProof/>
            <w:webHidden/>
          </w:rPr>
          <w:fldChar w:fldCharType="separate"/>
        </w:r>
        <w:r>
          <w:rPr>
            <w:noProof/>
            <w:webHidden/>
          </w:rPr>
          <w:t>100</w:t>
        </w:r>
        <w:r>
          <w:rPr>
            <w:noProof/>
            <w:webHidden/>
          </w:rPr>
          <w:fldChar w:fldCharType="end"/>
        </w:r>
      </w:hyperlink>
    </w:p>
    <w:p w14:paraId="2AB77666" w14:textId="5F257E80">
      <w:pPr>
        <w:pStyle w:val="TJ3"/>
        <w:rPr>
          <w:rFonts w:asciiTheme="minorHAnsi" w:hAnsiTheme="minorHAnsi" w:cstheme="minorBidi"/>
          <w:noProof/>
          <w:sz w:val="24"/>
          <w:szCs w:val="21"/>
          <w:lang w:eastAsia="en-GB" w:bidi="sa-IN"/>
        </w:rPr>
      </w:pPr>
      <w:hyperlink w:anchor="_Toc243922676" w:history="1">
        <w:r>
          <w:rPr>
            <w:rStyle w:val="Hiperhivatkozs"/>
            <w:noProof/>
            <w:lang w:bidi="ar-SA"/>
          </w:rPr>
          <w:t>6.5.1. Encoding lacunae</w:t>
        </w:r>
        <w:r>
          <w:rPr>
            <w:noProof/>
            <w:webHidden/>
          </w:rPr>
          <w:tab/>
        </w:r>
        <w:r>
          <w:rPr>
            <w:noProof/>
            <w:webHidden/>
          </w:rPr>
          <w:fldChar w:fldCharType="begin"/>
        </w:r>
        <w:r>
          <w:rPr>
            <w:noProof/>
            <w:webHidden/>
          </w:rPr>
          <w:instrText xml:space="preserve"> PAGEREF _Toc243922676 \h </w:instrText>
        </w:r>
        <w:r>
          <w:rPr>
            <w:noProof/>
            <w:webHidden/>
          </w:rPr>
        </w:r>
        <w:r>
          <w:rPr>
            <w:noProof/>
            <w:webHidden/>
          </w:rPr>
          <w:fldChar w:fldCharType="separate"/>
        </w:r>
        <w:r>
          <w:rPr>
            <w:noProof/>
            <w:webHidden/>
          </w:rPr>
          <w:t>100</w:t>
        </w:r>
        <w:r>
          <w:rPr>
            <w:noProof/>
            <w:webHidden/>
          </w:rPr>
          <w:fldChar w:fldCharType="end"/>
        </w:r>
      </w:hyperlink>
    </w:p>
    <w:p w14:paraId="5B45FDD2" w14:textId="1B90AF36">
      <w:pPr>
        <w:pStyle w:val="TJ3"/>
        <w:rPr>
          <w:rFonts w:asciiTheme="minorHAnsi" w:hAnsiTheme="minorHAnsi" w:cstheme="minorBidi"/>
          <w:noProof/>
          <w:sz w:val="24"/>
          <w:szCs w:val="21"/>
          <w:lang w:eastAsia="en-GB" w:bidi="sa-IN"/>
        </w:rPr>
      </w:pPr>
      <w:hyperlink w:anchor="_Toc243922677" w:history="1">
        <w:r>
          <w:rPr>
            <w:rStyle w:val="Hiperhivatkozs"/>
            <w:noProof/>
            <w:lang w:bidi="ar-SA"/>
          </w:rPr>
          <w:t>6.5.2. Managing inline lacunae</w:t>
        </w:r>
        <w:r>
          <w:rPr>
            <w:noProof/>
            <w:webHidden/>
          </w:rPr>
          <w:tab/>
        </w:r>
        <w:r>
          <w:rPr>
            <w:noProof/>
            <w:webHidden/>
          </w:rPr>
          <w:fldChar w:fldCharType="begin"/>
        </w:r>
        <w:r>
          <w:rPr>
            <w:noProof/>
            <w:webHidden/>
          </w:rPr>
          <w:instrText xml:space="preserve"> PAGEREF _Toc243922677 \h </w:instrText>
        </w:r>
        <w:r>
          <w:rPr>
            <w:noProof/>
            <w:webHidden/>
          </w:rPr>
        </w:r>
        <w:r>
          <w:rPr>
            <w:noProof/>
            <w:webHidden/>
          </w:rPr>
          <w:fldChar w:fldCharType="separate"/>
        </w:r>
        <w:r>
          <w:rPr>
            <w:noProof/>
            <w:webHidden/>
          </w:rPr>
          <w:t>102</w:t>
        </w:r>
        <w:r>
          <w:rPr>
            <w:noProof/>
            <w:webHidden/>
          </w:rPr>
          <w:fldChar w:fldCharType="end"/>
        </w:r>
      </w:hyperlink>
    </w:p>
    <w:p w14:paraId="2727482B" w14:textId="10193E8C">
      <w:pPr>
        <w:pStyle w:val="TJ3"/>
        <w:rPr>
          <w:rFonts w:asciiTheme="minorHAnsi" w:hAnsiTheme="minorHAnsi" w:cstheme="minorBidi"/>
          <w:noProof/>
          <w:sz w:val="24"/>
          <w:szCs w:val="21"/>
          <w:lang w:eastAsia="en-GB" w:bidi="sa-IN"/>
        </w:rPr>
      </w:pPr>
      <w:hyperlink w:anchor="_Toc243922678" w:history="1">
        <w:r>
          <w:rPr>
            <w:rStyle w:val="Hiperhivatkozs"/>
            <w:noProof/>
            <w:lang w:bidi="ar-SA"/>
          </w:rPr>
          <w:t>6.5.3. Managing line-level lacunae</w:t>
        </w:r>
        <w:r>
          <w:rPr>
            <w:noProof/>
            <w:webHidden/>
          </w:rPr>
          <w:tab/>
        </w:r>
        <w:r>
          <w:rPr>
            <w:noProof/>
            <w:webHidden/>
          </w:rPr>
          <w:fldChar w:fldCharType="begin"/>
        </w:r>
        <w:r>
          <w:rPr>
            <w:noProof/>
            <w:webHidden/>
          </w:rPr>
          <w:instrText xml:space="preserve"> PAGEREF _Toc243922678 \h </w:instrText>
        </w:r>
        <w:r>
          <w:rPr>
            <w:noProof/>
            <w:webHidden/>
          </w:rPr>
        </w:r>
        <w:r>
          <w:rPr>
            <w:noProof/>
            <w:webHidden/>
          </w:rPr>
          <w:fldChar w:fldCharType="separate"/>
        </w:r>
        <w:r>
          <w:rPr>
            <w:noProof/>
            <w:webHidden/>
          </w:rPr>
          <w:t>106</w:t>
        </w:r>
        <w:r>
          <w:rPr>
            <w:noProof/>
            <w:webHidden/>
          </w:rPr>
          <w:fldChar w:fldCharType="end"/>
        </w:r>
      </w:hyperlink>
    </w:p>
    <w:p w14:paraId="29085C29" w14:textId="7FB30E0C">
      <w:pPr>
        <w:pStyle w:val="TJ3"/>
        <w:rPr>
          <w:rFonts w:asciiTheme="minorHAnsi" w:hAnsiTheme="minorHAnsi" w:cstheme="minorBidi"/>
          <w:noProof/>
          <w:sz w:val="24"/>
          <w:szCs w:val="21"/>
          <w:lang w:eastAsia="en-GB" w:bidi="sa-IN"/>
        </w:rPr>
      </w:pPr>
      <w:hyperlink w:anchor="_Toc243922679" w:history="1">
        <w:r>
          <w:rPr>
            <w:rStyle w:val="Hiperhivatkozs"/>
            <w:noProof/>
            <w:lang w:bidi="ar-SA"/>
          </w:rPr>
          <w:t>6.5.4. Managing massive lacunae</w:t>
        </w:r>
        <w:r>
          <w:rPr>
            <w:noProof/>
            <w:webHidden/>
          </w:rPr>
          <w:tab/>
        </w:r>
        <w:r>
          <w:rPr>
            <w:noProof/>
            <w:webHidden/>
          </w:rPr>
          <w:fldChar w:fldCharType="begin"/>
        </w:r>
        <w:r>
          <w:rPr>
            <w:noProof/>
            <w:webHidden/>
          </w:rPr>
          <w:instrText xml:space="preserve"> PAGEREF _Toc243922679 \h </w:instrText>
        </w:r>
        <w:r>
          <w:rPr>
            <w:noProof/>
            <w:webHidden/>
          </w:rPr>
        </w:r>
        <w:r>
          <w:rPr>
            <w:noProof/>
            <w:webHidden/>
          </w:rPr>
          <w:fldChar w:fldCharType="separate"/>
        </w:r>
        <w:r>
          <w:rPr>
            <w:noProof/>
            <w:webHidden/>
          </w:rPr>
          <w:t>107</w:t>
        </w:r>
        <w:r>
          <w:rPr>
            <w:noProof/>
            <w:webHidden/>
          </w:rPr>
          <w:fldChar w:fldCharType="end"/>
        </w:r>
      </w:hyperlink>
    </w:p>
    <w:p w14:paraId="40C44FC2" w14:textId="0882C264">
      <w:pPr>
        <w:pStyle w:val="TJ3"/>
        <w:rPr>
          <w:rFonts w:asciiTheme="minorHAnsi" w:hAnsiTheme="minorHAnsi" w:cstheme="minorBidi"/>
          <w:noProof/>
          <w:sz w:val="24"/>
          <w:szCs w:val="21"/>
          <w:lang w:eastAsia="en-GB" w:bidi="sa-IN"/>
        </w:rPr>
      </w:pPr>
      <w:hyperlink w:anchor="_Toc243922680" w:history="1">
        <w:r>
          <w:rPr>
            <w:rStyle w:val="Hiperhivatkozs"/>
            <w:noProof/>
            <w:lang w:bidi="ar-SA"/>
          </w:rPr>
          <w:t>6.5.5. Managing incomplete copperplate sets</w:t>
        </w:r>
        <w:r>
          <w:rPr>
            <w:noProof/>
            <w:webHidden/>
          </w:rPr>
          <w:tab/>
        </w:r>
        <w:r>
          <w:rPr>
            <w:noProof/>
            <w:webHidden/>
          </w:rPr>
          <w:fldChar w:fldCharType="begin"/>
        </w:r>
        <w:r>
          <w:rPr>
            <w:noProof/>
            <w:webHidden/>
          </w:rPr>
          <w:instrText xml:space="preserve"> PAGEREF _Toc243922680 \h </w:instrText>
        </w:r>
        <w:r>
          <w:rPr>
            <w:noProof/>
            <w:webHidden/>
          </w:rPr>
        </w:r>
        <w:r>
          <w:rPr>
            <w:noProof/>
            <w:webHidden/>
          </w:rPr>
          <w:fldChar w:fldCharType="separate"/>
        </w:r>
        <w:r>
          <w:rPr>
            <w:noProof/>
            <w:webHidden/>
          </w:rPr>
          <w:t>112</w:t>
        </w:r>
        <w:r>
          <w:rPr>
            <w:noProof/>
            <w:webHidden/>
          </w:rPr>
          <w:fldChar w:fldCharType="end"/>
        </w:r>
      </w:hyperlink>
    </w:p>
    <w:p w14:paraId="4634AE87" w14:textId="06B0EEA8">
      <w:pPr>
        <w:pStyle w:val="TJ1"/>
        <w:rPr>
          <w:rFonts w:asciiTheme="minorHAnsi" w:hAnsiTheme="minorHAnsi" w:cstheme="minorBidi"/>
          <w:b w:val="0"/>
          <w:noProof/>
          <w:sz w:val="24"/>
          <w:szCs w:val="21"/>
          <w:lang w:eastAsia="en-GB" w:bidi="sa-IN"/>
        </w:rPr>
      </w:pPr>
      <w:hyperlink w:anchor="_Toc243922681" w:history="1">
        <w:r>
          <w:rPr>
            <w:rStyle w:val="Hiperhivatkozs"/>
            <w:noProof/>
            <w:lang w:bidi="ar-SA"/>
          </w:rPr>
          <w:t>7. Editorial intervention</w:t>
        </w:r>
        <w:r>
          <w:rPr>
            <w:noProof/>
            <w:webHidden/>
          </w:rPr>
          <w:tab/>
        </w:r>
        <w:r>
          <w:rPr>
            <w:noProof/>
            <w:webHidden/>
          </w:rPr>
          <w:fldChar w:fldCharType="begin"/>
        </w:r>
        <w:r>
          <w:rPr>
            <w:noProof/>
            <w:webHidden/>
          </w:rPr>
          <w:instrText xml:space="preserve"> PAGEREF _Toc243922681 \h </w:instrText>
        </w:r>
        <w:r>
          <w:rPr>
            <w:noProof/>
            <w:webHidden/>
          </w:rPr>
        </w:r>
        <w:r>
          <w:rPr>
            <w:noProof/>
            <w:webHidden/>
          </w:rPr>
          <w:fldChar w:fldCharType="separate"/>
        </w:r>
        <w:r>
          <w:rPr>
            <w:noProof/>
            <w:webHidden/>
          </w:rPr>
          <w:t>115</w:t>
        </w:r>
        <w:r>
          <w:rPr>
            <w:noProof/>
            <w:webHidden/>
          </w:rPr>
          <w:fldChar w:fldCharType="end"/>
        </w:r>
      </w:hyperlink>
    </w:p>
    <w:p w14:paraId="6E183DD8" w14:textId="0B759760">
      <w:pPr>
        <w:pStyle w:val="TJ2"/>
        <w:rPr>
          <w:rFonts w:asciiTheme="minorHAnsi" w:hAnsiTheme="minorHAnsi" w:cstheme="minorBidi"/>
          <w:noProof/>
          <w:sz w:val="24"/>
          <w:szCs w:val="21"/>
          <w:lang w:eastAsia="en-GB" w:bidi="sa-IN"/>
        </w:rPr>
      </w:pPr>
      <w:hyperlink w:anchor="_Toc243922682" w:history="1">
        <w:r>
          <w:rPr>
            <w:rStyle w:val="Hiperhivatkozs"/>
            <w:noProof/>
            <w:lang w:bidi="ar-SA"/>
          </w:rPr>
          <w:t>7.1. Distinguishing correction from normalisation</w:t>
        </w:r>
        <w:r>
          <w:rPr>
            <w:noProof/>
            <w:webHidden/>
          </w:rPr>
          <w:tab/>
        </w:r>
        <w:r>
          <w:rPr>
            <w:noProof/>
            <w:webHidden/>
          </w:rPr>
          <w:fldChar w:fldCharType="begin"/>
        </w:r>
        <w:r>
          <w:rPr>
            <w:noProof/>
            <w:webHidden/>
          </w:rPr>
          <w:instrText xml:space="preserve"> PAGEREF _Toc243922682 \h </w:instrText>
        </w:r>
        <w:r>
          <w:rPr>
            <w:noProof/>
            <w:webHidden/>
          </w:rPr>
        </w:r>
        <w:r>
          <w:rPr>
            <w:noProof/>
            <w:webHidden/>
          </w:rPr>
          <w:fldChar w:fldCharType="separate"/>
        </w:r>
        <w:r>
          <w:rPr>
            <w:noProof/>
            <w:webHidden/>
          </w:rPr>
          <w:t>115</w:t>
        </w:r>
        <w:r>
          <w:rPr>
            <w:noProof/>
            <w:webHidden/>
          </w:rPr>
          <w:fldChar w:fldCharType="end"/>
        </w:r>
      </w:hyperlink>
    </w:p>
    <w:p w14:paraId="33096847" w14:textId="70ADCAC1">
      <w:pPr>
        <w:pStyle w:val="TJ3"/>
        <w:rPr>
          <w:rFonts w:asciiTheme="minorHAnsi" w:hAnsiTheme="minorHAnsi" w:cstheme="minorBidi"/>
          <w:noProof/>
          <w:sz w:val="24"/>
          <w:szCs w:val="21"/>
          <w:lang w:eastAsia="en-GB" w:bidi="sa-IN"/>
        </w:rPr>
      </w:pPr>
      <w:hyperlink w:anchor="_Toc243922683" w:history="1">
        <w:r>
          <w:rPr>
            <w:rStyle w:val="Hiperhivatkozs"/>
            <w:noProof/>
            <w:lang w:bidi="ar-SA"/>
          </w:rPr>
          <w:t>7.1.1. Erroneous readings</w:t>
        </w:r>
        <w:r>
          <w:rPr>
            <w:noProof/>
            <w:webHidden/>
          </w:rPr>
          <w:tab/>
        </w:r>
        <w:r>
          <w:rPr>
            <w:noProof/>
            <w:webHidden/>
          </w:rPr>
          <w:fldChar w:fldCharType="begin"/>
        </w:r>
        <w:r>
          <w:rPr>
            <w:noProof/>
            <w:webHidden/>
          </w:rPr>
          <w:instrText xml:space="preserve"> PAGEREF _Toc243922683 \h </w:instrText>
        </w:r>
        <w:r>
          <w:rPr>
            <w:noProof/>
            <w:webHidden/>
          </w:rPr>
        </w:r>
        <w:r>
          <w:rPr>
            <w:noProof/>
            <w:webHidden/>
          </w:rPr>
          <w:fldChar w:fldCharType="separate"/>
        </w:r>
        <w:r>
          <w:rPr>
            <w:noProof/>
            <w:webHidden/>
          </w:rPr>
          <w:t>115</w:t>
        </w:r>
        <w:r>
          <w:rPr>
            <w:noProof/>
            <w:webHidden/>
          </w:rPr>
          <w:fldChar w:fldCharType="end"/>
        </w:r>
      </w:hyperlink>
    </w:p>
    <w:p w14:paraId="0AF23959" w14:textId="2DA0FA61">
      <w:pPr>
        <w:pStyle w:val="TJ3"/>
        <w:rPr>
          <w:rFonts w:asciiTheme="minorHAnsi" w:hAnsiTheme="minorHAnsi" w:cstheme="minorBidi"/>
          <w:noProof/>
          <w:sz w:val="24"/>
          <w:szCs w:val="21"/>
          <w:lang w:eastAsia="en-GB" w:bidi="sa-IN"/>
        </w:rPr>
      </w:pPr>
      <w:hyperlink w:anchor="_Toc243922684" w:history="1">
        <w:r>
          <w:rPr>
            <w:rStyle w:val="Hiperhivatkozs"/>
            <w:noProof/>
            <w:lang w:bidi="ar-SA"/>
          </w:rPr>
          <w:t>7.1.2. Non-standard readings</w:t>
        </w:r>
        <w:r>
          <w:rPr>
            <w:noProof/>
            <w:webHidden/>
          </w:rPr>
          <w:tab/>
        </w:r>
        <w:r>
          <w:rPr>
            <w:noProof/>
            <w:webHidden/>
          </w:rPr>
          <w:fldChar w:fldCharType="begin"/>
        </w:r>
        <w:r>
          <w:rPr>
            <w:noProof/>
            <w:webHidden/>
          </w:rPr>
          <w:instrText xml:space="preserve"> PAGEREF _Toc243922684 \h </w:instrText>
        </w:r>
        <w:r>
          <w:rPr>
            <w:noProof/>
            <w:webHidden/>
          </w:rPr>
        </w:r>
        <w:r>
          <w:rPr>
            <w:noProof/>
            <w:webHidden/>
          </w:rPr>
          <w:fldChar w:fldCharType="separate"/>
        </w:r>
        <w:r>
          <w:rPr>
            <w:noProof/>
            <w:webHidden/>
          </w:rPr>
          <w:t>115</w:t>
        </w:r>
        <w:r>
          <w:rPr>
            <w:noProof/>
            <w:webHidden/>
          </w:rPr>
          <w:fldChar w:fldCharType="end"/>
        </w:r>
      </w:hyperlink>
    </w:p>
    <w:p w14:paraId="098EBEBD" w14:textId="3635373E">
      <w:pPr>
        <w:pStyle w:val="TJ2"/>
        <w:rPr>
          <w:rFonts w:asciiTheme="minorHAnsi" w:hAnsiTheme="minorHAnsi" w:cstheme="minorBidi"/>
          <w:noProof/>
          <w:sz w:val="24"/>
          <w:szCs w:val="21"/>
          <w:lang w:eastAsia="en-GB" w:bidi="sa-IN"/>
        </w:rPr>
      </w:pPr>
      <w:hyperlink w:anchor="_Toc243922685" w:history="1">
        <w:r>
          <w:rPr>
            <w:rStyle w:val="Hiperhivatkozs"/>
            <w:noProof/>
            <w:lang w:bidi="ar-SA"/>
          </w:rPr>
          <w:t>7.2. Encoding editorial intervention</w:t>
        </w:r>
        <w:r>
          <w:rPr>
            <w:noProof/>
            <w:webHidden/>
          </w:rPr>
          <w:tab/>
        </w:r>
        <w:r>
          <w:rPr>
            <w:noProof/>
            <w:webHidden/>
          </w:rPr>
          <w:fldChar w:fldCharType="begin"/>
        </w:r>
        <w:r>
          <w:rPr>
            <w:noProof/>
            <w:webHidden/>
          </w:rPr>
          <w:instrText xml:space="preserve"> PAGEREF _Toc243922685 \h </w:instrText>
        </w:r>
        <w:r>
          <w:rPr>
            <w:noProof/>
            <w:webHidden/>
          </w:rPr>
        </w:r>
        <w:r>
          <w:rPr>
            <w:noProof/>
            <w:webHidden/>
          </w:rPr>
          <w:fldChar w:fldCharType="separate"/>
        </w:r>
        <w:r>
          <w:rPr>
            <w:noProof/>
            <w:webHidden/>
          </w:rPr>
          <w:t>116</w:t>
        </w:r>
        <w:r>
          <w:rPr>
            <w:noProof/>
            <w:webHidden/>
          </w:rPr>
          <w:fldChar w:fldCharType="end"/>
        </w:r>
      </w:hyperlink>
    </w:p>
    <w:p w14:paraId="4437FD00" w14:textId="1A630CAE">
      <w:pPr>
        <w:pStyle w:val="TJ3"/>
        <w:rPr>
          <w:rFonts w:asciiTheme="minorHAnsi" w:hAnsiTheme="minorHAnsi" w:cstheme="minorBidi"/>
          <w:noProof/>
          <w:sz w:val="24"/>
          <w:szCs w:val="21"/>
          <w:lang w:eastAsia="en-GB" w:bidi="sa-IN"/>
        </w:rPr>
      </w:pPr>
      <w:hyperlink w:anchor="_Toc243922686" w:history="1">
        <w:r>
          <w:rPr>
            <w:rStyle w:val="Hiperhivatkozs"/>
            <w:noProof/>
            <w:lang w:bidi="ar-SA"/>
          </w:rPr>
          <w:t>7.2.1. Encoding tools for anomalous readings</w:t>
        </w:r>
        <w:r>
          <w:rPr>
            <w:noProof/>
            <w:webHidden/>
          </w:rPr>
          <w:tab/>
        </w:r>
        <w:r>
          <w:rPr>
            <w:noProof/>
            <w:webHidden/>
          </w:rPr>
          <w:fldChar w:fldCharType="begin"/>
        </w:r>
        <w:r>
          <w:rPr>
            <w:noProof/>
            <w:webHidden/>
          </w:rPr>
          <w:instrText xml:space="preserve"> PAGEREF _Toc243922686 \h </w:instrText>
        </w:r>
        <w:r>
          <w:rPr>
            <w:noProof/>
            <w:webHidden/>
          </w:rPr>
        </w:r>
        <w:r>
          <w:rPr>
            <w:noProof/>
            <w:webHidden/>
          </w:rPr>
          <w:fldChar w:fldCharType="separate"/>
        </w:r>
        <w:r>
          <w:rPr>
            <w:noProof/>
            <w:webHidden/>
          </w:rPr>
          <w:t>116</w:t>
        </w:r>
        <w:r>
          <w:rPr>
            <w:noProof/>
            <w:webHidden/>
          </w:rPr>
          <w:fldChar w:fldCharType="end"/>
        </w:r>
      </w:hyperlink>
    </w:p>
    <w:p w14:paraId="32F1C683" w14:textId="0789115C">
      <w:pPr>
        <w:pStyle w:val="TJ2"/>
        <w:rPr>
          <w:rFonts w:asciiTheme="minorHAnsi" w:hAnsiTheme="minorHAnsi" w:cstheme="minorBidi"/>
          <w:noProof/>
          <w:sz w:val="24"/>
          <w:szCs w:val="21"/>
          <w:lang w:eastAsia="en-GB" w:bidi="sa-IN"/>
        </w:rPr>
      </w:pPr>
      <w:hyperlink w:anchor="_Toc243922687" w:history="1">
        <w:r>
          <w:rPr>
            <w:rStyle w:val="Hiperhivatkozs"/>
            <w:noProof/>
            <w:lang w:bidi="ar-SA"/>
          </w:rPr>
          <w:t>7.3. Ignoring anomalous readings</w:t>
        </w:r>
        <w:r>
          <w:rPr>
            <w:noProof/>
            <w:webHidden/>
          </w:rPr>
          <w:tab/>
        </w:r>
        <w:r>
          <w:rPr>
            <w:noProof/>
            <w:webHidden/>
          </w:rPr>
          <w:fldChar w:fldCharType="begin"/>
        </w:r>
        <w:r>
          <w:rPr>
            <w:noProof/>
            <w:webHidden/>
          </w:rPr>
          <w:instrText xml:space="preserve"> PAGEREF _Toc243922687 \h </w:instrText>
        </w:r>
        <w:r>
          <w:rPr>
            <w:noProof/>
            <w:webHidden/>
          </w:rPr>
        </w:r>
        <w:r>
          <w:rPr>
            <w:noProof/>
            <w:webHidden/>
          </w:rPr>
          <w:fldChar w:fldCharType="separate"/>
        </w:r>
        <w:r>
          <w:rPr>
            <w:noProof/>
            <w:webHidden/>
          </w:rPr>
          <w:t>117</w:t>
        </w:r>
        <w:r>
          <w:rPr>
            <w:noProof/>
            <w:webHidden/>
          </w:rPr>
          <w:fldChar w:fldCharType="end"/>
        </w:r>
      </w:hyperlink>
    </w:p>
    <w:p w14:paraId="00595D72" w14:textId="2E6D0233">
      <w:pPr>
        <w:pStyle w:val="TJ2"/>
        <w:rPr>
          <w:rFonts w:asciiTheme="minorHAnsi" w:hAnsiTheme="minorHAnsi" w:cstheme="minorBidi"/>
          <w:noProof/>
          <w:sz w:val="24"/>
          <w:szCs w:val="21"/>
          <w:lang w:eastAsia="en-GB" w:bidi="sa-IN"/>
        </w:rPr>
      </w:pPr>
      <w:hyperlink w:anchor="_Toc243922688" w:history="1">
        <w:r>
          <w:rPr>
            <w:rStyle w:val="Hiperhivatkozs"/>
            <w:noProof/>
            <w:lang w:bidi="ar-SA"/>
          </w:rPr>
          <w:t>7.4. Flagging anomalous readings</w:t>
        </w:r>
        <w:r>
          <w:rPr>
            <w:noProof/>
            <w:webHidden/>
          </w:rPr>
          <w:tab/>
        </w:r>
        <w:r>
          <w:rPr>
            <w:noProof/>
            <w:webHidden/>
          </w:rPr>
          <w:fldChar w:fldCharType="begin"/>
        </w:r>
        <w:r>
          <w:rPr>
            <w:noProof/>
            <w:webHidden/>
          </w:rPr>
          <w:instrText xml:space="preserve"> PAGEREF _Toc243922688 \h </w:instrText>
        </w:r>
        <w:r>
          <w:rPr>
            <w:noProof/>
            <w:webHidden/>
          </w:rPr>
        </w:r>
        <w:r>
          <w:rPr>
            <w:noProof/>
            <w:webHidden/>
          </w:rPr>
          <w:fldChar w:fldCharType="separate"/>
        </w:r>
        <w:r>
          <w:rPr>
            <w:noProof/>
            <w:webHidden/>
          </w:rPr>
          <w:t>118</w:t>
        </w:r>
        <w:r>
          <w:rPr>
            <w:noProof/>
            <w:webHidden/>
          </w:rPr>
          <w:fldChar w:fldCharType="end"/>
        </w:r>
      </w:hyperlink>
    </w:p>
    <w:p w14:paraId="7F628752" w14:textId="684E5FF3">
      <w:pPr>
        <w:pStyle w:val="TJ3"/>
        <w:rPr>
          <w:rFonts w:asciiTheme="minorHAnsi" w:hAnsiTheme="minorHAnsi" w:cstheme="minorBidi"/>
          <w:noProof/>
          <w:sz w:val="24"/>
          <w:szCs w:val="21"/>
          <w:lang w:eastAsia="en-GB" w:bidi="sa-IN"/>
        </w:rPr>
      </w:pPr>
      <w:hyperlink w:anchor="_Toc243922689" w:history="1">
        <w:r>
          <w:rPr>
            <w:rStyle w:val="Hiperhivatkozs"/>
            <w:noProof/>
            <w:lang w:bidi="ar-SA"/>
          </w:rPr>
          <w:t>7.4.1. Flagging erroneous and uninterpretable readings</w:t>
        </w:r>
        <w:r>
          <w:rPr>
            <w:noProof/>
            <w:webHidden/>
          </w:rPr>
          <w:tab/>
        </w:r>
        <w:r>
          <w:rPr>
            <w:noProof/>
            <w:webHidden/>
          </w:rPr>
          <w:fldChar w:fldCharType="begin"/>
        </w:r>
        <w:r>
          <w:rPr>
            <w:noProof/>
            <w:webHidden/>
          </w:rPr>
          <w:instrText xml:space="preserve"> PAGEREF _Toc243922689 \h </w:instrText>
        </w:r>
        <w:r>
          <w:rPr>
            <w:noProof/>
            <w:webHidden/>
          </w:rPr>
        </w:r>
        <w:r>
          <w:rPr>
            <w:noProof/>
            <w:webHidden/>
          </w:rPr>
          <w:fldChar w:fldCharType="separate"/>
        </w:r>
        <w:r>
          <w:rPr>
            <w:noProof/>
            <w:webHidden/>
          </w:rPr>
          <w:t>118</w:t>
        </w:r>
        <w:r>
          <w:rPr>
            <w:noProof/>
            <w:webHidden/>
          </w:rPr>
          <w:fldChar w:fldCharType="end"/>
        </w:r>
      </w:hyperlink>
    </w:p>
    <w:p w14:paraId="01EE5BBE" w14:textId="6F47753B">
      <w:pPr>
        <w:pStyle w:val="TJ3"/>
        <w:rPr>
          <w:rFonts w:asciiTheme="minorHAnsi" w:hAnsiTheme="minorHAnsi" w:cstheme="minorBidi"/>
          <w:noProof/>
          <w:sz w:val="24"/>
          <w:szCs w:val="21"/>
          <w:lang w:eastAsia="en-GB" w:bidi="sa-IN"/>
        </w:rPr>
      </w:pPr>
      <w:hyperlink w:anchor="_Toc243922690" w:history="1">
        <w:r>
          <w:rPr>
            <w:rStyle w:val="Hiperhivatkozs"/>
            <w:noProof/>
            <w:lang w:bidi="ar-SA"/>
          </w:rPr>
          <w:t>7.4.2. Flagging non-standard readings</w:t>
        </w:r>
        <w:r>
          <w:rPr>
            <w:noProof/>
            <w:webHidden/>
          </w:rPr>
          <w:tab/>
        </w:r>
        <w:r>
          <w:rPr>
            <w:noProof/>
            <w:webHidden/>
          </w:rPr>
          <w:fldChar w:fldCharType="begin"/>
        </w:r>
        <w:r>
          <w:rPr>
            <w:noProof/>
            <w:webHidden/>
          </w:rPr>
          <w:instrText xml:space="preserve"> PAGEREF _Toc243922690 \h </w:instrText>
        </w:r>
        <w:r>
          <w:rPr>
            <w:noProof/>
            <w:webHidden/>
          </w:rPr>
        </w:r>
        <w:r>
          <w:rPr>
            <w:noProof/>
            <w:webHidden/>
          </w:rPr>
          <w:fldChar w:fldCharType="separate"/>
        </w:r>
        <w:r>
          <w:rPr>
            <w:noProof/>
            <w:webHidden/>
          </w:rPr>
          <w:t>118</w:t>
        </w:r>
        <w:r>
          <w:rPr>
            <w:noProof/>
            <w:webHidden/>
          </w:rPr>
          <w:fldChar w:fldCharType="end"/>
        </w:r>
      </w:hyperlink>
    </w:p>
    <w:p w14:paraId="304228C5" w14:textId="19E4E946">
      <w:pPr>
        <w:pStyle w:val="TJ2"/>
        <w:rPr>
          <w:rFonts w:asciiTheme="minorHAnsi" w:hAnsiTheme="minorHAnsi" w:cstheme="minorBidi"/>
          <w:noProof/>
          <w:sz w:val="24"/>
          <w:szCs w:val="21"/>
          <w:lang w:eastAsia="en-GB" w:bidi="sa-IN"/>
        </w:rPr>
      </w:pPr>
      <w:hyperlink w:anchor="_Toc243922691" w:history="1">
        <w:r>
          <w:rPr>
            <w:rStyle w:val="Hiperhivatkozs"/>
            <w:noProof/>
            <w:lang w:bidi="ar-SA"/>
          </w:rPr>
          <w:t>7.5. Rectifying anomalous readings</w:t>
        </w:r>
        <w:r>
          <w:rPr>
            <w:noProof/>
            <w:webHidden/>
          </w:rPr>
          <w:tab/>
        </w:r>
        <w:r>
          <w:rPr>
            <w:noProof/>
            <w:webHidden/>
          </w:rPr>
          <w:fldChar w:fldCharType="begin"/>
        </w:r>
        <w:r>
          <w:rPr>
            <w:noProof/>
            <w:webHidden/>
          </w:rPr>
          <w:instrText xml:space="preserve"> PAGEREF _Toc243922691 \h </w:instrText>
        </w:r>
        <w:r>
          <w:rPr>
            <w:noProof/>
            <w:webHidden/>
          </w:rPr>
        </w:r>
        <w:r>
          <w:rPr>
            <w:noProof/>
            <w:webHidden/>
          </w:rPr>
          <w:fldChar w:fldCharType="separate"/>
        </w:r>
        <w:r>
          <w:rPr>
            <w:noProof/>
            <w:webHidden/>
          </w:rPr>
          <w:t>119</w:t>
        </w:r>
        <w:r>
          <w:rPr>
            <w:noProof/>
            <w:webHidden/>
          </w:rPr>
          <w:fldChar w:fldCharType="end"/>
        </w:r>
      </w:hyperlink>
    </w:p>
    <w:p w14:paraId="7522CF81" w14:textId="1258F5FA">
      <w:pPr>
        <w:pStyle w:val="TJ3"/>
        <w:rPr>
          <w:rFonts w:asciiTheme="minorHAnsi" w:hAnsiTheme="minorHAnsi" w:cstheme="minorBidi"/>
          <w:noProof/>
          <w:sz w:val="24"/>
          <w:szCs w:val="21"/>
          <w:lang w:eastAsia="en-GB" w:bidi="sa-IN"/>
        </w:rPr>
      </w:pPr>
      <w:hyperlink w:anchor="_Toc243922692" w:history="1">
        <w:r>
          <w:rPr>
            <w:rStyle w:val="Hiperhivatkozs"/>
            <w:noProof/>
            <w:lang w:bidi="ar-SA"/>
          </w:rPr>
          <w:t>7.5.1. Substitution</w:t>
        </w:r>
        <w:r>
          <w:rPr>
            <w:noProof/>
            <w:webHidden/>
          </w:rPr>
          <w:tab/>
        </w:r>
        <w:r>
          <w:rPr>
            <w:noProof/>
            <w:webHidden/>
          </w:rPr>
          <w:fldChar w:fldCharType="begin"/>
        </w:r>
        <w:r>
          <w:rPr>
            <w:noProof/>
            <w:webHidden/>
          </w:rPr>
          <w:instrText xml:space="preserve"> PAGEREF _Toc243922692 \h </w:instrText>
        </w:r>
        <w:r>
          <w:rPr>
            <w:noProof/>
            <w:webHidden/>
          </w:rPr>
        </w:r>
        <w:r>
          <w:rPr>
            <w:noProof/>
            <w:webHidden/>
          </w:rPr>
          <w:fldChar w:fldCharType="separate"/>
        </w:r>
        <w:r>
          <w:rPr>
            <w:noProof/>
            <w:webHidden/>
          </w:rPr>
          <w:t>120</w:t>
        </w:r>
        <w:r>
          <w:rPr>
            <w:noProof/>
            <w:webHidden/>
          </w:rPr>
          <w:fldChar w:fldCharType="end"/>
        </w:r>
      </w:hyperlink>
    </w:p>
    <w:p w14:paraId="537F72B6" w14:textId="51B66CB5">
      <w:pPr>
        <w:pStyle w:val="TJ3"/>
        <w:rPr>
          <w:rFonts w:asciiTheme="minorHAnsi" w:hAnsiTheme="minorHAnsi" w:cstheme="minorBidi"/>
          <w:noProof/>
          <w:sz w:val="24"/>
          <w:szCs w:val="21"/>
          <w:lang w:eastAsia="en-GB" w:bidi="sa-IN"/>
        </w:rPr>
      </w:pPr>
      <w:hyperlink w:anchor="_Toc243922693" w:history="1">
        <w:r>
          <w:rPr>
            <w:rStyle w:val="Hiperhivatkozs"/>
            <w:noProof/>
            <w:lang w:bidi="ar-SA"/>
          </w:rPr>
          <w:t>7.5.2. Suppression: editorial deletion of superfluous text</w:t>
        </w:r>
        <w:r>
          <w:rPr>
            <w:noProof/>
            <w:webHidden/>
          </w:rPr>
          <w:tab/>
        </w:r>
        <w:r>
          <w:rPr>
            <w:noProof/>
            <w:webHidden/>
          </w:rPr>
          <w:fldChar w:fldCharType="begin"/>
        </w:r>
        <w:r>
          <w:rPr>
            <w:noProof/>
            <w:webHidden/>
          </w:rPr>
          <w:instrText xml:space="preserve"> PAGEREF _Toc243922693 \h </w:instrText>
        </w:r>
        <w:r>
          <w:rPr>
            <w:noProof/>
            <w:webHidden/>
          </w:rPr>
        </w:r>
        <w:r>
          <w:rPr>
            <w:noProof/>
            <w:webHidden/>
          </w:rPr>
          <w:fldChar w:fldCharType="separate"/>
        </w:r>
        <w:r>
          <w:rPr>
            <w:noProof/>
            <w:webHidden/>
          </w:rPr>
          <w:t>121</w:t>
        </w:r>
        <w:r>
          <w:rPr>
            <w:noProof/>
            <w:webHidden/>
          </w:rPr>
          <w:fldChar w:fldCharType="end"/>
        </w:r>
      </w:hyperlink>
    </w:p>
    <w:p w14:paraId="5B608ADB" w14:textId="52425221">
      <w:pPr>
        <w:pStyle w:val="TJ3"/>
        <w:rPr>
          <w:rFonts w:asciiTheme="minorHAnsi" w:hAnsiTheme="minorHAnsi" w:cstheme="minorBidi"/>
          <w:noProof/>
          <w:sz w:val="24"/>
          <w:szCs w:val="21"/>
          <w:lang w:eastAsia="en-GB" w:bidi="sa-IN"/>
        </w:rPr>
      </w:pPr>
      <w:hyperlink w:anchor="_Toc243922694" w:history="1">
        <w:r>
          <w:rPr>
            <w:rStyle w:val="Hiperhivatkozs"/>
            <w:noProof/>
            <w:lang w:bidi="ar-SA"/>
          </w:rPr>
          <w:t>7.5.3. Restitution: editorial addition of omitted text</w:t>
        </w:r>
        <w:r>
          <w:rPr>
            <w:noProof/>
            <w:webHidden/>
          </w:rPr>
          <w:tab/>
        </w:r>
        <w:r>
          <w:rPr>
            <w:noProof/>
            <w:webHidden/>
          </w:rPr>
          <w:fldChar w:fldCharType="begin"/>
        </w:r>
        <w:r>
          <w:rPr>
            <w:noProof/>
            <w:webHidden/>
          </w:rPr>
          <w:instrText xml:space="preserve"> PAGEREF _Toc243922694 \h </w:instrText>
        </w:r>
        <w:r>
          <w:rPr>
            <w:noProof/>
            <w:webHidden/>
          </w:rPr>
        </w:r>
        <w:r>
          <w:rPr>
            <w:noProof/>
            <w:webHidden/>
          </w:rPr>
          <w:fldChar w:fldCharType="separate"/>
        </w:r>
        <w:r>
          <w:rPr>
            <w:noProof/>
            <w:webHidden/>
          </w:rPr>
          <w:t>121</w:t>
        </w:r>
        <w:r>
          <w:rPr>
            <w:noProof/>
            <w:webHidden/>
          </w:rPr>
          <w:fldChar w:fldCharType="end"/>
        </w:r>
      </w:hyperlink>
    </w:p>
    <w:p w14:paraId="21BBCC20" w14:textId="5280D3BC">
      <w:pPr>
        <w:pStyle w:val="TJ2"/>
        <w:rPr>
          <w:rFonts w:asciiTheme="minorHAnsi" w:hAnsiTheme="minorHAnsi" w:cstheme="minorBidi"/>
          <w:noProof/>
          <w:sz w:val="24"/>
          <w:szCs w:val="21"/>
          <w:lang w:eastAsia="en-GB" w:bidi="sa-IN"/>
        </w:rPr>
      </w:pPr>
      <w:hyperlink w:anchor="_Toc243922695" w:history="1">
        <w:r>
          <w:rPr>
            <w:rStyle w:val="Hiperhivatkozs"/>
            <w:noProof/>
            <w:lang w:bidi="ar-SA"/>
          </w:rPr>
          <w:t>7.6. Encoding scribal omission without editorial restoration</w:t>
        </w:r>
        <w:r>
          <w:rPr>
            <w:noProof/>
            <w:webHidden/>
          </w:rPr>
          <w:tab/>
        </w:r>
        <w:r>
          <w:rPr>
            <w:noProof/>
            <w:webHidden/>
          </w:rPr>
          <w:fldChar w:fldCharType="begin"/>
        </w:r>
        <w:r>
          <w:rPr>
            <w:noProof/>
            <w:webHidden/>
          </w:rPr>
          <w:instrText xml:space="preserve"> PAGEREF _Toc243922695 \h </w:instrText>
        </w:r>
        <w:r>
          <w:rPr>
            <w:noProof/>
            <w:webHidden/>
          </w:rPr>
        </w:r>
        <w:r>
          <w:rPr>
            <w:noProof/>
            <w:webHidden/>
          </w:rPr>
          <w:fldChar w:fldCharType="separate"/>
        </w:r>
        <w:r>
          <w:rPr>
            <w:noProof/>
            <w:webHidden/>
          </w:rPr>
          <w:t>122</w:t>
        </w:r>
        <w:r>
          <w:rPr>
            <w:noProof/>
            <w:webHidden/>
          </w:rPr>
          <w:fldChar w:fldCharType="end"/>
        </w:r>
      </w:hyperlink>
    </w:p>
    <w:p w14:paraId="3C92B5ED" w14:textId="6081E11C">
      <w:pPr>
        <w:pStyle w:val="TJ2"/>
        <w:rPr>
          <w:rFonts w:asciiTheme="minorHAnsi" w:hAnsiTheme="minorHAnsi" w:cstheme="minorBidi"/>
          <w:noProof/>
          <w:sz w:val="24"/>
          <w:szCs w:val="21"/>
          <w:lang w:eastAsia="en-GB" w:bidi="sa-IN"/>
        </w:rPr>
      </w:pPr>
      <w:hyperlink w:anchor="_Toc243922696" w:history="1">
        <w:r>
          <w:rPr>
            <w:rStyle w:val="Hiperhivatkozs"/>
            <w:noProof/>
            <w:lang w:bidi="ar-SA"/>
          </w:rPr>
          <w:t>7.7. Good practice in editorial intervention</w:t>
        </w:r>
        <w:r>
          <w:rPr>
            <w:noProof/>
            <w:webHidden/>
          </w:rPr>
          <w:tab/>
        </w:r>
        <w:r>
          <w:rPr>
            <w:noProof/>
            <w:webHidden/>
          </w:rPr>
          <w:fldChar w:fldCharType="begin"/>
        </w:r>
        <w:r>
          <w:rPr>
            <w:noProof/>
            <w:webHidden/>
          </w:rPr>
          <w:instrText xml:space="preserve"> PAGEREF _Toc243922696 \h </w:instrText>
        </w:r>
        <w:r>
          <w:rPr>
            <w:noProof/>
            <w:webHidden/>
          </w:rPr>
        </w:r>
        <w:r>
          <w:rPr>
            <w:noProof/>
            <w:webHidden/>
          </w:rPr>
          <w:fldChar w:fldCharType="separate"/>
        </w:r>
        <w:r>
          <w:rPr>
            <w:noProof/>
            <w:webHidden/>
          </w:rPr>
          <w:t>122</w:t>
        </w:r>
        <w:r>
          <w:rPr>
            <w:noProof/>
            <w:webHidden/>
          </w:rPr>
          <w:fldChar w:fldCharType="end"/>
        </w:r>
      </w:hyperlink>
    </w:p>
    <w:p w14:paraId="635A17D1" w14:textId="00C40244">
      <w:pPr>
        <w:pStyle w:val="TJ3"/>
        <w:rPr>
          <w:rFonts w:asciiTheme="minorHAnsi" w:hAnsiTheme="minorHAnsi" w:cstheme="minorBidi"/>
          <w:noProof/>
          <w:sz w:val="24"/>
          <w:szCs w:val="21"/>
          <w:lang w:eastAsia="en-GB" w:bidi="sa-IN"/>
        </w:rPr>
      </w:pPr>
      <w:hyperlink w:anchor="_Toc243922697" w:history="1">
        <w:r>
          <w:rPr>
            <w:rStyle w:val="Hiperhivatkozs"/>
            <w:noProof/>
            <w:lang w:bidi="ar-SA"/>
          </w:rPr>
          <w:t>7.7.1. Manipulating graphemes</w:t>
        </w:r>
        <w:r>
          <w:rPr>
            <w:noProof/>
            <w:webHidden/>
          </w:rPr>
          <w:tab/>
        </w:r>
        <w:r>
          <w:rPr>
            <w:noProof/>
            <w:webHidden/>
          </w:rPr>
          <w:fldChar w:fldCharType="begin"/>
        </w:r>
        <w:r>
          <w:rPr>
            <w:noProof/>
            <w:webHidden/>
          </w:rPr>
          <w:instrText xml:space="preserve"> PAGEREF _Toc243922697 \h </w:instrText>
        </w:r>
        <w:r>
          <w:rPr>
            <w:noProof/>
            <w:webHidden/>
          </w:rPr>
        </w:r>
        <w:r>
          <w:rPr>
            <w:noProof/>
            <w:webHidden/>
          </w:rPr>
          <w:fldChar w:fldCharType="separate"/>
        </w:r>
        <w:r>
          <w:rPr>
            <w:noProof/>
            <w:webHidden/>
          </w:rPr>
          <w:t>122</w:t>
        </w:r>
        <w:r>
          <w:rPr>
            <w:noProof/>
            <w:webHidden/>
          </w:rPr>
          <w:fldChar w:fldCharType="end"/>
        </w:r>
      </w:hyperlink>
    </w:p>
    <w:p w14:paraId="12509B26" w14:textId="2437AC6C">
      <w:pPr>
        <w:pStyle w:val="TJ3"/>
        <w:rPr>
          <w:rFonts w:asciiTheme="minorHAnsi" w:hAnsiTheme="minorHAnsi" w:cstheme="minorBidi"/>
          <w:noProof/>
          <w:sz w:val="24"/>
          <w:szCs w:val="21"/>
          <w:lang w:eastAsia="en-GB" w:bidi="sa-IN"/>
        </w:rPr>
      </w:pPr>
      <w:hyperlink w:anchor="_Toc243922698" w:history="1">
        <w:r>
          <w:rPr>
            <w:rStyle w:val="Hiperhivatkozs"/>
            <w:noProof/>
            <w:lang w:bidi="ar-SA"/>
          </w:rPr>
          <w:t>7.7.2. The scope of editorial intervention</w:t>
        </w:r>
        <w:r>
          <w:rPr>
            <w:noProof/>
            <w:webHidden/>
          </w:rPr>
          <w:tab/>
        </w:r>
        <w:r>
          <w:rPr>
            <w:noProof/>
            <w:webHidden/>
          </w:rPr>
          <w:fldChar w:fldCharType="begin"/>
        </w:r>
        <w:r>
          <w:rPr>
            <w:noProof/>
            <w:webHidden/>
          </w:rPr>
          <w:instrText xml:space="preserve"> PAGEREF _Toc243922698 \h </w:instrText>
        </w:r>
        <w:r>
          <w:rPr>
            <w:noProof/>
            <w:webHidden/>
          </w:rPr>
        </w:r>
        <w:r>
          <w:rPr>
            <w:noProof/>
            <w:webHidden/>
          </w:rPr>
          <w:fldChar w:fldCharType="separate"/>
        </w:r>
        <w:r>
          <w:rPr>
            <w:noProof/>
            <w:webHidden/>
          </w:rPr>
          <w:t>124</w:t>
        </w:r>
        <w:r>
          <w:rPr>
            <w:noProof/>
            <w:webHidden/>
          </w:rPr>
          <w:fldChar w:fldCharType="end"/>
        </w:r>
      </w:hyperlink>
    </w:p>
    <w:p w14:paraId="395CBBB3" w14:textId="1F651571">
      <w:pPr>
        <w:pStyle w:val="TJ3"/>
        <w:rPr>
          <w:rFonts w:asciiTheme="minorHAnsi" w:hAnsiTheme="minorHAnsi" w:cstheme="minorBidi"/>
          <w:noProof/>
          <w:sz w:val="24"/>
          <w:szCs w:val="21"/>
          <w:lang w:eastAsia="en-GB" w:bidi="sa-IN"/>
        </w:rPr>
      </w:pPr>
      <w:hyperlink w:anchor="_Toc243922699" w:history="1">
        <w:r>
          <w:rPr>
            <w:rStyle w:val="Hiperhivatkozs"/>
            <w:noProof/>
            <w:lang w:bidi="ar-SA"/>
          </w:rPr>
          <w:t>7.7.3. The precision of editorial intervention</w:t>
        </w:r>
        <w:r>
          <w:rPr>
            <w:noProof/>
            <w:webHidden/>
          </w:rPr>
          <w:tab/>
        </w:r>
        <w:r>
          <w:rPr>
            <w:noProof/>
            <w:webHidden/>
          </w:rPr>
          <w:fldChar w:fldCharType="begin"/>
        </w:r>
        <w:r>
          <w:rPr>
            <w:noProof/>
            <w:webHidden/>
          </w:rPr>
          <w:instrText xml:space="preserve"> PAGEREF _Toc243922699 \h </w:instrText>
        </w:r>
        <w:r>
          <w:rPr>
            <w:noProof/>
            <w:webHidden/>
          </w:rPr>
        </w:r>
        <w:r>
          <w:rPr>
            <w:noProof/>
            <w:webHidden/>
          </w:rPr>
          <w:fldChar w:fldCharType="separate"/>
        </w:r>
        <w:r>
          <w:rPr>
            <w:noProof/>
            <w:webHidden/>
          </w:rPr>
          <w:t>125</w:t>
        </w:r>
        <w:r>
          <w:rPr>
            <w:noProof/>
            <w:webHidden/>
          </w:rPr>
          <w:fldChar w:fldCharType="end"/>
        </w:r>
      </w:hyperlink>
    </w:p>
    <w:p w14:paraId="35999307" w14:textId="4F87046B">
      <w:pPr>
        <w:pStyle w:val="TJ3"/>
        <w:rPr>
          <w:rFonts w:asciiTheme="minorHAnsi" w:hAnsiTheme="minorHAnsi" w:cstheme="minorBidi"/>
          <w:noProof/>
          <w:sz w:val="24"/>
          <w:szCs w:val="21"/>
          <w:lang w:eastAsia="en-GB" w:bidi="sa-IN"/>
        </w:rPr>
      </w:pPr>
      <w:hyperlink w:anchor="_Toc243922700" w:history="1">
        <w:r>
          <w:rPr>
            <w:rStyle w:val="Hiperhivatkozs"/>
            <w:noProof/>
            <w:lang w:bidi="ar-SA"/>
          </w:rPr>
          <w:t>7.7.4. Editorial intervention in metrical verse</w:t>
        </w:r>
        <w:r>
          <w:rPr>
            <w:noProof/>
            <w:webHidden/>
          </w:rPr>
          <w:tab/>
        </w:r>
        <w:r>
          <w:rPr>
            <w:noProof/>
            <w:webHidden/>
          </w:rPr>
          <w:fldChar w:fldCharType="begin"/>
        </w:r>
        <w:r>
          <w:rPr>
            <w:noProof/>
            <w:webHidden/>
          </w:rPr>
          <w:instrText xml:space="preserve"> PAGEREF _Toc243922700 \h </w:instrText>
        </w:r>
        <w:r>
          <w:rPr>
            <w:noProof/>
            <w:webHidden/>
          </w:rPr>
        </w:r>
        <w:r>
          <w:rPr>
            <w:noProof/>
            <w:webHidden/>
          </w:rPr>
          <w:fldChar w:fldCharType="separate"/>
        </w:r>
        <w:r>
          <w:rPr>
            <w:noProof/>
            <w:webHidden/>
          </w:rPr>
          <w:t>126</w:t>
        </w:r>
        <w:r>
          <w:rPr>
            <w:noProof/>
            <w:webHidden/>
          </w:rPr>
          <w:fldChar w:fldCharType="end"/>
        </w:r>
      </w:hyperlink>
    </w:p>
    <w:p w14:paraId="5FAA3494" w14:textId="591CD64E">
      <w:pPr>
        <w:pStyle w:val="TJ3"/>
        <w:rPr>
          <w:rFonts w:asciiTheme="minorHAnsi" w:hAnsiTheme="minorHAnsi" w:cstheme="minorBidi"/>
          <w:noProof/>
          <w:sz w:val="24"/>
          <w:szCs w:val="21"/>
          <w:lang w:eastAsia="en-GB" w:bidi="sa-IN"/>
        </w:rPr>
      </w:pPr>
      <w:hyperlink w:anchor="_Toc243922701" w:history="1">
        <w:r>
          <w:rPr>
            <w:rStyle w:val="Hiperhivatkozs"/>
            <w:noProof/>
            <w:lang w:bidi="ar-SA"/>
          </w:rPr>
          <w:t>7.7.5. Nesting correction and normalisation</w:t>
        </w:r>
        <w:r>
          <w:rPr>
            <w:noProof/>
            <w:webHidden/>
          </w:rPr>
          <w:tab/>
        </w:r>
        <w:r>
          <w:rPr>
            <w:noProof/>
            <w:webHidden/>
          </w:rPr>
          <w:fldChar w:fldCharType="begin"/>
        </w:r>
        <w:r>
          <w:rPr>
            <w:noProof/>
            <w:webHidden/>
          </w:rPr>
          <w:instrText xml:space="preserve"> PAGEREF _Toc243922701 \h </w:instrText>
        </w:r>
        <w:r>
          <w:rPr>
            <w:noProof/>
            <w:webHidden/>
          </w:rPr>
        </w:r>
        <w:r>
          <w:rPr>
            <w:noProof/>
            <w:webHidden/>
          </w:rPr>
          <w:fldChar w:fldCharType="separate"/>
        </w:r>
        <w:r>
          <w:rPr>
            <w:noProof/>
            <w:webHidden/>
          </w:rPr>
          <w:t>128</w:t>
        </w:r>
        <w:r>
          <w:rPr>
            <w:noProof/>
            <w:webHidden/>
          </w:rPr>
          <w:fldChar w:fldCharType="end"/>
        </w:r>
      </w:hyperlink>
    </w:p>
    <w:p w14:paraId="1FB00515" w14:textId="0582DC59">
      <w:pPr>
        <w:pStyle w:val="TJ2"/>
        <w:rPr>
          <w:rFonts w:asciiTheme="minorHAnsi" w:hAnsiTheme="minorHAnsi" w:cstheme="minorBidi"/>
          <w:noProof/>
          <w:sz w:val="24"/>
          <w:szCs w:val="21"/>
          <w:lang w:eastAsia="en-GB" w:bidi="sa-IN"/>
        </w:rPr>
      </w:pPr>
      <w:hyperlink w:anchor="_Toc243922702" w:history="1">
        <w:r>
          <w:rPr>
            <w:rStyle w:val="Hiperhivatkozs"/>
            <w:noProof/>
            <w:lang w:bidi="ar-SA"/>
          </w:rPr>
          <w:t>7.8. Editorial curation</w:t>
        </w:r>
        <w:r>
          <w:rPr>
            <w:noProof/>
            <w:webHidden/>
          </w:rPr>
          <w:tab/>
        </w:r>
        <w:r>
          <w:rPr>
            <w:noProof/>
            <w:webHidden/>
          </w:rPr>
          <w:fldChar w:fldCharType="begin"/>
        </w:r>
        <w:r>
          <w:rPr>
            <w:noProof/>
            <w:webHidden/>
          </w:rPr>
          <w:instrText xml:space="preserve"> PAGEREF _Toc243922702 \h </w:instrText>
        </w:r>
        <w:r>
          <w:rPr>
            <w:noProof/>
            <w:webHidden/>
          </w:rPr>
        </w:r>
        <w:r>
          <w:rPr>
            <w:noProof/>
            <w:webHidden/>
          </w:rPr>
          <w:fldChar w:fldCharType="separate"/>
        </w:r>
        <w:r>
          <w:rPr>
            <w:noProof/>
            <w:webHidden/>
          </w:rPr>
          <w:t>129</w:t>
        </w:r>
        <w:r>
          <w:rPr>
            <w:noProof/>
            <w:webHidden/>
          </w:rPr>
          <w:fldChar w:fldCharType="end"/>
        </w:r>
      </w:hyperlink>
    </w:p>
    <w:p w14:paraId="3EBFBF03" w14:textId="6521D7DE">
      <w:pPr>
        <w:pStyle w:val="TJ3"/>
        <w:rPr>
          <w:rFonts w:asciiTheme="minorHAnsi" w:hAnsiTheme="minorHAnsi" w:cstheme="minorBidi"/>
          <w:noProof/>
          <w:sz w:val="24"/>
          <w:szCs w:val="21"/>
          <w:lang w:eastAsia="en-GB" w:bidi="sa-IN"/>
        </w:rPr>
      </w:pPr>
      <w:hyperlink w:anchor="_Toc243922703" w:history="1">
        <w:r>
          <w:rPr>
            <w:rStyle w:val="Hiperhivatkozs"/>
            <w:noProof/>
            <w:lang w:bidi="ar-SA"/>
          </w:rPr>
          <w:t>7.8.1. Editorial spacing</w:t>
        </w:r>
        <w:r>
          <w:rPr>
            <w:noProof/>
            <w:webHidden/>
          </w:rPr>
          <w:tab/>
        </w:r>
        <w:r>
          <w:rPr>
            <w:noProof/>
            <w:webHidden/>
          </w:rPr>
          <w:fldChar w:fldCharType="begin"/>
        </w:r>
        <w:r>
          <w:rPr>
            <w:noProof/>
            <w:webHidden/>
          </w:rPr>
          <w:instrText xml:space="preserve"> PAGEREF _Toc243922703 \h </w:instrText>
        </w:r>
        <w:r>
          <w:rPr>
            <w:noProof/>
            <w:webHidden/>
          </w:rPr>
        </w:r>
        <w:r>
          <w:rPr>
            <w:noProof/>
            <w:webHidden/>
          </w:rPr>
          <w:fldChar w:fldCharType="separate"/>
        </w:r>
        <w:r>
          <w:rPr>
            <w:noProof/>
            <w:webHidden/>
          </w:rPr>
          <w:t>129</w:t>
        </w:r>
        <w:r>
          <w:rPr>
            <w:noProof/>
            <w:webHidden/>
          </w:rPr>
          <w:fldChar w:fldCharType="end"/>
        </w:r>
      </w:hyperlink>
    </w:p>
    <w:p w14:paraId="5D0F9B66" w14:textId="254FC0A5">
      <w:pPr>
        <w:pStyle w:val="TJ3"/>
        <w:rPr>
          <w:rFonts w:asciiTheme="minorHAnsi" w:hAnsiTheme="minorHAnsi" w:cstheme="minorBidi"/>
          <w:noProof/>
          <w:sz w:val="24"/>
          <w:szCs w:val="21"/>
          <w:lang w:eastAsia="en-GB" w:bidi="sa-IN"/>
        </w:rPr>
      </w:pPr>
      <w:hyperlink w:anchor="_Toc243922704" w:history="1">
        <w:r>
          <w:rPr>
            <w:rStyle w:val="Hiperhivatkozs"/>
            <w:noProof/>
            <w:lang w:bidi="ar-SA"/>
          </w:rPr>
          <w:t>7.8.2. Editorial hyphenation</w:t>
        </w:r>
        <w:r>
          <w:rPr>
            <w:noProof/>
            <w:webHidden/>
          </w:rPr>
          <w:tab/>
        </w:r>
        <w:r>
          <w:rPr>
            <w:noProof/>
            <w:webHidden/>
          </w:rPr>
          <w:fldChar w:fldCharType="begin"/>
        </w:r>
        <w:r>
          <w:rPr>
            <w:noProof/>
            <w:webHidden/>
          </w:rPr>
          <w:instrText xml:space="preserve"> PAGEREF _Toc243922704 \h </w:instrText>
        </w:r>
        <w:r>
          <w:rPr>
            <w:noProof/>
            <w:webHidden/>
          </w:rPr>
        </w:r>
        <w:r>
          <w:rPr>
            <w:noProof/>
            <w:webHidden/>
          </w:rPr>
          <w:fldChar w:fldCharType="separate"/>
        </w:r>
        <w:r>
          <w:rPr>
            <w:noProof/>
            <w:webHidden/>
          </w:rPr>
          <w:t>130</w:t>
        </w:r>
        <w:r>
          <w:rPr>
            <w:noProof/>
            <w:webHidden/>
          </w:rPr>
          <w:fldChar w:fldCharType="end"/>
        </w:r>
      </w:hyperlink>
    </w:p>
    <w:p w14:paraId="3AC97292" w14:textId="75E489A3">
      <w:pPr>
        <w:pStyle w:val="TJ3"/>
        <w:rPr>
          <w:rFonts w:asciiTheme="minorHAnsi" w:hAnsiTheme="minorHAnsi" w:cstheme="minorBidi"/>
          <w:noProof/>
          <w:sz w:val="24"/>
          <w:szCs w:val="21"/>
          <w:lang w:eastAsia="en-GB" w:bidi="sa-IN"/>
        </w:rPr>
      </w:pPr>
      <w:hyperlink w:anchor="_Toc243922705" w:history="1">
        <w:r>
          <w:rPr>
            <w:rStyle w:val="Hiperhivatkozs"/>
            <w:noProof/>
            <w:lang w:bidi="ar-SA"/>
          </w:rPr>
          <w:t>7.8.3. Supplied punctuation</w:t>
        </w:r>
        <w:r>
          <w:rPr>
            <w:noProof/>
            <w:webHidden/>
          </w:rPr>
          <w:tab/>
        </w:r>
        <w:r>
          <w:rPr>
            <w:noProof/>
            <w:webHidden/>
          </w:rPr>
          <w:fldChar w:fldCharType="begin"/>
        </w:r>
        <w:r>
          <w:rPr>
            <w:noProof/>
            <w:webHidden/>
          </w:rPr>
          <w:instrText xml:space="preserve"> PAGEREF _Toc243922705 \h </w:instrText>
        </w:r>
        <w:r>
          <w:rPr>
            <w:noProof/>
            <w:webHidden/>
          </w:rPr>
        </w:r>
        <w:r>
          <w:rPr>
            <w:noProof/>
            <w:webHidden/>
          </w:rPr>
          <w:fldChar w:fldCharType="separate"/>
        </w:r>
        <w:r>
          <w:rPr>
            <w:noProof/>
            <w:webHidden/>
          </w:rPr>
          <w:t>130</w:t>
        </w:r>
        <w:r>
          <w:rPr>
            <w:noProof/>
            <w:webHidden/>
          </w:rPr>
          <w:fldChar w:fldCharType="end"/>
        </w:r>
      </w:hyperlink>
    </w:p>
    <w:p w14:paraId="5D3D0EB3" w14:textId="078BF835">
      <w:pPr>
        <w:pStyle w:val="TJ3"/>
        <w:rPr>
          <w:rFonts w:asciiTheme="minorHAnsi" w:hAnsiTheme="minorHAnsi" w:cstheme="minorBidi"/>
          <w:noProof/>
          <w:sz w:val="24"/>
          <w:szCs w:val="21"/>
          <w:lang w:eastAsia="en-GB" w:bidi="sa-IN"/>
        </w:rPr>
      </w:pPr>
      <w:hyperlink w:anchor="_Toc243922706" w:history="1">
        <w:r>
          <w:rPr>
            <w:rStyle w:val="Hiperhivatkozs"/>
            <w:noProof/>
            <w:lang w:bidi="ar-SA"/>
          </w:rPr>
          <w:t xml:space="preserve">7.8.4. Supplied </w:t>
        </w:r>
        <w:r>
          <w:rPr>
            <w:rStyle w:val="Hiperhivatkozs"/>
            <w:i/>
            <w:iCs/>
            <w:noProof/>
            <w:lang w:bidi="ar-SA"/>
          </w:rPr>
          <w:t>avagraha</w:t>
        </w:r>
        <w:r>
          <w:rPr>
            <w:noProof/>
            <w:webHidden/>
          </w:rPr>
          <w:tab/>
        </w:r>
        <w:r>
          <w:rPr>
            <w:noProof/>
            <w:webHidden/>
          </w:rPr>
          <w:fldChar w:fldCharType="begin"/>
        </w:r>
        <w:r>
          <w:rPr>
            <w:noProof/>
            <w:webHidden/>
          </w:rPr>
          <w:instrText xml:space="preserve"> PAGEREF _Toc243922706 \h </w:instrText>
        </w:r>
        <w:r>
          <w:rPr>
            <w:noProof/>
            <w:webHidden/>
          </w:rPr>
        </w:r>
        <w:r>
          <w:rPr>
            <w:noProof/>
            <w:webHidden/>
          </w:rPr>
          <w:fldChar w:fldCharType="separate"/>
        </w:r>
        <w:r>
          <w:rPr>
            <w:noProof/>
            <w:webHidden/>
          </w:rPr>
          <w:t>132</w:t>
        </w:r>
        <w:r>
          <w:rPr>
            <w:noProof/>
            <w:webHidden/>
          </w:rPr>
          <w:fldChar w:fldCharType="end"/>
        </w:r>
      </w:hyperlink>
    </w:p>
    <w:p w14:paraId="0A69C3B2" w14:textId="4C2C4D0C">
      <w:pPr>
        <w:pStyle w:val="TJ3"/>
        <w:rPr>
          <w:rFonts w:asciiTheme="minorHAnsi" w:hAnsiTheme="minorHAnsi" w:cstheme="minorBidi"/>
          <w:noProof/>
          <w:sz w:val="24"/>
          <w:szCs w:val="21"/>
          <w:lang w:eastAsia="en-GB" w:bidi="sa-IN"/>
        </w:rPr>
      </w:pPr>
      <w:hyperlink w:anchor="_Toc243922707" w:history="1">
        <w:r>
          <w:rPr>
            <w:rStyle w:val="Hiperhivatkozs"/>
            <w:noProof/>
            <w:lang w:bidi="ar-SA"/>
          </w:rPr>
          <w:t>7.8.5. Distinction of short and long e/o in Dravidian languages</w:t>
        </w:r>
        <w:r>
          <w:rPr>
            <w:noProof/>
            <w:webHidden/>
          </w:rPr>
          <w:tab/>
        </w:r>
        <w:r>
          <w:rPr>
            <w:noProof/>
            <w:webHidden/>
          </w:rPr>
          <w:fldChar w:fldCharType="begin"/>
        </w:r>
        <w:r>
          <w:rPr>
            <w:noProof/>
            <w:webHidden/>
          </w:rPr>
          <w:instrText xml:space="preserve"> PAGEREF _Toc243922707 \h </w:instrText>
        </w:r>
        <w:r>
          <w:rPr>
            <w:noProof/>
            <w:webHidden/>
          </w:rPr>
        </w:r>
        <w:r>
          <w:rPr>
            <w:noProof/>
            <w:webHidden/>
          </w:rPr>
          <w:fldChar w:fldCharType="separate"/>
        </w:r>
        <w:r>
          <w:rPr>
            <w:noProof/>
            <w:webHidden/>
          </w:rPr>
          <w:t>132</w:t>
        </w:r>
        <w:r>
          <w:rPr>
            <w:noProof/>
            <w:webHidden/>
          </w:rPr>
          <w:fldChar w:fldCharType="end"/>
        </w:r>
      </w:hyperlink>
    </w:p>
    <w:p w14:paraId="16852EE7" w14:textId="11B22474">
      <w:pPr>
        <w:pStyle w:val="TJ3"/>
        <w:rPr>
          <w:rFonts w:asciiTheme="minorHAnsi" w:hAnsiTheme="minorHAnsi" w:cstheme="minorBidi"/>
          <w:noProof/>
          <w:sz w:val="24"/>
          <w:szCs w:val="21"/>
          <w:lang w:eastAsia="en-GB" w:bidi="sa-IN"/>
        </w:rPr>
      </w:pPr>
      <w:hyperlink w:anchor="_Toc243922708" w:history="1">
        <w:r>
          <w:rPr>
            <w:rStyle w:val="Hiperhivatkozs"/>
            <w:noProof/>
            <w:lang w:bidi="ar-SA"/>
          </w:rPr>
          <w:t>7.8.6. Shortened vowels in Sanskrit loanwords</w:t>
        </w:r>
        <w:r>
          <w:rPr>
            <w:noProof/>
            <w:webHidden/>
          </w:rPr>
          <w:tab/>
        </w:r>
        <w:r>
          <w:rPr>
            <w:noProof/>
            <w:webHidden/>
          </w:rPr>
          <w:fldChar w:fldCharType="begin"/>
        </w:r>
        <w:r>
          <w:rPr>
            <w:noProof/>
            <w:webHidden/>
          </w:rPr>
          <w:instrText xml:space="preserve"> PAGEREF _Toc243922708 \h </w:instrText>
        </w:r>
        <w:r>
          <w:rPr>
            <w:noProof/>
            <w:webHidden/>
          </w:rPr>
        </w:r>
        <w:r>
          <w:rPr>
            <w:noProof/>
            <w:webHidden/>
          </w:rPr>
          <w:fldChar w:fldCharType="separate"/>
        </w:r>
        <w:r>
          <w:rPr>
            <w:noProof/>
            <w:webHidden/>
          </w:rPr>
          <w:t>133</w:t>
        </w:r>
        <w:r>
          <w:rPr>
            <w:noProof/>
            <w:webHidden/>
          </w:rPr>
          <w:fldChar w:fldCharType="end"/>
        </w:r>
      </w:hyperlink>
    </w:p>
    <w:p w14:paraId="0E64FFFB" w14:textId="338DEDF5">
      <w:pPr>
        <w:pStyle w:val="TJ2"/>
        <w:rPr>
          <w:rFonts w:asciiTheme="minorHAnsi" w:hAnsiTheme="minorHAnsi" w:cstheme="minorBidi"/>
          <w:noProof/>
          <w:sz w:val="24"/>
          <w:szCs w:val="21"/>
          <w:lang w:eastAsia="en-GB" w:bidi="sa-IN"/>
        </w:rPr>
      </w:pPr>
      <w:hyperlink w:anchor="_Toc243922709" w:history="1">
        <w:r>
          <w:rPr>
            <w:rStyle w:val="Hiperhivatkozs"/>
            <w:noProof/>
            <w:lang w:bidi="ar-SA"/>
          </w:rPr>
          <w:t>7.9. Highlighting for review</w:t>
        </w:r>
        <w:r>
          <w:rPr>
            <w:noProof/>
            <w:webHidden/>
          </w:rPr>
          <w:tab/>
        </w:r>
        <w:r>
          <w:rPr>
            <w:noProof/>
            <w:webHidden/>
          </w:rPr>
          <w:fldChar w:fldCharType="begin"/>
        </w:r>
        <w:r>
          <w:rPr>
            <w:noProof/>
            <w:webHidden/>
          </w:rPr>
          <w:instrText xml:space="preserve"> PAGEREF _Toc243922709 \h </w:instrText>
        </w:r>
        <w:r>
          <w:rPr>
            <w:noProof/>
            <w:webHidden/>
          </w:rPr>
        </w:r>
        <w:r>
          <w:rPr>
            <w:noProof/>
            <w:webHidden/>
          </w:rPr>
          <w:fldChar w:fldCharType="separate"/>
        </w:r>
        <w:r>
          <w:rPr>
            <w:noProof/>
            <w:webHidden/>
          </w:rPr>
          <w:t>133</w:t>
        </w:r>
        <w:r>
          <w:rPr>
            <w:noProof/>
            <w:webHidden/>
          </w:rPr>
          <w:fldChar w:fldCharType="end"/>
        </w:r>
      </w:hyperlink>
    </w:p>
    <w:p w14:paraId="53BCEC2A" w14:textId="6AC8EE3A">
      <w:pPr>
        <w:pStyle w:val="TJ1"/>
        <w:rPr>
          <w:rFonts w:asciiTheme="minorHAnsi" w:hAnsiTheme="minorHAnsi" w:cstheme="minorBidi"/>
          <w:b w:val="0"/>
          <w:noProof/>
          <w:sz w:val="24"/>
          <w:szCs w:val="21"/>
          <w:lang w:eastAsia="en-GB" w:bidi="sa-IN"/>
        </w:rPr>
      </w:pPr>
      <w:hyperlink w:anchor="_Toc243922710" w:history="1">
        <w:r>
          <w:rPr>
            <w:rStyle w:val="Hiperhivatkozs"/>
            <w:noProof/>
            <w:lang w:bidi="ar-SA"/>
          </w:rPr>
          <w:t>8. Language, script and visual characteristics</w:t>
        </w:r>
        <w:r>
          <w:rPr>
            <w:noProof/>
            <w:webHidden/>
          </w:rPr>
          <w:tab/>
        </w:r>
        <w:r>
          <w:rPr>
            <w:noProof/>
            <w:webHidden/>
          </w:rPr>
          <w:fldChar w:fldCharType="begin"/>
        </w:r>
        <w:r>
          <w:rPr>
            <w:noProof/>
            <w:webHidden/>
          </w:rPr>
          <w:instrText xml:space="preserve"> PAGEREF _Toc243922710 \h </w:instrText>
        </w:r>
        <w:r>
          <w:rPr>
            <w:noProof/>
            <w:webHidden/>
          </w:rPr>
        </w:r>
        <w:r>
          <w:rPr>
            <w:noProof/>
            <w:webHidden/>
          </w:rPr>
          <w:fldChar w:fldCharType="separate"/>
        </w:r>
        <w:r>
          <w:rPr>
            <w:noProof/>
            <w:webHidden/>
          </w:rPr>
          <w:t>134</w:t>
        </w:r>
        <w:r>
          <w:rPr>
            <w:noProof/>
            <w:webHidden/>
          </w:rPr>
          <w:fldChar w:fldCharType="end"/>
        </w:r>
      </w:hyperlink>
    </w:p>
    <w:p w14:paraId="11BCF901" w14:textId="6ABA858E">
      <w:pPr>
        <w:pStyle w:val="TJ2"/>
        <w:rPr>
          <w:rFonts w:asciiTheme="minorHAnsi" w:hAnsiTheme="minorHAnsi" w:cstheme="minorBidi"/>
          <w:noProof/>
          <w:sz w:val="24"/>
          <w:szCs w:val="21"/>
          <w:lang w:eastAsia="en-GB" w:bidi="sa-IN"/>
        </w:rPr>
      </w:pPr>
      <w:hyperlink w:anchor="_Toc243922711" w:history="1">
        <w:r>
          <w:rPr>
            <w:rStyle w:val="Hiperhivatkozs"/>
            <w:noProof/>
            <w:lang w:bidi="ar-SA"/>
          </w:rPr>
          <w:t>8.1. Source language</w:t>
        </w:r>
        <w:r>
          <w:rPr>
            <w:noProof/>
            <w:webHidden/>
          </w:rPr>
          <w:tab/>
        </w:r>
        <w:r>
          <w:rPr>
            <w:noProof/>
            <w:webHidden/>
          </w:rPr>
          <w:fldChar w:fldCharType="begin"/>
        </w:r>
        <w:r>
          <w:rPr>
            <w:noProof/>
            <w:webHidden/>
          </w:rPr>
          <w:instrText xml:space="preserve"> PAGEREF _Toc243922711 \h </w:instrText>
        </w:r>
        <w:r>
          <w:rPr>
            <w:noProof/>
            <w:webHidden/>
          </w:rPr>
        </w:r>
        <w:r>
          <w:rPr>
            <w:noProof/>
            <w:webHidden/>
          </w:rPr>
          <w:fldChar w:fldCharType="separate"/>
        </w:r>
        <w:r>
          <w:rPr>
            <w:noProof/>
            <w:webHidden/>
          </w:rPr>
          <w:t>134</w:t>
        </w:r>
        <w:r>
          <w:rPr>
            <w:noProof/>
            <w:webHidden/>
          </w:rPr>
          <w:fldChar w:fldCharType="end"/>
        </w:r>
      </w:hyperlink>
    </w:p>
    <w:p w14:paraId="19A94480" w14:textId="46A18804">
      <w:pPr>
        <w:pStyle w:val="TJ3"/>
        <w:rPr>
          <w:rFonts w:asciiTheme="minorHAnsi" w:hAnsiTheme="minorHAnsi" w:cstheme="minorBidi"/>
          <w:noProof/>
          <w:sz w:val="24"/>
          <w:szCs w:val="21"/>
          <w:lang w:eastAsia="en-GB" w:bidi="sa-IN"/>
        </w:rPr>
      </w:pPr>
      <w:hyperlink w:anchor="_Toc243922712" w:history="1">
        <w:r>
          <w:rPr>
            <w:rStyle w:val="Hiperhivatkozs"/>
            <w:noProof/>
            <w:lang w:bidi="ar-SA"/>
          </w:rPr>
          <w:t>8.1.1. The language of the edition</w:t>
        </w:r>
        <w:r>
          <w:rPr>
            <w:noProof/>
            <w:webHidden/>
          </w:rPr>
          <w:tab/>
        </w:r>
        <w:r>
          <w:rPr>
            <w:noProof/>
            <w:webHidden/>
          </w:rPr>
          <w:fldChar w:fldCharType="begin"/>
        </w:r>
        <w:r>
          <w:rPr>
            <w:noProof/>
            <w:webHidden/>
          </w:rPr>
          <w:instrText xml:space="preserve"> PAGEREF _Toc243922712 \h </w:instrText>
        </w:r>
        <w:r>
          <w:rPr>
            <w:noProof/>
            <w:webHidden/>
          </w:rPr>
        </w:r>
        <w:r>
          <w:rPr>
            <w:noProof/>
            <w:webHidden/>
          </w:rPr>
          <w:fldChar w:fldCharType="separate"/>
        </w:r>
        <w:r>
          <w:rPr>
            <w:noProof/>
            <w:webHidden/>
          </w:rPr>
          <w:t>134</w:t>
        </w:r>
        <w:r>
          <w:rPr>
            <w:noProof/>
            <w:webHidden/>
          </w:rPr>
          <w:fldChar w:fldCharType="end"/>
        </w:r>
      </w:hyperlink>
    </w:p>
    <w:p w14:paraId="0DB5B1A1" w14:textId="1AAD906A">
      <w:pPr>
        <w:pStyle w:val="TJ3"/>
        <w:rPr>
          <w:rFonts w:asciiTheme="minorHAnsi" w:hAnsiTheme="minorHAnsi" w:cstheme="minorBidi"/>
          <w:noProof/>
          <w:sz w:val="24"/>
          <w:szCs w:val="21"/>
          <w:lang w:eastAsia="en-GB" w:bidi="sa-IN"/>
        </w:rPr>
      </w:pPr>
      <w:hyperlink w:anchor="_Toc243922713" w:history="1">
        <w:r>
          <w:rPr>
            <w:rStyle w:val="Hiperhivatkozs"/>
            <w:noProof/>
            <w:lang w:bidi="ar-SA"/>
          </w:rPr>
          <w:t>8.1.2. Multilingual inscriptions</w:t>
        </w:r>
        <w:r>
          <w:rPr>
            <w:noProof/>
            <w:webHidden/>
          </w:rPr>
          <w:tab/>
        </w:r>
        <w:r>
          <w:rPr>
            <w:noProof/>
            <w:webHidden/>
          </w:rPr>
          <w:fldChar w:fldCharType="begin"/>
        </w:r>
        <w:r>
          <w:rPr>
            <w:noProof/>
            <w:webHidden/>
          </w:rPr>
          <w:instrText xml:space="preserve"> PAGEREF _Toc243922713 \h </w:instrText>
        </w:r>
        <w:r>
          <w:rPr>
            <w:noProof/>
            <w:webHidden/>
          </w:rPr>
        </w:r>
        <w:r>
          <w:rPr>
            <w:noProof/>
            <w:webHidden/>
          </w:rPr>
          <w:fldChar w:fldCharType="separate"/>
        </w:r>
        <w:r>
          <w:rPr>
            <w:noProof/>
            <w:webHidden/>
          </w:rPr>
          <w:t>134</w:t>
        </w:r>
        <w:r>
          <w:rPr>
            <w:noProof/>
            <w:webHidden/>
          </w:rPr>
          <w:fldChar w:fldCharType="end"/>
        </w:r>
      </w:hyperlink>
    </w:p>
    <w:p w14:paraId="0E6C19C6" w14:textId="3A4B4F12">
      <w:pPr>
        <w:pStyle w:val="TJ2"/>
        <w:rPr>
          <w:rFonts w:asciiTheme="minorHAnsi" w:hAnsiTheme="minorHAnsi" w:cstheme="minorBidi"/>
          <w:noProof/>
          <w:sz w:val="24"/>
          <w:szCs w:val="21"/>
          <w:lang w:eastAsia="en-GB" w:bidi="sa-IN"/>
        </w:rPr>
      </w:pPr>
      <w:hyperlink w:anchor="_Toc243922714" w:history="1">
        <w:r>
          <w:rPr>
            <w:rStyle w:val="Hiperhivatkozs"/>
            <w:noProof/>
            <w:lang w:bidi="ar-SA"/>
          </w:rPr>
          <w:t>8.2. Script</w:t>
        </w:r>
        <w:r>
          <w:rPr>
            <w:noProof/>
            <w:webHidden/>
          </w:rPr>
          <w:tab/>
        </w:r>
        <w:r>
          <w:rPr>
            <w:noProof/>
            <w:webHidden/>
          </w:rPr>
          <w:fldChar w:fldCharType="begin"/>
        </w:r>
        <w:r>
          <w:rPr>
            <w:noProof/>
            <w:webHidden/>
          </w:rPr>
          <w:instrText xml:space="preserve"> PAGEREF _Toc243922714 \h </w:instrText>
        </w:r>
        <w:r>
          <w:rPr>
            <w:noProof/>
            <w:webHidden/>
          </w:rPr>
        </w:r>
        <w:r>
          <w:rPr>
            <w:noProof/>
            <w:webHidden/>
          </w:rPr>
          <w:fldChar w:fldCharType="separate"/>
        </w:r>
        <w:r>
          <w:rPr>
            <w:noProof/>
            <w:webHidden/>
          </w:rPr>
          <w:t>135</w:t>
        </w:r>
        <w:r>
          <w:rPr>
            <w:noProof/>
            <w:webHidden/>
          </w:rPr>
          <w:fldChar w:fldCharType="end"/>
        </w:r>
      </w:hyperlink>
    </w:p>
    <w:p w14:paraId="642581D1" w14:textId="0C9BADD2">
      <w:pPr>
        <w:pStyle w:val="TJ3"/>
        <w:rPr>
          <w:rFonts w:asciiTheme="minorHAnsi" w:hAnsiTheme="minorHAnsi" w:cstheme="minorBidi"/>
          <w:noProof/>
          <w:sz w:val="24"/>
          <w:szCs w:val="21"/>
          <w:lang w:eastAsia="en-GB" w:bidi="sa-IN"/>
        </w:rPr>
      </w:pPr>
      <w:hyperlink w:anchor="_Toc243922715" w:history="1">
        <w:r>
          <w:rPr>
            <w:rStyle w:val="Hiperhivatkozs"/>
            <w:noProof/>
            <w:lang w:bidi="ar-SA"/>
          </w:rPr>
          <w:t xml:space="preserve">8.2.1. Encoding source script with </w:t>
        </w:r>
        <w:r>
          <w:rPr>
            <w:rStyle w:val="Hiperhivatkozs"/>
            <w:rFonts w:ascii="Consolas" w:hAnsi="Consolas" w:cs="Consolas"/>
            <w:noProof/>
            <w:shd w:val="clear" w:color="auto" w:fill="F2F2F2" w:themeFill="background1" w:themeFillShade="F2"/>
            <w:lang w:bidi="ar-SA"/>
          </w:rPr>
          <w:t>@rendition</w:t>
        </w:r>
        <w:r>
          <w:rPr>
            <w:noProof/>
            <w:webHidden/>
          </w:rPr>
          <w:tab/>
        </w:r>
        <w:r>
          <w:rPr>
            <w:noProof/>
            <w:webHidden/>
          </w:rPr>
          <w:fldChar w:fldCharType="begin"/>
        </w:r>
        <w:r>
          <w:rPr>
            <w:noProof/>
            <w:webHidden/>
          </w:rPr>
          <w:instrText xml:space="preserve"> PAGEREF _Toc243922715 \h </w:instrText>
        </w:r>
        <w:r>
          <w:rPr>
            <w:noProof/>
            <w:webHidden/>
          </w:rPr>
        </w:r>
        <w:r>
          <w:rPr>
            <w:noProof/>
            <w:webHidden/>
          </w:rPr>
          <w:fldChar w:fldCharType="separate"/>
        </w:r>
        <w:r>
          <w:rPr>
            <w:noProof/>
            <w:webHidden/>
          </w:rPr>
          <w:t>135</w:t>
        </w:r>
        <w:r>
          <w:rPr>
            <w:noProof/>
            <w:webHidden/>
          </w:rPr>
          <w:fldChar w:fldCharType="end"/>
        </w:r>
      </w:hyperlink>
    </w:p>
    <w:p w14:paraId="0DF2144F" w14:textId="71B6976C">
      <w:pPr>
        <w:pStyle w:val="TJ3"/>
        <w:rPr>
          <w:rFonts w:asciiTheme="minorHAnsi" w:hAnsiTheme="minorHAnsi" w:cstheme="minorBidi"/>
          <w:noProof/>
          <w:sz w:val="24"/>
          <w:szCs w:val="21"/>
          <w:lang w:eastAsia="en-GB" w:bidi="sa-IN"/>
        </w:rPr>
      </w:pPr>
      <w:hyperlink w:anchor="_Toc243922716" w:history="1">
        <w:r>
          <w:rPr>
            <w:rStyle w:val="Hiperhivatkozs"/>
            <w:noProof/>
            <w:lang w:bidi="ar-SA"/>
          </w:rPr>
          <w:t>8.2.2. The script of the edition</w:t>
        </w:r>
        <w:r>
          <w:rPr>
            <w:noProof/>
            <w:webHidden/>
          </w:rPr>
          <w:tab/>
        </w:r>
        <w:r>
          <w:rPr>
            <w:noProof/>
            <w:webHidden/>
          </w:rPr>
          <w:fldChar w:fldCharType="begin"/>
        </w:r>
        <w:r>
          <w:rPr>
            <w:noProof/>
            <w:webHidden/>
          </w:rPr>
          <w:instrText xml:space="preserve"> PAGEREF _Toc243922716 \h </w:instrText>
        </w:r>
        <w:r>
          <w:rPr>
            <w:noProof/>
            <w:webHidden/>
          </w:rPr>
        </w:r>
        <w:r>
          <w:rPr>
            <w:noProof/>
            <w:webHidden/>
          </w:rPr>
          <w:fldChar w:fldCharType="separate"/>
        </w:r>
        <w:r>
          <w:rPr>
            <w:noProof/>
            <w:webHidden/>
          </w:rPr>
          <w:t>136</w:t>
        </w:r>
        <w:r>
          <w:rPr>
            <w:noProof/>
            <w:webHidden/>
          </w:rPr>
          <w:fldChar w:fldCharType="end"/>
        </w:r>
      </w:hyperlink>
    </w:p>
    <w:p w14:paraId="1B01C4F6" w14:textId="077B0898">
      <w:pPr>
        <w:pStyle w:val="TJ3"/>
        <w:rPr>
          <w:rFonts w:asciiTheme="minorHAnsi" w:hAnsiTheme="minorHAnsi" w:cstheme="minorBidi"/>
          <w:noProof/>
          <w:sz w:val="24"/>
          <w:szCs w:val="21"/>
          <w:lang w:eastAsia="en-GB" w:bidi="sa-IN"/>
        </w:rPr>
      </w:pPr>
      <w:hyperlink w:anchor="_Toc243922717" w:history="1">
        <w:r>
          <w:rPr>
            <w:rStyle w:val="Hiperhivatkozs"/>
            <w:noProof/>
            <w:lang w:bidi="ar-SA"/>
          </w:rPr>
          <w:t>8.2.3. Multiscript inscriptions</w:t>
        </w:r>
        <w:r>
          <w:rPr>
            <w:noProof/>
            <w:webHidden/>
          </w:rPr>
          <w:tab/>
        </w:r>
        <w:r>
          <w:rPr>
            <w:noProof/>
            <w:webHidden/>
          </w:rPr>
          <w:fldChar w:fldCharType="begin"/>
        </w:r>
        <w:r>
          <w:rPr>
            <w:noProof/>
            <w:webHidden/>
          </w:rPr>
          <w:instrText xml:space="preserve"> PAGEREF _Toc243922717 \h </w:instrText>
        </w:r>
        <w:r>
          <w:rPr>
            <w:noProof/>
            <w:webHidden/>
          </w:rPr>
        </w:r>
        <w:r>
          <w:rPr>
            <w:noProof/>
            <w:webHidden/>
          </w:rPr>
          <w:fldChar w:fldCharType="separate"/>
        </w:r>
        <w:r>
          <w:rPr>
            <w:noProof/>
            <w:webHidden/>
          </w:rPr>
          <w:t>136</w:t>
        </w:r>
        <w:r>
          <w:rPr>
            <w:noProof/>
            <w:webHidden/>
          </w:rPr>
          <w:fldChar w:fldCharType="end"/>
        </w:r>
      </w:hyperlink>
    </w:p>
    <w:p w14:paraId="2DEDD5EE" w14:textId="6931E69E">
      <w:pPr>
        <w:pStyle w:val="TJ2"/>
        <w:rPr>
          <w:rFonts w:asciiTheme="minorHAnsi" w:hAnsiTheme="minorHAnsi" w:cstheme="minorBidi"/>
          <w:noProof/>
          <w:sz w:val="24"/>
          <w:szCs w:val="21"/>
          <w:lang w:eastAsia="en-GB" w:bidi="sa-IN"/>
        </w:rPr>
      </w:pPr>
      <w:hyperlink w:anchor="_Toc243922718" w:history="1">
        <w:r>
          <w:rPr>
            <w:rStyle w:val="Hiperhivatkozs"/>
            <w:noProof/>
            <w:lang w:bidi="ar-SA"/>
          </w:rPr>
          <w:t>8.3. Scribal hands</w:t>
        </w:r>
        <w:r>
          <w:rPr>
            <w:noProof/>
            <w:webHidden/>
          </w:rPr>
          <w:tab/>
        </w:r>
        <w:r>
          <w:rPr>
            <w:noProof/>
            <w:webHidden/>
          </w:rPr>
          <w:fldChar w:fldCharType="begin"/>
        </w:r>
        <w:r>
          <w:rPr>
            <w:noProof/>
            <w:webHidden/>
          </w:rPr>
          <w:instrText xml:space="preserve"> PAGEREF _Toc243922718 \h </w:instrText>
        </w:r>
        <w:r>
          <w:rPr>
            <w:noProof/>
            <w:webHidden/>
          </w:rPr>
        </w:r>
        <w:r>
          <w:rPr>
            <w:noProof/>
            <w:webHidden/>
          </w:rPr>
          <w:fldChar w:fldCharType="separate"/>
        </w:r>
        <w:r>
          <w:rPr>
            <w:noProof/>
            <w:webHidden/>
          </w:rPr>
          <w:t>137</w:t>
        </w:r>
        <w:r>
          <w:rPr>
            <w:noProof/>
            <w:webHidden/>
          </w:rPr>
          <w:fldChar w:fldCharType="end"/>
        </w:r>
      </w:hyperlink>
    </w:p>
    <w:p w14:paraId="1834C6A8" w14:textId="6DF024DA">
      <w:pPr>
        <w:pStyle w:val="TJ2"/>
        <w:rPr>
          <w:rFonts w:asciiTheme="minorHAnsi" w:hAnsiTheme="minorHAnsi" w:cstheme="minorBidi"/>
          <w:noProof/>
          <w:sz w:val="24"/>
          <w:szCs w:val="21"/>
          <w:lang w:eastAsia="en-GB" w:bidi="sa-IN"/>
        </w:rPr>
      </w:pPr>
      <w:hyperlink w:anchor="_Toc243922719" w:history="1">
        <w:r>
          <w:rPr>
            <w:rStyle w:val="Hiperhivatkozs"/>
            <w:noProof/>
            <w:lang w:bidi="ar-SA"/>
          </w:rPr>
          <w:t>8.4. Lettering</w:t>
        </w:r>
        <w:r>
          <w:rPr>
            <w:noProof/>
            <w:webHidden/>
          </w:rPr>
          <w:tab/>
        </w:r>
        <w:r>
          <w:rPr>
            <w:noProof/>
            <w:webHidden/>
          </w:rPr>
          <w:fldChar w:fldCharType="begin"/>
        </w:r>
        <w:r>
          <w:rPr>
            <w:noProof/>
            <w:webHidden/>
          </w:rPr>
          <w:instrText xml:space="preserve"> PAGEREF _Toc243922719 \h </w:instrText>
        </w:r>
        <w:r>
          <w:rPr>
            <w:noProof/>
            <w:webHidden/>
          </w:rPr>
        </w:r>
        <w:r>
          <w:rPr>
            <w:noProof/>
            <w:webHidden/>
          </w:rPr>
          <w:fldChar w:fldCharType="separate"/>
        </w:r>
        <w:r>
          <w:rPr>
            <w:noProof/>
            <w:webHidden/>
          </w:rPr>
          <w:t>138</w:t>
        </w:r>
        <w:r>
          <w:rPr>
            <w:noProof/>
            <w:webHidden/>
          </w:rPr>
          <w:fldChar w:fldCharType="end"/>
        </w:r>
      </w:hyperlink>
    </w:p>
    <w:p w14:paraId="3BB5E18A" w14:textId="3A88D9FA">
      <w:pPr>
        <w:pStyle w:val="TJ2"/>
        <w:rPr>
          <w:rFonts w:asciiTheme="minorHAnsi" w:hAnsiTheme="minorHAnsi" w:cstheme="minorBidi"/>
          <w:noProof/>
          <w:sz w:val="24"/>
          <w:szCs w:val="21"/>
          <w:lang w:eastAsia="en-GB" w:bidi="sa-IN"/>
        </w:rPr>
      </w:pPr>
      <w:hyperlink w:anchor="_Toc243922720" w:history="1">
        <w:r>
          <w:rPr>
            <w:rStyle w:val="Hiperhivatkozs"/>
            <w:noProof/>
            <w:lang w:bidi="ar-SA"/>
          </w:rPr>
          <w:t>8.5. Line layout</w:t>
        </w:r>
        <w:r>
          <w:rPr>
            <w:noProof/>
            <w:webHidden/>
          </w:rPr>
          <w:tab/>
        </w:r>
        <w:r>
          <w:rPr>
            <w:noProof/>
            <w:webHidden/>
          </w:rPr>
          <w:fldChar w:fldCharType="begin"/>
        </w:r>
        <w:r>
          <w:rPr>
            <w:noProof/>
            <w:webHidden/>
          </w:rPr>
          <w:instrText xml:space="preserve"> PAGEREF _Toc243922720 \h </w:instrText>
        </w:r>
        <w:r>
          <w:rPr>
            <w:noProof/>
            <w:webHidden/>
          </w:rPr>
        </w:r>
        <w:r>
          <w:rPr>
            <w:noProof/>
            <w:webHidden/>
          </w:rPr>
          <w:fldChar w:fldCharType="separate"/>
        </w:r>
        <w:r>
          <w:rPr>
            <w:noProof/>
            <w:webHidden/>
          </w:rPr>
          <w:t>138</w:t>
        </w:r>
        <w:r>
          <w:rPr>
            <w:noProof/>
            <w:webHidden/>
          </w:rPr>
          <w:fldChar w:fldCharType="end"/>
        </w:r>
      </w:hyperlink>
    </w:p>
    <w:p w14:paraId="4B9A420D" w14:textId="5839BE79">
      <w:pPr>
        <w:pStyle w:val="TJ3"/>
        <w:rPr>
          <w:rFonts w:asciiTheme="minorHAnsi" w:hAnsiTheme="minorHAnsi" w:cstheme="minorBidi"/>
          <w:noProof/>
          <w:sz w:val="24"/>
          <w:szCs w:val="21"/>
          <w:lang w:eastAsia="en-GB" w:bidi="sa-IN"/>
        </w:rPr>
      </w:pPr>
      <w:hyperlink w:anchor="_Toc243922721" w:history="1">
        <w:r>
          <w:rPr>
            <w:rStyle w:val="Hiperhivatkozs"/>
            <w:noProof/>
            <w:lang w:bidi="ar-SA"/>
          </w:rPr>
          <w:t>8.5.1. Alignment</w:t>
        </w:r>
        <w:r>
          <w:rPr>
            <w:noProof/>
            <w:webHidden/>
          </w:rPr>
          <w:tab/>
        </w:r>
        <w:r>
          <w:rPr>
            <w:noProof/>
            <w:webHidden/>
          </w:rPr>
          <w:fldChar w:fldCharType="begin"/>
        </w:r>
        <w:r>
          <w:rPr>
            <w:noProof/>
            <w:webHidden/>
          </w:rPr>
          <w:instrText xml:space="preserve"> PAGEREF _Toc243922721 \h </w:instrText>
        </w:r>
        <w:r>
          <w:rPr>
            <w:noProof/>
            <w:webHidden/>
          </w:rPr>
        </w:r>
        <w:r>
          <w:rPr>
            <w:noProof/>
            <w:webHidden/>
          </w:rPr>
          <w:fldChar w:fldCharType="separate"/>
        </w:r>
        <w:r>
          <w:rPr>
            <w:noProof/>
            <w:webHidden/>
          </w:rPr>
          <w:t>138</w:t>
        </w:r>
        <w:r>
          <w:rPr>
            <w:noProof/>
            <w:webHidden/>
          </w:rPr>
          <w:fldChar w:fldCharType="end"/>
        </w:r>
      </w:hyperlink>
    </w:p>
    <w:p w14:paraId="77E4BB2B" w14:textId="371FA2B9">
      <w:pPr>
        <w:pStyle w:val="TJ3"/>
        <w:rPr>
          <w:rFonts w:asciiTheme="minorHAnsi" w:hAnsiTheme="minorHAnsi" w:cstheme="minorBidi"/>
          <w:noProof/>
          <w:sz w:val="24"/>
          <w:szCs w:val="21"/>
          <w:lang w:eastAsia="en-GB" w:bidi="sa-IN"/>
        </w:rPr>
      </w:pPr>
      <w:hyperlink w:anchor="_Toc243922722" w:history="1">
        <w:r>
          <w:rPr>
            <w:rStyle w:val="Hiperhivatkozs"/>
            <w:noProof/>
            <w:lang w:bidi="ar-SA"/>
          </w:rPr>
          <w:t>8.5.2. Directionality and orientation</w:t>
        </w:r>
        <w:r>
          <w:rPr>
            <w:noProof/>
            <w:webHidden/>
          </w:rPr>
          <w:tab/>
        </w:r>
        <w:r>
          <w:rPr>
            <w:noProof/>
            <w:webHidden/>
          </w:rPr>
          <w:fldChar w:fldCharType="begin"/>
        </w:r>
        <w:r>
          <w:rPr>
            <w:noProof/>
            <w:webHidden/>
          </w:rPr>
          <w:instrText xml:space="preserve"> PAGEREF _Toc243922722 \h </w:instrText>
        </w:r>
        <w:r>
          <w:rPr>
            <w:noProof/>
            <w:webHidden/>
          </w:rPr>
        </w:r>
        <w:r>
          <w:rPr>
            <w:noProof/>
            <w:webHidden/>
          </w:rPr>
          <w:fldChar w:fldCharType="separate"/>
        </w:r>
        <w:r>
          <w:rPr>
            <w:noProof/>
            <w:webHidden/>
          </w:rPr>
          <w:t>140</w:t>
        </w:r>
        <w:r>
          <w:rPr>
            <w:noProof/>
            <w:webHidden/>
          </w:rPr>
          <w:fldChar w:fldCharType="end"/>
        </w:r>
      </w:hyperlink>
    </w:p>
    <w:p w14:paraId="1CED67A5" w14:textId="7CC0F18A">
      <w:pPr>
        <w:pStyle w:val="TJ1"/>
        <w:rPr>
          <w:rFonts w:asciiTheme="minorHAnsi" w:hAnsiTheme="minorHAnsi" w:cstheme="minorBidi"/>
          <w:b w:val="0"/>
          <w:noProof/>
          <w:sz w:val="24"/>
          <w:szCs w:val="21"/>
          <w:lang w:eastAsia="en-GB" w:bidi="sa-IN"/>
        </w:rPr>
      </w:pPr>
      <w:hyperlink w:anchor="_Toc243922723" w:history="1">
        <w:r>
          <w:rPr>
            <w:rStyle w:val="Hiperhivatkozs"/>
            <w:noProof/>
            <w:lang w:bidi="ar-SA"/>
          </w:rPr>
          <w:t>9. Interpretive and analytical markup</w:t>
        </w:r>
        <w:r>
          <w:rPr>
            <w:noProof/>
            <w:webHidden/>
          </w:rPr>
          <w:tab/>
        </w:r>
        <w:r>
          <w:rPr>
            <w:noProof/>
            <w:webHidden/>
          </w:rPr>
          <w:fldChar w:fldCharType="begin"/>
        </w:r>
        <w:r>
          <w:rPr>
            <w:noProof/>
            <w:webHidden/>
          </w:rPr>
          <w:instrText xml:space="preserve"> PAGEREF _Toc243922723 \h </w:instrText>
        </w:r>
        <w:r>
          <w:rPr>
            <w:noProof/>
            <w:webHidden/>
          </w:rPr>
        </w:r>
        <w:r>
          <w:rPr>
            <w:noProof/>
            <w:webHidden/>
          </w:rPr>
          <w:fldChar w:fldCharType="separate"/>
        </w:r>
        <w:r>
          <w:rPr>
            <w:noProof/>
            <w:webHidden/>
          </w:rPr>
          <w:t>141</w:t>
        </w:r>
        <w:r>
          <w:rPr>
            <w:noProof/>
            <w:webHidden/>
          </w:rPr>
          <w:fldChar w:fldCharType="end"/>
        </w:r>
      </w:hyperlink>
    </w:p>
    <w:p w14:paraId="5AADE4B4" w14:textId="2AA28345">
      <w:pPr>
        <w:pStyle w:val="TJ2"/>
        <w:rPr>
          <w:rFonts w:asciiTheme="minorHAnsi" w:hAnsiTheme="minorHAnsi" w:cstheme="minorBidi"/>
          <w:noProof/>
          <w:sz w:val="24"/>
          <w:szCs w:val="21"/>
          <w:lang w:eastAsia="en-GB" w:bidi="sa-IN"/>
        </w:rPr>
      </w:pPr>
      <w:hyperlink w:anchor="_Toc243922724" w:history="1">
        <w:r>
          <w:rPr>
            <w:rStyle w:val="Hiperhivatkozs"/>
            <w:noProof/>
            <w:lang w:bidi="ar-SA"/>
          </w:rPr>
          <w:t>9.1. Numbers</w:t>
        </w:r>
        <w:r>
          <w:rPr>
            <w:noProof/>
            <w:webHidden/>
          </w:rPr>
          <w:tab/>
        </w:r>
        <w:r>
          <w:rPr>
            <w:noProof/>
            <w:webHidden/>
          </w:rPr>
          <w:fldChar w:fldCharType="begin"/>
        </w:r>
        <w:r>
          <w:rPr>
            <w:noProof/>
            <w:webHidden/>
          </w:rPr>
          <w:instrText xml:space="preserve"> PAGEREF _Toc243922724 \h </w:instrText>
        </w:r>
        <w:r>
          <w:rPr>
            <w:noProof/>
            <w:webHidden/>
          </w:rPr>
        </w:r>
        <w:r>
          <w:rPr>
            <w:noProof/>
            <w:webHidden/>
          </w:rPr>
          <w:fldChar w:fldCharType="separate"/>
        </w:r>
        <w:r>
          <w:rPr>
            <w:noProof/>
            <w:webHidden/>
          </w:rPr>
          <w:t>141</w:t>
        </w:r>
        <w:r>
          <w:rPr>
            <w:noProof/>
            <w:webHidden/>
          </w:rPr>
          <w:fldChar w:fldCharType="end"/>
        </w:r>
      </w:hyperlink>
    </w:p>
    <w:p w14:paraId="5C2BBD55" w14:textId="11E4254C">
      <w:pPr>
        <w:pStyle w:val="TJ3"/>
        <w:rPr>
          <w:rFonts w:asciiTheme="minorHAnsi" w:hAnsiTheme="minorHAnsi" w:cstheme="minorBidi"/>
          <w:noProof/>
          <w:sz w:val="24"/>
          <w:szCs w:val="21"/>
          <w:lang w:eastAsia="en-GB" w:bidi="sa-IN"/>
        </w:rPr>
      </w:pPr>
      <w:hyperlink w:anchor="_Toc243922725" w:history="1">
        <w:r>
          <w:rPr>
            <w:rStyle w:val="Hiperhivatkozs"/>
            <w:noProof/>
            <w:lang w:bidi="ar-SA"/>
          </w:rPr>
          <w:t>9.1.1. Encoding numbers</w:t>
        </w:r>
        <w:r>
          <w:rPr>
            <w:noProof/>
            <w:webHidden/>
          </w:rPr>
          <w:tab/>
        </w:r>
        <w:r>
          <w:rPr>
            <w:noProof/>
            <w:webHidden/>
          </w:rPr>
          <w:fldChar w:fldCharType="begin"/>
        </w:r>
        <w:r>
          <w:rPr>
            <w:noProof/>
            <w:webHidden/>
          </w:rPr>
          <w:instrText xml:space="preserve"> PAGEREF _Toc243922725 \h </w:instrText>
        </w:r>
        <w:r>
          <w:rPr>
            <w:noProof/>
            <w:webHidden/>
          </w:rPr>
        </w:r>
        <w:r>
          <w:rPr>
            <w:noProof/>
            <w:webHidden/>
          </w:rPr>
          <w:fldChar w:fldCharType="separate"/>
        </w:r>
        <w:r>
          <w:rPr>
            <w:noProof/>
            <w:webHidden/>
          </w:rPr>
          <w:t>141</w:t>
        </w:r>
        <w:r>
          <w:rPr>
            <w:noProof/>
            <w:webHidden/>
          </w:rPr>
          <w:fldChar w:fldCharType="end"/>
        </w:r>
      </w:hyperlink>
    </w:p>
    <w:p w14:paraId="150B4DF5" w14:textId="1DAC5A28">
      <w:pPr>
        <w:pStyle w:val="TJ3"/>
        <w:rPr>
          <w:rFonts w:asciiTheme="minorHAnsi" w:hAnsiTheme="minorHAnsi" w:cstheme="minorBidi"/>
          <w:noProof/>
          <w:sz w:val="24"/>
          <w:szCs w:val="21"/>
          <w:lang w:eastAsia="en-GB" w:bidi="sa-IN"/>
        </w:rPr>
      </w:pPr>
      <w:hyperlink w:anchor="_Toc243922726" w:history="1">
        <w:r>
          <w:rPr>
            <w:rStyle w:val="Hiperhivatkozs"/>
            <w:noProof/>
            <w:lang w:bidi="ar-SA"/>
          </w:rPr>
          <w:t>9.1.2. When and how to encode numbers</w:t>
        </w:r>
        <w:r>
          <w:rPr>
            <w:noProof/>
            <w:webHidden/>
          </w:rPr>
          <w:tab/>
        </w:r>
        <w:r>
          <w:rPr>
            <w:noProof/>
            <w:webHidden/>
          </w:rPr>
          <w:fldChar w:fldCharType="begin"/>
        </w:r>
        <w:r>
          <w:rPr>
            <w:noProof/>
            <w:webHidden/>
          </w:rPr>
          <w:instrText xml:space="preserve"> PAGEREF _Toc243922726 \h </w:instrText>
        </w:r>
        <w:r>
          <w:rPr>
            <w:noProof/>
            <w:webHidden/>
          </w:rPr>
        </w:r>
        <w:r>
          <w:rPr>
            <w:noProof/>
            <w:webHidden/>
          </w:rPr>
          <w:fldChar w:fldCharType="separate"/>
        </w:r>
        <w:r>
          <w:rPr>
            <w:noProof/>
            <w:webHidden/>
          </w:rPr>
          <w:t>141</w:t>
        </w:r>
        <w:r>
          <w:rPr>
            <w:noProof/>
            <w:webHidden/>
          </w:rPr>
          <w:fldChar w:fldCharType="end"/>
        </w:r>
      </w:hyperlink>
    </w:p>
    <w:p w14:paraId="6DBA6EF1" w14:textId="6A80D5F2">
      <w:pPr>
        <w:pStyle w:val="TJ3"/>
        <w:rPr>
          <w:rFonts w:asciiTheme="minorHAnsi" w:hAnsiTheme="minorHAnsi" w:cstheme="minorBidi"/>
          <w:noProof/>
          <w:sz w:val="24"/>
          <w:szCs w:val="21"/>
          <w:lang w:eastAsia="en-GB" w:bidi="sa-IN"/>
        </w:rPr>
      </w:pPr>
      <w:hyperlink w:anchor="_Toc243922727" w:history="1">
        <w:r>
          <w:rPr>
            <w:rStyle w:val="Hiperhivatkozs"/>
            <w:noProof/>
            <w:lang w:bidi="ar-SA"/>
          </w:rPr>
          <w:t>9.1.3. Difficulties in reading numbers</w:t>
        </w:r>
        <w:r>
          <w:rPr>
            <w:noProof/>
            <w:webHidden/>
          </w:rPr>
          <w:tab/>
        </w:r>
        <w:r>
          <w:rPr>
            <w:noProof/>
            <w:webHidden/>
          </w:rPr>
          <w:fldChar w:fldCharType="begin"/>
        </w:r>
        <w:r>
          <w:rPr>
            <w:noProof/>
            <w:webHidden/>
          </w:rPr>
          <w:instrText xml:space="preserve"> PAGEREF _Toc243922727 \h </w:instrText>
        </w:r>
        <w:r>
          <w:rPr>
            <w:noProof/>
            <w:webHidden/>
          </w:rPr>
        </w:r>
        <w:r>
          <w:rPr>
            <w:noProof/>
            <w:webHidden/>
          </w:rPr>
          <w:fldChar w:fldCharType="separate"/>
        </w:r>
        <w:r>
          <w:rPr>
            <w:noProof/>
            <w:webHidden/>
          </w:rPr>
          <w:t>143</w:t>
        </w:r>
        <w:r>
          <w:rPr>
            <w:noProof/>
            <w:webHidden/>
          </w:rPr>
          <w:fldChar w:fldCharType="end"/>
        </w:r>
      </w:hyperlink>
    </w:p>
    <w:p w14:paraId="243F0392" w14:textId="6FC86BFD">
      <w:pPr>
        <w:pStyle w:val="TJ3"/>
        <w:rPr>
          <w:rFonts w:asciiTheme="minorHAnsi" w:hAnsiTheme="minorHAnsi" w:cstheme="minorBidi"/>
          <w:noProof/>
          <w:sz w:val="24"/>
          <w:szCs w:val="21"/>
          <w:lang w:eastAsia="en-GB" w:bidi="sa-IN"/>
        </w:rPr>
      </w:pPr>
      <w:hyperlink w:anchor="_Toc243922728" w:history="1">
        <w:r>
          <w:rPr>
            <w:rStyle w:val="Hiperhivatkozs"/>
            <w:noProof/>
            <w:lang w:bidi="ar-SA"/>
          </w:rPr>
          <w:t>9.1.4. Editorial intervention and numerals</w:t>
        </w:r>
        <w:r>
          <w:rPr>
            <w:noProof/>
            <w:webHidden/>
          </w:rPr>
          <w:tab/>
        </w:r>
        <w:r>
          <w:rPr>
            <w:noProof/>
            <w:webHidden/>
          </w:rPr>
          <w:fldChar w:fldCharType="begin"/>
        </w:r>
        <w:r>
          <w:rPr>
            <w:noProof/>
            <w:webHidden/>
          </w:rPr>
          <w:instrText xml:space="preserve"> PAGEREF _Toc243922728 \h </w:instrText>
        </w:r>
        <w:r>
          <w:rPr>
            <w:noProof/>
            <w:webHidden/>
          </w:rPr>
        </w:r>
        <w:r>
          <w:rPr>
            <w:noProof/>
            <w:webHidden/>
          </w:rPr>
          <w:fldChar w:fldCharType="separate"/>
        </w:r>
        <w:r>
          <w:rPr>
            <w:noProof/>
            <w:webHidden/>
          </w:rPr>
          <w:t>144</w:t>
        </w:r>
        <w:r>
          <w:rPr>
            <w:noProof/>
            <w:webHidden/>
          </w:rPr>
          <w:fldChar w:fldCharType="end"/>
        </w:r>
      </w:hyperlink>
    </w:p>
    <w:p w14:paraId="2078C0CC" w14:textId="1734E27F">
      <w:pPr>
        <w:pStyle w:val="TJ2"/>
        <w:rPr>
          <w:rFonts w:asciiTheme="minorHAnsi" w:hAnsiTheme="minorHAnsi" w:cstheme="minorBidi"/>
          <w:noProof/>
          <w:sz w:val="24"/>
          <w:szCs w:val="21"/>
          <w:lang w:eastAsia="en-GB" w:bidi="sa-IN"/>
        </w:rPr>
      </w:pPr>
      <w:hyperlink w:anchor="_Toc243922729" w:history="1">
        <w:r>
          <w:rPr>
            <w:rStyle w:val="Hiperhivatkozs"/>
            <w:noProof/>
            <w:lang w:bidi="ar-SA"/>
          </w:rPr>
          <w:t>9.2. Abbreviations</w:t>
        </w:r>
        <w:r>
          <w:rPr>
            <w:noProof/>
            <w:webHidden/>
          </w:rPr>
          <w:tab/>
        </w:r>
        <w:r>
          <w:rPr>
            <w:noProof/>
            <w:webHidden/>
          </w:rPr>
          <w:fldChar w:fldCharType="begin"/>
        </w:r>
        <w:r>
          <w:rPr>
            <w:noProof/>
            <w:webHidden/>
          </w:rPr>
          <w:instrText xml:space="preserve"> PAGEREF _Toc243922729 \h </w:instrText>
        </w:r>
        <w:r>
          <w:rPr>
            <w:noProof/>
            <w:webHidden/>
          </w:rPr>
        </w:r>
        <w:r>
          <w:rPr>
            <w:noProof/>
            <w:webHidden/>
          </w:rPr>
          <w:fldChar w:fldCharType="separate"/>
        </w:r>
        <w:r>
          <w:rPr>
            <w:noProof/>
            <w:webHidden/>
          </w:rPr>
          <w:t>144</w:t>
        </w:r>
        <w:r>
          <w:rPr>
            <w:noProof/>
            <w:webHidden/>
          </w:rPr>
          <w:fldChar w:fldCharType="end"/>
        </w:r>
      </w:hyperlink>
    </w:p>
    <w:p w14:paraId="538913E5" w14:textId="10E30AA3">
      <w:pPr>
        <w:pStyle w:val="TJ3"/>
        <w:rPr>
          <w:rFonts w:asciiTheme="minorHAnsi" w:hAnsiTheme="minorHAnsi" w:cstheme="minorBidi"/>
          <w:noProof/>
          <w:sz w:val="24"/>
          <w:szCs w:val="21"/>
          <w:lang w:eastAsia="en-GB" w:bidi="sa-IN"/>
        </w:rPr>
      </w:pPr>
      <w:hyperlink w:anchor="_Toc243922730" w:history="1">
        <w:r>
          <w:rPr>
            <w:rStyle w:val="Hiperhivatkozs"/>
            <w:noProof/>
            <w:lang w:bidi="ar-SA"/>
          </w:rPr>
          <w:t>9.2.1. Tagging abbreviations</w:t>
        </w:r>
        <w:r>
          <w:rPr>
            <w:noProof/>
            <w:webHidden/>
          </w:rPr>
          <w:tab/>
        </w:r>
        <w:r>
          <w:rPr>
            <w:noProof/>
            <w:webHidden/>
          </w:rPr>
          <w:fldChar w:fldCharType="begin"/>
        </w:r>
        <w:r>
          <w:rPr>
            <w:noProof/>
            <w:webHidden/>
          </w:rPr>
          <w:instrText xml:space="preserve"> PAGEREF _Toc243922730 \h </w:instrText>
        </w:r>
        <w:r>
          <w:rPr>
            <w:noProof/>
            <w:webHidden/>
          </w:rPr>
        </w:r>
        <w:r>
          <w:rPr>
            <w:noProof/>
            <w:webHidden/>
          </w:rPr>
          <w:fldChar w:fldCharType="separate"/>
        </w:r>
        <w:r>
          <w:rPr>
            <w:noProof/>
            <w:webHidden/>
          </w:rPr>
          <w:t>144</w:t>
        </w:r>
        <w:r>
          <w:rPr>
            <w:noProof/>
            <w:webHidden/>
          </w:rPr>
          <w:fldChar w:fldCharType="end"/>
        </w:r>
      </w:hyperlink>
    </w:p>
    <w:p w14:paraId="4CCD2476" w14:textId="50621979">
      <w:pPr>
        <w:pStyle w:val="TJ3"/>
        <w:rPr>
          <w:rFonts w:asciiTheme="minorHAnsi" w:hAnsiTheme="minorHAnsi" w:cstheme="minorBidi"/>
          <w:noProof/>
          <w:sz w:val="24"/>
          <w:szCs w:val="21"/>
          <w:lang w:eastAsia="en-GB" w:bidi="sa-IN"/>
        </w:rPr>
      </w:pPr>
      <w:hyperlink w:anchor="_Toc243922731" w:history="1">
        <w:r>
          <w:rPr>
            <w:rStyle w:val="Hiperhivatkozs"/>
            <w:noProof/>
            <w:lang w:bidi="ar-SA"/>
          </w:rPr>
          <w:t>9.2.2. Expanding abbreviations</w:t>
        </w:r>
        <w:r>
          <w:rPr>
            <w:noProof/>
            <w:webHidden/>
          </w:rPr>
          <w:tab/>
        </w:r>
        <w:r>
          <w:rPr>
            <w:noProof/>
            <w:webHidden/>
          </w:rPr>
          <w:fldChar w:fldCharType="begin"/>
        </w:r>
        <w:r>
          <w:rPr>
            <w:noProof/>
            <w:webHidden/>
          </w:rPr>
          <w:instrText xml:space="preserve"> PAGEREF _Toc243922731 \h </w:instrText>
        </w:r>
        <w:r>
          <w:rPr>
            <w:noProof/>
            <w:webHidden/>
          </w:rPr>
        </w:r>
        <w:r>
          <w:rPr>
            <w:noProof/>
            <w:webHidden/>
          </w:rPr>
          <w:fldChar w:fldCharType="separate"/>
        </w:r>
        <w:r>
          <w:rPr>
            <w:noProof/>
            <w:webHidden/>
          </w:rPr>
          <w:t>144</w:t>
        </w:r>
        <w:r>
          <w:rPr>
            <w:noProof/>
            <w:webHidden/>
          </w:rPr>
          <w:fldChar w:fldCharType="end"/>
        </w:r>
      </w:hyperlink>
    </w:p>
    <w:p w14:paraId="74FCAEC3" w14:textId="406B254C">
      <w:pPr>
        <w:pStyle w:val="TJ1"/>
        <w:rPr>
          <w:rFonts w:asciiTheme="minorHAnsi" w:hAnsiTheme="minorHAnsi" w:cstheme="minorBidi"/>
          <w:b w:val="0"/>
          <w:noProof/>
          <w:sz w:val="24"/>
          <w:szCs w:val="21"/>
          <w:lang w:eastAsia="en-GB" w:bidi="sa-IN"/>
        </w:rPr>
      </w:pPr>
      <w:hyperlink w:anchor="_Toc243922732" w:history="1">
        <w:r>
          <w:rPr>
            <w:rStyle w:val="Hiperhivatkozs"/>
            <w:noProof/>
            <w:lang w:bidi="ar-SA"/>
          </w:rPr>
          <w:t>10. The critical apparatus</w:t>
        </w:r>
        <w:r>
          <w:rPr>
            <w:noProof/>
            <w:webHidden/>
          </w:rPr>
          <w:tab/>
        </w:r>
        <w:r>
          <w:rPr>
            <w:noProof/>
            <w:webHidden/>
          </w:rPr>
          <w:fldChar w:fldCharType="begin"/>
        </w:r>
        <w:r>
          <w:rPr>
            <w:noProof/>
            <w:webHidden/>
          </w:rPr>
          <w:instrText xml:space="preserve"> PAGEREF _Toc243922732 \h </w:instrText>
        </w:r>
        <w:r>
          <w:rPr>
            <w:noProof/>
            <w:webHidden/>
          </w:rPr>
        </w:r>
        <w:r>
          <w:rPr>
            <w:noProof/>
            <w:webHidden/>
          </w:rPr>
          <w:fldChar w:fldCharType="separate"/>
        </w:r>
        <w:r>
          <w:rPr>
            <w:noProof/>
            <w:webHidden/>
          </w:rPr>
          <w:t>146</w:t>
        </w:r>
        <w:r>
          <w:rPr>
            <w:noProof/>
            <w:webHidden/>
          </w:rPr>
          <w:fldChar w:fldCharType="end"/>
        </w:r>
      </w:hyperlink>
    </w:p>
    <w:p w14:paraId="1CC95E43" w14:textId="552C064B">
      <w:pPr>
        <w:pStyle w:val="TJ2"/>
        <w:rPr>
          <w:rFonts w:asciiTheme="minorHAnsi" w:hAnsiTheme="minorHAnsi" w:cstheme="minorBidi"/>
          <w:noProof/>
          <w:sz w:val="24"/>
          <w:szCs w:val="21"/>
          <w:lang w:eastAsia="en-GB" w:bidi="sa-IN"/>
        </w:rPr>
      </w:pPr>
      <w:hyperlink w:anchor="_Toc243922733" w:history="1">
        <w:r>
          <w:rPr>
            <w:rStyle w:val="Hiperhivatkozs"/>
            <w:noProof/>
            <w:lang w:bidi="ar-SA"/>
          </w:rPr>
          <w:t>10.1. Encoding the critical apparatus</w:t>
        </w:r>
        <w:r>
          <w:rPr>
            <w:noProof/>
            <w:webHidden/>
          </w:rPr>
          <w:tab/>
        </w:r>
        <w:r>
          <w:rPr>
            <w:noProof/>
            <w:webHidden/>
          </w:rPr>
          <w:fldChar w:fldCharType="begin"/>
        </w:r>
        <w:r>
          <w:rPr>
            <w:noProof/>
            <w:webHidden/>
          </w:rPr>
          <w:instrText xml:space="preserve"> PAGEREF _Toc243922733 \h </w:instrText>
        </w:r>
        <w:r>
          <w:rPr>
            <w:noProof/>
            <w:webHidden/>
          </w:rPr>
        </w:r>
        <w:r>
          <w:rPr>
            <w:noProof/>
            <w:webHidden/>
          </w:rPr>
          <w:fldChar w:fldCharType="separate"/>
        </w:r>
        <w:r>
          <w:rPr>
            <w:noProof/>
            <w:webHidden/>
          </w:rPr>
          <w:t>146</w:t>
        </w:r>
        <w:r>
          <w:rPr>
            <w:noProof/>
            <w:webHidden/>
          </w:rPr>
          <w:fldChar w:fldCharType="end"/>
        </w:r>
      </w:hyperlink>
    </w:p>
    <w:p w14:paraId="7431E7B6" w14:textId="623E9762">
      <w:pPr>
        <w:pStyle w:val="TJ3"/>
        <w:rPr>
          <w:rFonts w:asciiTheme="minorHAnsi" w:hAnsiTheme="minorHAnsi" w:cstheme="minorBidi"/>
          <w:noProof/>
          <w:sz w:val="24"/>
          <w:szCs w:val="21"/>
          <w:lang w:eastAsia="en-GB" w:bidi="sa-IN"/>
        </w:rPr>
      </w:pPr>
      <w:hyperlink w:anchor="_Toc243922734" w:history="1">
        <w:r>
          <w:rPr>
            <w:rStyle w:val="Hiperhivatkozs"/>
            <w:noProof/>
            <w:lang w:bidi="ar-SA"/>
          </w:rPr>
          <w:t>10.1.1. Textpart divisions in the apparatus</w:t>
        </w:r>
        <w:r>
          <w:rPr>
            <w:noProof/>
            <w:webHidden/>
          </w:rPr>
          <w:tab/>
        </w:r>
        <w:r>
          <w:rPr>
            <w:noProof/>
            <w:webHidden/>
          </w:rPr>
          <w:fldChar w:fldCharType="begin"/>
        </w:r>
        <w:r>
          <w:rPr>
            <w:noProof/>
            <w:webHidden/>
          </w:rPr>
          <w:instrText xml:space="preserve"> PAGEREF _Toc243922734 \h </w:instrText>
        </w:r>
        <w:r>
          <w:rPr>
            <w:noProof/>
            <w:webHidden/>
          </w:rPr>
        </w:r>
        <w:r>
          <w:rPr>
            <w:noProof/>
            <w:webHidden/>
          </w:rPr>
          <w:fldChar w:fldCharType="separate"/>
        </w:r>
        <w:r>
          <w:rPr>
            <w:noProof/>
            <w:webHidden/>
          </w:rPr>
          <w:t>147</w:t>
        </w:r>
        <w:r>
          <w:rPr>
            <w:noProof/>
            <w:webHidden/>
          </w:rPr>
          <w:fldChar w:fldCharType="end"/>
        </w:r>
      </w:hyperlink>
    </w:p>
    <w:p w14:paraId="399313E0" w14:textId="0FD42988">
      <w:pPr>
        <w:pStyle w:val="TJ2"/>
        <w:rPr>
          <w:rFonts w:asciiTheme="minorHAnsi" w:hAnsiTheme="minorHAnsi" w:cstheme="minorBidi"/>
          <w:noProof/>
          <w:sz w:val="24"/>
          <w:szCs w:val="21"/>
          <w:lang w:eastAsia="en-GB" w:bidi="sa-IN"/>
        </w:rPr>
      </w:pPr>
      <w:hyperlink w:anchor="_Toc243922735" w:history="1">
        <w:r>
          <w:rPr>
            <w:rStyle w:val="Hiperhivatkozs"/>
            <w:noProof/>
            <w:lang w:bidi="ar-SA"/>
          </w:rPr>
          <w:t>10.2. Indicating location in apparatus entries</w:t>
        </w:r>
        <w:r>
          <w:rPr>
            <w:noProof/>
            <w:webHidden/>
          </w:rPr>
          <w:tab/>
        </w:r>
        <w:r>
          <w:rPr>
            <w:noProof/>
            <w:webHidden/>
          </w:rPr>
          <w:fldChar w:fldCharType="begin"/>
        </w:r>
        <w:r>
          <w:rPr>
            <w:noProof/>
            <w:webHidden/>
          </w:rPr>
          <w:instrText xml:space="preserve"> PAGEREF _Toc243922735 \h </w:instrText>
        </w:r>
        <w:r>
          <w:rPr>
            <w:noProof/>
            <w:webHidden/>
          </w:rPr>
        </w:r>
        <w:r>
          <w:rPr>
            <w:noProof/>
            <w:webHidden/>
          </w:rPr>
          <w:fldChar w:fldCharType="separate"/>
        </w:r>
        <w:r>
          <w:rPr>
            <w:noProof/>
            <w:webHidden/>
          </w:rPr>
          <w:t>148</w:t>
        </w:r>
        <w:r>
          <w:rPr>
            <w:noProof/>
            <w:webHidden/>
          </w:rPr>
          <w:fldChar w:fldCharType="end"/>
        </w:r>
      </w:hyperlink>
    </w:p>
    <w:p w14:paraId="5A6E3B6F" w14:textId="06A51D89">
      <w:pPr>
        <w:pStyle w:val="TJ2"/>
        <w:rPr>
          <w:rFonts w:asciiTheme="minorHAnsi" w:hAnsiTheme="minorHAnsi" w:cstheme="minorBidi"/>
          <w:noProof/>
          <w:sz w:val="24"/>
          <w:szCs w:val="21"/>
          <w:lang w:eastAsia="en-GB" w:bidi="sa-IN"/>
        </w:rPr>
      </w:pPr>
      <w:hyperlink w:anchor="_Toc243922736" w:history="1">
        <w:r>
          <w:rPr>
            <w:rStyle w:val="Hiperhivatkozs"/>
            <w:noProof/>
            <w:lang w:bidi="ar-SA"/>
          </w:rPr>
          <w:t>10.3. Lemmas</w:t>
        </w:r>
        <w:r>
          <w:rPr>
            <w:noProof/>
            <w:webHidden/>
          </w:rPr>
          <w:tab/>
        </w:r>
        <w:r>
          <w:rPr>
            <w:noProof/>
            <w:webHidden/>
          </w:rPr>
          <w:fldChar w:fldCharType="begin"/>
        </w:r>
        <w:r>
          <w:rPr>
            <w:noProof/>
            <w:webHidden/>
          </w:rPr>
          <w:instrText xml:space="preserve"> PAGEREF _Toc243922736 \h </w:instrText>
        </w:r>
        <w:r>
          <w:rPr>
            <w:noProof/>
            <w:webHidden/>
          </w:rPr>
        </w:r>
        <w:r>
          <w:rPr>
            <w:noProof/>
            <w:webHidden/>
          </w:rPr>
          <w:fldChar w:fldCharType="separate"/>
        </w:r>
        <w:r>
          <w:rPr>
            <w:noProof/>
            <w:webHidden/>
          </w:rPr>
          <w:t>149</w:t>
        </w:r>
        <w:r>
          <w:rPr>
            <w:noProof/>
            <w:webHidden/>
          </w:rPr>
          <w:fldChar w:fldCharType="end"/>
        </w:r>
      </w:hyperlink>
    </w:p>
    <w:p w14:paraId="51EB00F7" w14:textId="25CF385F">
      <w:pPr>
        <w:pStyle w:val="TJ3"/>
        <w:rPr>
          <w:rFonts w:asciiTheme="minorHAnsi" w:hAnsiTheme="minorHAnsi" w:cstheme="minorBidi"/>
          <w:noProof/>
          <w:sz w:val="24"/>
          <w:szCs w:val="21"/>
          <w:lang w:eastAsia="en-GB" w:bidi="sa-IN"/>
        </w:rPr>
      </w:pPr>
      <w:hyperlink w:anchor="_Toc243922737" w:history="1">
        <w:r>
          <w:rPr>
            <w:rStyle w:val="Hiperhivatkozs"/>
            <w:noProof/>
            <w:lang w:bidi="ar-SA"/>
          </w:rPr>
          <w:t>10.3.1. The extent of lemmas</w:t>
        </w:r>
        <w:r>
          <w:rPr>
            <w:noProof/>
            <w:webHidden/>
          </w:rPr>
          <w:tab/>
        </w:r>
        <w:r>
          <w:rPr>
            <w:noProof/>
            <w:webHidden/>
          </w:rPr>
          <w:fldChar w:fldCharType="begin"/>
        </w:r>
        <w:r>
          <w:rPr>
            <w:noProof/>
            <w:webHidden/>
          </w:rPr>
          <w:instrText xml:space="preserve"> PAGEREF _Toc243922737 \h </w:instrText>
        </w:r>
        <w:r>
          <w:rPr>
            <w:noProof/>
            <w:webHidden/>
          </w:rPr>
        </w:r>
        <w:r>
          <w:rPr>
            <w:noProof/>
            <w:webHidden/>
          </w:rPr>
          <w:fldChar w:fldCharType="separate"/>
        </w:r>
        <w:r>
          <w:rPr>
            <w:noProof/>
            <w:webHidden/>
          </w:rPr>
          <w:t>149</w:t>
        </w:r>
        <w:r>
          <w:rPr>
            <w:noProof/>
            <w:webHidden/>
          </w:rPr>
          <w:fldChar w:fldCharType="end"/>
        </w:r>
      </w:hyperlink>
    </w:p>
    <w:p w14:paraId="3F90F64C" w14:textId="6A54E5FD">
      <w:pPr>
        <w:pStyle w:val="TJ3"/>
        <w:rPr>
          <w:rFonts w:asciiTheme="minorHAnsi" w:hAnsiTheme="minorHAnsi" w:cstheme="minorBidi"/>
          <w:noProof/>
          <w:sz w:val="24"/>
          <w:szCs w:val="21"/>
          <w:lang w:eastAsia="en-GB" w:bidi="sa-IN"/>
        </w:rPr>
      </w:pPr>
      <w:hyperlink w:anchor="_Toc243922738" w:history="1">
        <w:r>
          <w:rPr>
            <w:rStyle w:val="Hiperhivatkozs"/>
            <w:noProof/>
            <w:lang w:bidi="ar-SA"/>
          </w:rPr>
          <w:t>10.3.2. The content of lemmas</w:t>
        </w:r>
        <w:r>
          <w:rPr>
            <w:noProof/>
            <w:webHidden/>
          </w:rPr>
          <w:tab/>
        </w:r>
        <w:r>
          <w:rPr>
            <w:noProof/>
            <w:webHidden/>
          </w:rPr>
          <w:fldChar w:fldCharType="begin"/>
        </w:r>
        <w:r>
          <w:rPr>
            <w:noProof/>
            <w:webHidden/>
          </w:rPr>
          <w:instrText xml:space="preserve"> PAGEREF _Toc243922738 \h </w:instrText>
        </w:r>
        <w:r>
          <w:rPr>
            <w:noProof/>
            <w:webHidden/>
          </w:rPr>
        </w:r>
        <w:r>
          <w:rPr>
            <w:noProof/>
            <w:webHidden/>
          </w:rPr>
          <w:fldChar w:fldCharType="separate"/>
        </w:r>
        <w:r>
          <w:rPr>
            <w:noProof/>
            <w:webHidden/>
          </w:rPr>
          <w:t>149</w:t>
        </w:r>
        <w:r>
          <w:rPr>
            <w:noProof/>
            <w:webHidden/>
          </w:rPr>
          <w:fldChar w:fldCharType="end"/>
        </w:r>
      </w:hyperlink>
    </w:p>
    <w:p w14:paraId="37459109" w14:textId="0F8C3EA4">
      <w:pPr>
        <w:pStyle w:val="TJ3"/>
        <w:rPr>
          <w:rFonts w:asciiTheme="minorHAnsi" w:hAnsiTheme="minorHAnsi" w:cstheme="minorBidi"/>
          <w:noProof/>
          <w:sz w:val="24"/>
          <w:szCs w:val="21"/>
          <w:lang w:eastAsia="en-GB" w:bidi="sa-IN"/>
        </w:rPr>
      </w:pPr>
      <w:hyperlink w:anchor="_Toc243922739" w:history="1">
        <w:r>
          <w:rPr>
            <w:rStyle w:val="Hiperhivatkozs"/>
            <w:noProof/>
            <w:lang w:bidi="ar-SA"/>
          </w:rPr>
          <w:t>10.3.3. The source of lemmas</w:t>
        </w:r>
        <w:r>
          <w:rPr>
            <w:noProof/>
            <w:webHidden/>
          </w:rPr>
          <w:tab/>
        </w:r>
        <w:r>
          <w:rPr>
            <w:noProof/>
            <w:webHidden/>
          </w:rPr>
          <w:fldChar w:fldCharType="begin"/>
        </w:r>
        <w:r>
          <w:rPr>
            <w:noProof/>
            <w:webHidden/>
          </w:rPr>
          <w:instrText xml:space="preserve"> PAGEREF _Toc243922739 \h </w:instrText>
        </w:r>
        <w:r>
          <w:rPr>
            <w:noProof/>
            <w:webHidden/>
          </w:rPr>
        </w:r>
        <w:r>
          <w:rPr>
            <w:noProof/>
            <w:webHidden/>
          </w:rPr>
          <w:fldChar w:fldCharType="separate"/>
        </w:r>
        <w:r>
          <w:rPr>
            <w:noProof/>
            <w:webHidden/>
          </w:rPr>
          <w:t>150</w:t>
        </w:r>
        <w:r>
          <w:rPr>
            <w:noProof/>
            <w:webHidden/>
          </w:rPr>
          <w:fldChar w:fldCharType="end"/>
        </w:r>
      </w:hyperlink>
    </w:p>
    <w:p w14:paraId="02D9CE6E" w14:textId="03E642A8">
      <w:pPr>
        <w:pStyle w:val="TJ2"/>
        <w:rPr>
          <w:rFonts w:asciiTheme="minorHAnsi" w:hAnsiTheme="minorHAnsi" w:cstheme="minorBidi"/>
          <w:noProof/>
          <w:sz w:val="24"/>
          <w:szCs w:val="21"/>
          <w:lang w:eastAsia="en-GB" w:bidi="sa-IN"/>
        </w:rPr>
      </w:pPr>
      <w:hyperlink w:anchor="_Toc243922740" w:history="1">
        <w:r>
          <w:rPr>
            <w:rStyle w:val="Hiperhivatkozs"/>
            <w:noProof/>
            <w:lang w:bidi="ar-SA"/>
          </w:rPr>
          <w:t>10.4. Alternative readings, restorations and emendations</w:t>
        </w:r>
        <w:r>
          <w:rPr>
            <w:noProof/>
            <w:webHidden/>
          </w:rPr>
          <w:tab/>
        </w:r>
        <w:r>
          <w:rPr>
            <w:noProof/>
            <w:webHidden/>
          </w:rPr>
          <w:fldChar w:fldCharType="begin"/>
        </w:r>
        <w:r>
          <w:rPr>
            <w:noProof/>
            <w:webHidden/>
          </w:rPr>
          <w:instrText xml:space="preserve"> PAGEREF _Toc243922740 \h </w:instrText>
        </w:r>
        <w:r>
          <w:rPr>
            <w:noProof/>
            <w:webHidden/>
          </w:rPr>
        </w:r>
        <w:r>
          <w:rPr>
            <w:noProof/>
            <w:webHidden/>
          </w:rPr>
          <w:fldChar w:fldCharType="separate"/>
        </w:r>
        <w:r>
          <w:rPr>
            <w:noProof/>
            <w:webHidden/>
          </w:rPr>
          <w:t>150</w:t>
        </w:r>
        <w:r>
          <w:rPr>
            <w:noProof/>
            <w:webHidden/>
          </w:rPr>
          <w:fldChar w:fldCharType="end"/>
        </w:r>
      </w:hyperlink>
    </w:p>
    <w:p w14:paraId="78D1025D" w14:textId="60B560C8">
      <w:pPr>
        <w:pStyle w:val="TJ3"/>
        <w:rPr>
          <w:rFonts w:asciiTheme="minorHAnsi" w:hAnsiTheme="minorHAnsi" w:cstheme="minorBidi"/>
          <w:noProof/>
          <w:sz w:val="24"/>
          <w:szCs w:val="21"/>
          <w:lang w:eastAsia="en-GB" w:bidi="sa-IN"/>
        </w:rPr>
      </w:pPr>
      <w:hyperlink w:anchor="_Toc243922741" w:history="1">
        <w:r>
          <w:rPr>
            <w:rStyle w:val="Hiperhivatkozs"/>
            <w:noProof/>
            <w:lang w:bidi="ar-SA"/>
          </w:rPr>
          <w:t>10.4.1. The extent of alternative readings</w:t>
        </w:r>
        <w:r>
          <w:rPr>
            <w:noProof/>
            <w:webHidden/>
          </w:rPr>
          <w:tab/>
        </w:r>
        <w:r>
          <w:rPr>
            <w:noProof/>
            <w:webHidden/>
          </w:rPr>
          <w:fldChar w:fldCharType="begin"/>
        </w:r>
        <w:r>
          <w:rPr>
            <w:noProof/>
            <w:webHidden/>
          </w:rPr>
          <w:instrText xml:space="preserve"> PAGEREF _Toc243922741 \h </w:instrText>
        </w:r>
        <w:r>
          <w:rPr>
            <w:noProof/>
            <w:webHidden/>
          </w:rPr>
        </w:r>
        <w:r>
          <w:rPr>
            <w:noProof/>
            <w:webHidden/>
          </w:rPr>
          <w:fldChar w:fldCharType="separate"/>
        </w:r>
        <w:r>
          <w:rPr>
            <w:noProof/>
            <w:webHidden/>
          </w:rPr>
          <w:t>150</w:t>
        </w:r>
        <w:r>
          <w:rPr>
            <w:noProof/>
            <w:webHidden/>
          </w:rPr>
          <w:fldChar w:fldCharType="end"/>
        </w:r>
      </w:hyperlink>
    </w:p>
    <w:p w14:paraId="055490AB" w14:textId="4BE5FB04">
      <w:pPr>
        <w:pStyle w:val="TJ3"/>
        <w:rPr>
          <w:rFonts w:asciiTheme="minorHAnsi" w:hAnsiTheme="minorHAnsi" w:cstheme="minorBidi"/>
          <w:noProof/>
          <w:sz w:val="24"/>
          <w:szCs w:val="21"/>
          <w:lang w:eastAsia="en-GB" w:bidi="sa-IN"/>
        </w:rPr>
      </w:pPr>
      <w:hyperlink w:anchor="_Toc243922742" w:history="1">
        <w:r>
          <w:rPr>
            <w:rStyle w:val="Hiperhivatkozs"/>
            <w:noProof/>
            <w:lang w:bidi="ar-SA"/>
          </w:rPr>
          <w:t>10.4.2. The content of alternative readings</w:t>
        </w:r>
        <w:r>
          <w:rPr>
            <w:noProof/>
            <w:webHidden/>
          </w:rPr>
          <w:tab/>
        </w:r>
        <w:r>
          <w:rPr>
            <w:noProof/>
            <w:webHidden/>
          </w:rPr>
          <w:fldChar w:fldCharType="begin"/>
        </w:r>
        <w:r>
          <w:rPr>
            <w:noProof/>
            <w:webHidden/>
          </w:rPr>
          <w:instrText xml:space="preserve"> PAGEREF _Toc243922742 \h </w:instrText>
        </w:r>
        <w:r>
          <w:rPr>
            <w:noProof/>
            <w:webHidden/>
          </w:rPr>
        </w:r>
        <w:r>
          <w:rPr>
            <w:noProof/>
            <w:webHidden/>
          </w:rPr>
          <w:fldChar w:fldCharType="separate"/>
        </w:r>
        <w:r>
          <w:rPr>
            <w:noProof/>
            <w:webHidden/>
          </w:rPr>
          <w:t>150</w:t>
        </w:r>
        <w:r>
          <w:rPr>
            <w:noProof/>
            <w:webHidden/>
          </w:rPr>
          <w:fldChar w:fldCharType="end"/>
        </w:r>
      </w:hyperlink>
    </w:p>
    <w:p w14:paraId="183EA34D" w14:textId="131C3DDF">
      <w:pPr>
        <w:pStyle w:val="TJ3"/>
        <w:rPr>
          <w:rFonts w:asciiTheme="minorHAnsi" w:hAnsiTheme="minorHAnsi" w:cstheme="minorBidi"/>
          <w:noProof/>
          <w:sz w:val="24"/>
          <w:szCs w:val="21"/>
          <w:lang w:eastAsia="en-GB" w:bidi="sa-IN"/>
        </w:rPr>
      </w:pPr>
      <w:hyperlink w:anchor="_Toc243922743" w:history="1">
        <w:r>
          <w:rPr>
            <w:rStyle w:val="Hiperhivatkozs"/>
            <w:noProof/>
            <w:lang w:bidi="ar-SA"/>
          </w:rPr>
          <w:t>10.4.3. The source of alternative readings</w:t>
        </w:r>
        <w:r>
          <w:rPr>
            <w:noProof/>
            <w:webHidden/>
          </w:rPr>
          <w:tab/>
        </w:r>
        <w:r>
          <w:rPr>
            <w:noProof/>
            <w:webHidden/>
          </w:rPr>
          <w:fldChar w:fldCharType="begin"/>
        </w:r>
        <w:r>
          <w:rPr>
            <w:noProof/>
            <w:webHidden/>
          </w:rPr>
          <w:instrText xml:space="preserve"> PAGEREF _Toc243922743 \h </w:instrText>
        </w:r>
        <w:r>
          <w:rPr>
            <w:noProof/>
            <w:webHidden/>
          </w:rPr>
        </w:r>
        <w:r>
          <w:rPr>
            <w:noProof/>
            <w:webHidden/>
          </w:rPr>
          <w:fldChar w:fldCharType="separate"/>
        </w:r>
        <w:r>
          <w:rPr>
            <w:noProof/>
            <w:webHidden/>
          </w:rPr>
          <w:t>151</w:t>
        </w:r>
        <w:r>
          <w:rPr>
            <w:noProof/>
            <w:webHidden/>
          </w:rPr>
          <w:fldChar w:fldCharType="end"/>
        </w:r>
      </w:hyperlink>
    </w:p>
    <w:p w14:paraId="360B76C6" w14:textId="32C83E38">
      <w:pPr>
        <w:pStyle w:val="TJ2"/>
        <w:rPr>
          <w:rFonts w:asciiTheme="minorHAnsi" w:hAnsiTheme="minorHAnsi" w:cstheme="minorBidi"/>
          <w:noProof/>
          <w:sz w:val="24"/>
          <w:szCs w:val="21"/>
          <w:lang w:eastAsia="en-GB" w:bidi="sa-IN"/>
        </w:rPr>
      </w:pPr>
      <w:hyperlink w:anchor="_Toc243922744" w:history="1">
        <w:r>
          <w:rPr>
            <w:rStyle w:val="Hiperhivatkozs"/>
            <w:noProof/>
            <w:lang w:bidi="ar-SA"/>
          </w:rPr>
          <w:t>10.5. Identical lemmas, identical readings</w:t>
        </w:r>
        <w:r>
          <w:rPr>
            <w:noProof/>
            <w:webHidden/>
          </w:rPr>
          <w:tab/>
        </w:r>
        <w:r>
          <w:rPr>
            <w:noProof/>
            <w:webHidden/>
          </w:rPr>
          <w:fldChar w:fldCharType="begin"/>
        </w:r>
        <w:r>
          <w:rPr>
            <w:noProof/>
            <w:webHidden/>
          </w:rPr>
          <w:instrText xml:space="preserve"> PAGEREF _Toc243922744 \h </w:instrText>
        </w:r>
        <w:r>
          <w:rPr>
            <w:noProof/>
            <w:webHidden/>
          </w:rPr>
        </w:r>
        <w:r>
          <w:rPr>
            <w:noProof/>
            <w:webHidden/>
          </w:rPr>
          <w:fldChar w:fldCharType="separate"/>
        </w:r>
        <w:r>
          <w:rPr>
            <w:noProof/>
            <w:webHidden/>
          </w:rPr>
          <w:t>151</w:t>
        </w:r>
        <w:r>
          <w:rPr>
            <w:noProof/>
            <w:webHidden/>
          </w:rPr>
          <w:fldChar w:fldCharType="end"/>
        </w:r>
      </w:hyperlink>
    </w:p>
    <w:p w14:paraId="70D84D70" w14:textId="0D23F199">
      <w:pPr>
        <w:pStyle w:val="TJ2"/>
        <w:rPr>
          <w:rFonts w:asciiTheme="minorHAnsi" w:hAnsiTheme="minorHAnsi" w:cstheme="minorBidi"/>
          <w:noProof/>
          <w:sz w:val="24"/>
          <w:szCs w:val="21"/>
          <w:lang w:eastAsia="en-GB" w:bidi="sa-IN"/>
        </w:rPr>
      </w:pPr>
      <w:hyperlink w:anchor="_Toc243922745" w:history="1">
        <w:r>
          <w:rPr>
            <w:rStyle w:val="Hiperhivatkozs"/>
            <w:noProof/>
            <w:lang w:bidi="ar-SA"/>
          </w:rPr>
          <w:t>10.6. XML markup within lemmas and readings</w:t>
        </w:r>
        <w:r>
          <w:rPr>
            <w:noProof/>
            <w:webHidden/>
          </w:rPr>
          <w:tab/>
        </w:r>
        <w:r>
          <w:rPr>
            <w:noProof/>
            <w:webHidden/>
          </w:rPr>
          <w:fldChar w:fldCharType="begin"/>
        </w:r>
        <w:r>
          <w:rPr>
            <w:noProof/>
            <w:webHidden/>
          </w:rPr>
          <w:instrText xml:space="preserve"> PAGEREF _Toc243922745 \h </w:instrText>
        </w:r>
        <w:r>
          <w:rPr>
            <w:noProof/>
            <w:webHidden/>
          </w:rPr>
        </w:r>
        <w:r>
          <w:rPr>
            <w:noProof/>
            <w:webHidden/>
          </w:rPr>
          <w:fldChar w:fldCharType="separate"/>
        </w:r>
        <w:r>
          <w:rPr>
            <w:noProof/>
            <w:webHidden/>
          </w:rPr>
          <w:t>152</w:t>
        </w:r>
        <w:r>
          <w:rPr>
            <w:noProof/>
            <w:webHidden/>
          </w:rPr>
          <w:fldChar w:fldCharType="end"/>
        </w:r>
      </w:hyperlink>
    </w:p>
    <w:p w14:paraId="351FB4C7" w14:textId="6B9E3503">
      <w:pPr>
        <w:pStyle w:val="TJ2"/>
        <w:rPr>
          <w:rFonts w:asciiTheme="minorHAnsi" w:hAnsiTheme="minorHAnsi" w:cstheme="minorBidi"/>
          <w:noProof/>
          <w:sz w:val="24"/>
          <w:szCs w:val="21"/>
          <w:lang w:eastAsia="en-GB" w:bidi="sa-IN"/>
        </w:rPr>
      </w:pPr>
      <w:hyperlink w:anchor="_Toc243922746" w:history="1">
        <w:r>
          <w:rPr>
            <w:rStyle w:val="Hiperhivatkozs"/>
            <w:noProof/>
            <w:lang w:bidi="ar-SA"/>
          </w:rPr>
          <w:t>10.7. Freeform apparatus notes</w:t>
        </w:r>
        <w:r>
          <w:rPr>
            <w:noProof/>
            <w:webHidden/>
          </w:rPr>
          <w:tab/>
        </w:r>
        <w:r>
          <w:rPr>
            <w:noProof/>
            <w:webHidden/>
          </w:rPr>
          <w:fldChar w:fldCharType="begin"/>
        </w:r>
        <w:r>
          <w:rPr>
            <w:noProof/>
            <w:webHidden/>
          </w:rPr>
          <w:instrText xml:space="preserve"> PAGEREF _Toc243922746 \h </w:instrText>
        </w:r>
        <w:r>
          <w:rPr>
            <w:noProof/>
            <w:webHidden/>
          </w:rPr>
        </w:r>
        <w:r>
          <w:rPr>
            <w:noProof/>
            <w:webHidden/>
          </w:rPr>
          <w:fldChar w:fldCharType="separate"/>
        </w:r>
        <w:r>
          <w:rPr>
            <w:noProof/>
            <w:webHidden/>
          </w:rPr>
          <w:t>153</w:t>
        </w:r>
        <w:r>
          <w:rPr>
            <w:noProof/>
            <w:webHidden/>
          </w:rPr>
          <w:fldChar w:fldCharType="end"/>
        </w:r>
      </w:hyperlink>
    </w:p>
    <w:p w14:paraId="1C671022" w14:textId="451AB65B">
      <w:pPr>
        <w:pStyle w:val="TJ1"/>
        <w:rPr>
          <w:rFonts w:asciiTheme="minorHAnsi" w:hAnsiTheme="minorHAnsi" w:cstheme="minorBidi"/>
          <w:b w:val="0"/>
          <w:noProof/>
          <w:sz w:val="24"/>
          <w:szCs w:val="21"/>
          <w:lang w:eastAsia="en-GB" w:bidi="sa-IN"/>
        </w:rPr>
      </w:pPr>
      <w:hyperlink w:anchor="_Toc243922747" w:history="1">
        <w:r>
          <w:rPr>
            <w:rStyle w:val="Hiperhivatkozs"/>
            <w:noProof/>
            <w:lang w:bidi="ar-SA"/>
          </w:rPr>
          <w:t>11. The translation</w:t>
        </w:r>
        <w:r>
          <w:rPr>
            <w:noProof/>
            <w:webHidden/>
          </w:rPr>
          <w:tab/>
        </w:r>
        <w:r>
          <w:rPr>
            <w:noProof/>
            <w:webHidden/>
          </w:rPr>
          <w:fldChar w:fldCharType="begin"/>
        </w:r>
        <w:r>
          <w:rPr>
            <w:noProof/>
            <w:webHidden/>
          </w:rPr>
          <w:instrText xml:space="preserve"> PAGEREF _Toc243922747 \h </w:instrText>
        </w:r>
        <w:r>
          <w:rPr>
            <w:noProof/>
            <w:webHidden/>
          </w:rPr>
        </w:r>
        <w:r>
          <w:rPr>
            <w:noProof/>
            <w:webHidden/>
          </w:rPr>
          <w:fldChar w:fldCharType="separate"/>
        </w:r>
        <w:r>
          <w:rPr>
            <w:noProof/>
            <w:webHidden/>
          </w:rPr>
          <w:t>154</w:t>
        </w:r>
        <w:r>
          <w:rPr>
            <w:noProof/>
            <w:webHidden/>
          </w:rPr>
          <w:fldChar w:fldCharType="end"/>
        </w:r>
      </w:hyperlink>
    </w:p>
    <w:p w14:paraId="38E2BA06" w14:textId="26569DB0">
      <w:pPr>
        <w:pStyle w:val="TJ2"/>
        <w:rPr>
          <w:rFonts w:asciiTheme="minorHAnsi" w:hAnsiTheme="minorHAnsi" w:cstheme="minorBidi"/>
          <w:noProof/>
          <w:sz w:val="24"/>
          <w:szCs w:val="21"/>
          <w:lang w:eastAsia="en-GB" w:bidi="sa-IN"/>
        </w:rPr>
      </w:pPr>
      <w:hyperlink w:anchor="_Toc243922748" w:history="1">
        <w:r>
          <w:rPr>
            <w:rStyle w:val="Hiperhivatkozs"/>
            <w:noProof/>
            <w:lang w:bidi="ar-SA"/>
          </w:rPr>
          <w:t>11.1. Encoding the translation</w:t>
        </w:r>
        <w:r>
          <w:rPr>
            <w:noProof/>
            <w:webHidden/>
          </w:rPr>
          <w:tab/>
        </w:r>
        <w:r>
          <w:rPr>
            <w:noProof/>
            <w:webHidden/>
          </w:rPr>
          <w:fldChar w:fldCharType="begin"/>
        </w:r>
        <w:r>
          <w:rPr>
            <w:noProof/>
            <w:webHidden/>
          </w:rPr>
          <w:instrText xml:space="preserve"> PAGEREF _Toc243922748 \h </w:instrText>
        </w:r>
        <w:r>
          <w:rPr>
            <w:noProof/>
            <w:webHidden/>
          </w:rPr>
        </w:r>
        <w:r>
          <w:rPr>
            <w:noProof/>
            <w:webHidden/>
          </w:rPr>
          <w:fldChar w:fldCharType="separate"/>
        </w:r>
        <w:r>
          <w:rPr>
            <w:noProof/>
            <w:webHidden/>
          </w:rPr>
          <w:t>154</w:t>
        </w:r>
        <w:r>
          <w:rPr>
            <w:noProof/>
            <w:webHidden/>
          </w:rPr>
          <w:fldChar w:fldCharType="end"/>
        </w:r>
      </w:hyperlink>
    </w:p>
    <w:p w14:paraId="6D075191" w14:textId="7435FE3D">
      <w:pPr>
        <w:pStyle w:val="TJ3"/>
        <w:rPr>
          <w:rFonts w:asciiTheme="minorHAnsi" w:hAnsiTheme="minorHAnsi" w:cstheme="minorBidi"/>
          <w:noProof/>
          <w:sz w:val="24"/>
          <w:szCs w:val="21"/>
          <w:lang w:eastAsia="en-GB" w:bidi="sa-IN"/>
        </w:rPr>
      </w:pPr>
      <w:hyperlink w:anchor="_Toc243922749" w:history="1">
        <w:r>
          <w:rPr>
            <w:rStyle w:val="Hiperhivatkozs"/>
            <w:noProof/>
            <w:lang w:bidi="ar-SA"/>
          </w:rPr>
          <w:t>11.1.1. Textpart divisions in the translation</w:t>
        </w:r>
        <w:r>
          <w:rPr>
            <w:noProof/>
            <w:webHidden/>
          </w:rPr>
          <w:tab/>
        </w:r>
        <w:r>
          <w:rPr>
            <w:noProof/>
            <w:webHidden/>
          </w:rPr>
          <w:fldChar w:fldCharType="begin"/>
        </w:r>
        <w:r>
          <w:rPr>
            <w:noProof/>
            <w:webHidden/>
          </w:rPr>
          <w:instrText xml:space="preserve"> PAGEREF _Toc243922749 \h </w:instrText>
        </w:r>
        <w:r>
          <w:rPr>
            <w:noProof/>
            <w:webHidden/>
          </w:rPr>
        </w:r>
        <w:r>
          <w:rPr>
            <w:noProof/>
            <w:webHidden/>
          </w:rPr>
          <w:fldChar w:fldCharType="separate"/>
        </w:r>
        <w:r>
          <w:rPr>
            <w:noProof/>
            <w:webHidden/>
          </w:rPr>
          <w:t>154</w:t>
        </w:r>
        <w:r>
          <w:rPr>
            <w:noProof/>
            <w:webHidden/>
          </w:rPr>
          <w:fldChar w:fldCharType="end"/>
        </w:r>
      </w:hyperlink>
    </w:p>
    <w:p w14:paraId="4CD11C44" w14:textId="54D34CB6">
      <w:pPr>
        <w:pStyle w:val="TJ3"/>
        <w:rPr>
          <w:rFonts w:asciiTheme="minorHAnsi" w:hAnsiTheme="minorHAnsi" w:cstheme="minorBidi"/>
          <w:noProof/>
          <w:sz w:val="24"/>
          <w:szCs w:val="21"/>
          <w:lang w:eastAsia="en-GB" w:bidi="sa-IN"/>
        </w:rPr>
      </w:pPr>
      <w:hyperlink w:anchor="_Toc243922750" w:history="1">
        <w:r>
          <w:rPr>
            <w:rStyle w:val="Hiperhivatkozs"/>
            <w:noProof/>
            <w:lang w:bidi="ar-SA"/>
          </w:rPr>
          <w:t>11.1.2. Crediting the author of the translation</w:t>
        </w:r>
        <w:r>
          <w:rPr>
            <w:noProof/>
            <w:webHidden/>
          </w:rPr>
          <w:tab/>
        </w:r>
        <w:r>
          <w:rPr>
            <w:noProof/>
            <w:webHidden/>
          </w:rPr>
          <w:fldChar w:fldCharType="begin"/>
        </w:r>
        <w:r>
          <w:rPr>
            <w:noProof/>
            <w:webHidden/>
          </w:rPr>
          <w:instrText xml:space="preserve"> PAGEREF _Toc243922750 \h </w:instrText>
        </w:r>
        <w:r>
          <w:rPr>
            <w:noProof/>
            <w:webHidden/>
          </w:rPr>
        </w:r>
        <w:r>
          <w:rPr>
            <w:noProof/>
            <w:webHidden/>
          </w:rPr>
          <w:fldChar w:fldCharType="separate"/>
        </w:r>
        <w:r>
          <w:rPr>
            <w:noProof/>
            <w:webHidden/>
          </w:rPr>
          <w:t>155</w:t>
        </w:r>
        <w:r>
          <w:rPr>
            <w:noProof/>
            <w:webHidden/>
          </w:rPr>
          <w:fldChar w:fldCharType="end"/>
        </w:r>
      </w:hyperlink>
    </w:p>
    <w:p w14:paraId="0D362876" w14:textId="3BDA06BC">
      <w:pPr>
        <w:pStyle w:val="TJ3"/>
        <w:rPr>
          <w:rFonts w:asciiTheme="minorHAnsi" w:hAnsiTheme="minorHAnsi" w:cstheme="minorBidi"/>
          <w:noProof/>
          <w:sz w:val="24"/>
          <w:szCs w:val="21"/>
          <w:lang w:eastAsia="en-GB" w:bidi="sa-IN"/>
        </w:rPr>
      </w:pPr>
      <w:hyperlink w:anchor="_Toc243922751" w:history="1">
        <w:r>
          <w:rPr>
            <w:rStyle w:val="Hiperhivatkozs"/>
            <w:noProof/>
            <w:lang w:bidi="ar-SA"/>
          </w:rPr>
          <w:t>11.1.3. Attaching multiple translations</w:t>
        </w:r>
        <w:r>
          <w:rPr>
            <w:noProof/>
            <w:webHidden/>
          </w:rPr>
          <w:tab/>
        </w:r>
        <w:r>
          <w:rPr>
            <w:noProof/>
            <w:webHidden/>
          </w:rPr>
          <w:fldChar w:fldCharType="begin"/>
        </w:r>
        <w:r>
          <w:rPr>
            <w:noProof/>
            <w:webHidden/>
          </w:rPr>
          <w:instrText xml:space="preserve"> PAGEREF _Toc243922751 \h </w:instrText>
        </w:r>
        <w:r>
          <w:rPr>
            <w:noProof/>
            <w:webHidden/>
          </w:rPr>
        </w:r>
        <w:r>
          <w:rPr>
            <w:noProof/>
            <w:webHidden/>
          </w:rPr>
          <w:fldChar w:fldCharType="separate"/>
        </w:r>
        <w:r>
          <w:rPr>
            <w:noProof/>
            <w:webHidden/>
          </w:rPr>
          <w:t>155</w:t>
        </w:r>
        <w:r>
          <w:rPr>
            <w:noProof/>
            <w:webHidden/>
          </w:rPr>
          <w:fldChar w:fldCharType="end"/>
        </w:r>
      </w:hyperlink>
    </w:p>
    <w:p w14:paraId="71BADC7A" w14:textId="7DFE59F2">
      <w:pPr>
        <w:pStyle w:val="TJ2"/>
        <w:rPr>
          <w:rFonts w:asciiTheme="minorHAnsi" w:hAnsiTheme="minorHAnsi" w:cstheme="minorBidi"/>
          <w:noProof/>
          <w:sz w:val="24"/>
          <w:szCs w:val="21"/>
          <w:lang w:eastAsia="en-GB" w:bidi="sa-IN"/>
        </w:rPr>
      </w:pPr>
      <w:hyperlink w:anchor="_Toc243922752" w:history="1">
        <w:r>
          <w:rPr>
            <w:rStyle w:val="Hiperhivatkozs"/>
            <w:noProof/>
            <w:lang w:bidi="ar-SA"/>
          </w:rPr>
          <w:t>11.2. Structuring the translation</w:t>
        </w:r>
        <w:r>
          <w:rPr>
            <w:noProof/>
            <w:webHidden/>
          </w:rPr>
          <w:tab/>
        </w:r>
        <w:r>
          <w:rPr>
            <w:noProof/>
            <w:webHidden/>
          </w:rPr>
          <w:fldChar w:fldCharType="begin"/>
        </w:r>
        <w:r>
          <w:rPr>
            <w:noProof/>
            <w:webHidden/>
          </w:rPr>
          <w:instrText xml:space="preserve"> PAGEREF _Toc243922752 \h </w:instrText>
        </w:r>
        <w:r>
          <w:rPr>
            <w:noProof/>
            <w:webHidden/>
          </w:rPr>
        </w:r>
        <w:r>
          <w:rPr>
            <w:noProof/>
            <w:webHidden/>
          </w:rPr>
          <w:fldChar w:fldCharType="separate"/>
        </w:r>
        <w:r>
          <w:rPr>
            <w:noProof/>
            <w:webHidden/>
          </w:rPr>
          <w:t>156</w:t>
        </w:r>
        <w:r>
          <w:rPr>
            <w:noProof/>
            <w:webHidden/>
          </w:rPr>
          <w:fldChar w:fldCharType="end"/>
        </w:r>
      </w:hyperlink>
    </w:p>
    <w:p w14:paraId="28A93B91" w14:textId="65361FB6">
      <w:pPr>
        <w:pStyle w:val="TJ3"/>
        <w:rPr>
          <w:rFonts w:asciiTheme="minorHAnsi" w:hAnsiTheme="minorHAnsi" w:cstheme="minorBidi"/>
          <w:noProof/>
          <w:sz w:val="24"/>
          <w:szCs w:val="21"/>
          <w:lang w:eastAsia="en-GB" w:bidi="sa-IN"/>
        </w:rPr>
      </w:pPr>
      <w:hyperlink w:anchor="_Toc243922753" w:history="1">
        <w:r>
          <w:rPr>
            <w:rStyle w:val="Hiperhivatkozs"/>
            <w:noProof/>
            <w:lang w:bidi="ar-SA"/>
          </w:rPr>
          <w:t>11.2.1. Reflecting extrinsic structure in the translation</w:t>
        </w:r>
        <w:r>
          <w:rPr>
            <w:noProof/>
            <w:webHidden/>
          </w:rPr>
          <w:tab/>
        </w:r>
        <w:r>
          <w:rPr>
            <w:noProof/>
            <w:webHidden/>
          </w:rPr>
          <w:fldChar w:fldCharType="begin"/>
        </w:r>
        <w:r>
          <w:rPr>
            <w:noProof/>
            <w:webHidden/>
          </w:rPr>
          <w:instrText xml:space="preserve"> PAGEREF _Toc243922753 \h </w:instrText>
        </w:r>
        <w:r>
          <w:rPr>
            <w:noProof/>
            <w:webHidden/>
          </w:rPr>
        </w:r>
        <w:r>
          <w:rPr>
            <w:noProof/>
            <w:webHidden/>
          </w:rPr>
          <w:fldChar w:fldCharType="separate"/>
        </w:r>
        <w:r>
          <w:rPr>
            <w:noProof/>
            <w:webHidden/>
          </w:rPr>
          <w:t>156</w:t>
        </w:r>
        <w:r>
          <w:rPr>
            <w:noProof/>
            <w:webHidden/>
          </w:rPr>
          <w:fldChar w:fldCharType="end"/>
        </w:r>
      </w:hyperlink>
    </w:p>
    <w:p w14:paraId="7F5EFE44" w14:textId="002C8437">
      <w:pPr>
        <w:pStyle w:val="TJ3"/>
        <w:rPr>
          <w:rFonts w:asciiTheme="minorHAnsi" w:hAnsiTheme="minorHAnsi" w:cstheme="minorBidi"/>
          <w:noProof/>
          <w:sz w:val="24"/>
          <w:szCs w:val="21"/>
          <w:lang w:eastAsia="en-GB" w:bidi="sa-IN"/>
        </w:rPr>
      </w:pPr>
      <w:hyperlink w:anchor="_Toc243922754" w:history="1">
        <w:r>
          <w:rPr>
            <w:rStyle w:val="Hiperhivatkozs"/>
            <w:noProof/>
            <w:lang w:bidi="ar-SA"/>
          </w:rPr>
          <w:t>11.2.2. Reflecting intrinsic structure in the translation</w:t>
        </w:r>
        <w:r>
          <w:rPr>
            <w:noProof/>
            <w:webHidden/>
          </w:rPr>
          <w:tab/>
        </w:r>
        <w:r>
          <w:rPr>
            <w:noProof/>
            <w:webHidden/>
          </w:rPr>
          <w:fldChar w:fldCharType="begin"/>
        </w:r>
        <w:r>
          <w:rPr>
            <w:noProof/>
            <w:webHidden/>
          </w:rPr>
          <w:instrText xml:space="preserve"> PAGEREF _Toc243922754 \h </w:instrText>
        </w:r>
        <w:r>
          <w:rPr>
            <w:noProof/>
            <w:webHidden/>
          </w:rPr>
        </w:r>
        <w:r>
          <w:rPr>
            <w:noProof/>
            <w:webHidden/>
          </w:rPr>
          <w:fldChar w:fldCharType="separate"/>
        </w:r>
        <w:r>
          <w:rPr>
            <w:noProof/>
            <w:webHidden/>
          </w:rPr>
          <w:t>156</w:t>
        </w:r>
        <w:r>
          <w:rPr>
            <w:noProof/>
            <w:webHidden/>
          </w:rPr>
          <w:fldChar w:fldCharType="end"/>
        </w:r>
      </w:hyperlink>
    </w:p>
    <w:p w14:paraId="7A4D79AD" w14:textId="0A7FE454">
      <w:pPr>
        <w:pStyle w:val="TJ3"/>
        <w:rPr>
          <w:rFonts w:asciiTheme="minorHAnsi" w:hAnsiTheme="minorHAnsi" w:cstheme="minorBidi"/>
          <w:noProof/>
          <w:sz w:val="24"/>
          <w:szCs w:val="21"/>
          <w:lang w:eastAsia="en-GB" w:bidi="sa-IN"/>
        </w:rPr>
      </w:pPr>
      <w:hyperlink w:anchor="_Toc243922755" w:history="1">
        <w:r>
          <w:rPr>
            <w:rStyle w:val="Hiperhivatkozs"/>
            <w:noProof/>
            <w:lang w:bidi="ar-SA"/>
          </w:rPr>
          <w:t>11.2.3. Headings in translations</w:t>
        </w:r>
        <w:r>
          <w:rPr>
            <w:noProof/>
            <w:webHidden/>
          </w:rPr>
          <w:tab/>
        </w:r>
        <w:r>
          <w:rPr>
            <w:noProof/>
            <w:webHidden/>
          </w:rPr>
          <w:fldChar w:fldCharType="begin"/>
        </w:r>
        <w:r>
          <w:rPr>
            <w:noProof/>
            <w:webHidden/>
          </w:rPr>
          <w:instrText xml:space="preserve"> PAGEREF _Toc243922755 \h </w:instrText>
        </w:r>
        <w:r>
          <w:rPr>
            <w:noProof/>
            <w:webHidden/>
          </w:rPr>
        </w:r>
        <w:r>
          <w:rPr>
            <w:noProof/>
            <w:webHidden/>
          </w:rPr>
          <w:fldChar w:fldCharType="separate"/>
        </w:r>
        <w:r>
          <w:rPr>
            <w:noProof/>
            <w:webHidden/>
          </w:rPr>
          <w:t>157</w:t>
        </w:r>
        <w:r>
          <w:rPr>
            <w:noProof/>
            <w:webHidden/>
          </w:rPr>
          <w:fldChar w:fldCharType="end"/>
        </w:r>
      </w:hyperlink>
    </w:p>
    <w:p w14:paraId="0941CF2C" w14:textId="7810A0CC">
      <w:pPr>
        <w:pStyle w:val="TJ2"/>
        <w:rPr>
          <w:rFonts w:asciiTheme="minorHAnsi" w:hAnsiTheme="minorHAnsi" w:cstheme="minorBidi"/>
          <w:noProof/>
          <w:sz w:val="24"/>
          <w:szCs w:val="21"/>
          <w:lang w:eastAsia="en-GB" w:bidi="sa-IN"/>
        </w:rPr>
      </w:pPr>
      <w:hyperlink w:anchor="_Toc243922756" w:history="1">
        <w:r>
          <w:rPr>
            <w:rStyle w:val="Hiperhivatkozs"/>
            <w:noProof/>
            <w:lang w:bidi="ar-SA"/>
          </w:rPr>
          <w:t>11.3. Indicating correspondence to the source</w:t>
        </w:r>
        <w:r>
          <w:rPr>
            <w:noProof/>
            <w:webHidden/>
          </w:rPr>
          <w:tab/>
        </w:r>
        <w:r>
          <w:rPr>
            <w:noProof/>
            <w:webHidden/>
          </w:rPr>
          <w:fldChar w:fldCharType="begin"/>
        </w:r>
        <w:r>
          <w:rPr>
            <w:noProof/>
            <w:webHidden/>
          </w:rPr>
          <w:instrText xml:space="preserve"> PAGEREF _Toc243922756 \h </w:instrText>
        </w:r>
        <w:r>
          <w:rPr>
            <w:noProof/>
            <w:webHidden/>
          </w:rPr>
        </w:r>
        <w:r>
          <w:rPr>
            <w:noProof/>
            <w:webHidden/>
          </w:rPr>
          <w:fldChar w:fldCharType="separate"/>
        </w:r>
        <w:r>
          <w:rPr>
            <w:noProof/>
            <w:webHidden/>
          </w:rPr>
          <w:t>157</w:t>
        </w:r>
        <w:r>
          <w:rPr>
            <w:noProof/>
            <w:webHidden/>
          </w:rPr>
          <w:fldChar w:fldCharType="end"/>
        </w:r>
      </w:hyperlink>
    </w:p>
    <w:p w14:paraId="3CB57F0F" w14:textId="5D984F4B">
      <w:pPr>
        <w:pStyle w:val="TJ3"/>
        <w:rPr>
          <w:rFonts w:asciiTheme="minorHAnsi" w:hAnsiTheme="minorHAnsi" w:cstheme="minorBidi"/>
          <w:noProof/>
          <w:sz w:val="24"/>
          <w:szCs w:val="21"/>
          <w:lang w:eastAsia="en-GB" w:bidi="sa-IN"/>
        </w:rPr>
      </w:pPr>
      <w:hyperlink w:anchor="_Toc243922757" w:history="1">
        <w:r>
          <w:rPr>
            <w:rStyle w:val="Hiperhivatkozs"/>
            <w:noProof/>
            <w:lang w:bidi="ar-SA"/>
          </w:rPr>
          <w:t>11.3.1. Referring to lines and stanzas of the source</w:t>
        </w:r>
        <w:r>
          <w:rPr>
            <w:noProof/>
            <w:webHidden/>
          </w:rPr>
          <w:tab/>
        </w:r>
        <w:r>
          <w:rPr>
            <w:noProof/>
            <w:webHidden/>
          </w:rPr>
          <w:fldChar w:fldCharType="begin"/>
        </w:r>
        <w:r>
          <w:rPr>
            <w:noProof/>
            <w:webHidden/>
          </w:rPr>
          <w:instrText xml:space="preserve"> PAGEREF _Toc243922757 \h </w:instrText>
        </w:r>
        <w:r>
          <w:rPr>
            <w:noProof/>
            <w:webHidden/>
          </w:rPr>
        </w:r>
        <w:r>
          <w:rPr>
            <w:noProof/>
            <w:webHidden/>
          </w:rPr>
          <w:fldChar w:fldCharType="separate"/>
        </w:r>
        <w:r>
          <w:rPr>
            <w:noProof/>
            <w:webHidden/>
          </w:rPr>
          <w:t>158</w:t>
        </w:r>
        <w:r>
          <w:rPr>
            <w:noProof/>
            <w:webHidden/>
          </w:rPr>
          <w:fldChar w:fldCharType="end"/>
        </w:r>
      </w:hyperlink>
    </w:p>
    <w:p w14:paraId="19D84582" w14:textId="66FB15F6">
      <w:pPr>
        <w:pStyle w:val="TJ2"/>
        <w:rPr>
          <w:rFonts w:asciiTheme="minorHAnsi" w:hAnsiTheme="minorHAnsi" w:cstheme="minorBidi"/>
          <w:noProof/>
          <w:sz w:val="24"/>
          <w:szCs w:val="21"/>
          <w:lang w:eastAsia="en-GB" w:bidi="sa-IN"/>
        </w:rPr>
      </w:pPr>
      <w:hyperlink w:anchor="_Toc243922758" w:history="1">
        <w:r>
          <w:rPr>
            <w:rStyle w:val="Hiperhivatkozs"/>
            <w:noProof/>
            <w:lang w:bidi="ar-SA"/>
          </w:rPr>
          <w:t>11.4. Markup within translations</w:t>
        </w:r>
        <w:r>
          <w:rPr>
            <w:noProof/>
            <w:webHidden/>
          </w:rPr>
          <w:tab/>
        </w:r>
        <w:r>
          <w:rPr>
            <w:noProof/>
            <w:webHidden/>
          </w:rPr>
          <w:fldChar w:fldCharType="begin"/>
        </w:r>
        <w:r>
          <w:rPr>
            <w:noProof/>
            <w:webHidden/>
          </w:rPr>
          <w:instrText xml:space="preserve"> PAGEREF _Toc243922758 \h </w:instrText>
        </w:r>
        <w:r>
          <w:rPr>
            <w:noProof/>
            <w:webHidden/>
          </w:rPr>
        </w:r>
        <w:r>
          <w:rPr>
            <w:noProof/>
            <w:webHidden/>
          </w:rPr>
          <w:fldChar w:fldCharType="separate"/>
        </w:r>
        <w:r>
          <w:rPr>
            <w:noProof/>
            <w:webHidden/>
          </w:rPr>
          <w:t>158</w:t>
        </w:r>
        <w:r>
          <w:rPr>
            <w:noProof/>
            <w:webHidden/>
          </w:rPr>
          <w:fldChar w:fldCharType="end"/>
        </w:r>
      </w:hyperlink>
    </w:p>
    <w:p w14:paraId="18EF44A6" w14:textId="474DDD3D">
      <w:pPr>
        <w:pStyle w:val="TJ3"/>
        <w:rPr>
          <w:rFonts w:asciiTheme="minorHAnsi" w:hAnsiTheme="minorHAnsi" w:cstheme="minorBidi"/>
          <w:noProof/>
          <w:sz w:val="24"/>
          <w:szCs w:val="21"/>
          <w:lang w:eastAsia="en-GB" w:bidi="sa-IN"/>
        </w:rPr>
      </w:pPr>
      <w:hyperlink w:anchor="_Toc243922759" w:history="1">
        <w:r>
          <w:rPr>
            <w:rStyle w:val="Hiperhivatkozs"/>
            <w:noProof/>
            <w:lang w:bidi="ar-SA"/>
          </w:rPr>
          <w:t>11.4.1. Globally available markup</w:t>
        </w:r>
        <w:r>
          <w:rPr>
            <w:noProof/>
            <w:webHidden/>
          </w:rPr>
          <w:tab/>
        </w:r>
        <w:r>
          <w:rPr>
            <w:noProof/>
            <w:webHidden/>
          </w:rPr>
          <w:fldChar w:fldCharType="begin"/>
        </w:r>
        <w:r>
          <w:rPr>
            <w:noProof/>
            <w:webHidden/>
          </w:rPr>
          <w:instrText xml:space="preserve"> PAGEREF _Toc243922759 \h </w:instrText>
        </w:r>
        <w:r>
          <w:rPr>
            <w:noProof/>
            <w:webHidden/>
          </w:rPr>
        </w:r>
        <w:r>
          <w:rPr>
            <w:noProof/>
            <w:webHidden/>
          </w:rPr>
          <w:fldChar w:fldCharType="separate"/>
        </w:r>
        <w:r>
          <w:rPr>
            <w:noProof/>
            <w:webHidden/>
          </w:rPr>
          <w:t>158</w:t>
        </w:r>
        <w:r>
          <w:rPr>
            <w:noProof/>
            <w:webHidden/>
          </w:rPr>
          <w:fldChar w:fldCharType="end"/>
        </w:r>
      </w:hyperlink>
    </w:p>
    <w:p w14:paraId="2E296587" w14:textId="0F96CD5C">
      <w:pPr>
        <w:pStyle w:val="TJ3"/>
        <w:rPr>
          <w:rFonts w:asciiTheme="minorHAnsi" w:hAnsiTheme="minorHAnsi" w:cstheme="minorBidi"/>
          <w:noProof/>
          <w:sz w:val="24"/>
          <w:szCs w:val="21"/>
          <w:lang w:eastAsia="en-GB" w:bidi="sa-IN"/>
        </w:rPr>
      </w:pPr>
      <w:hyperlink w:anchor="_Toc243922760" w:history="1">
        <w:r>
          <w:rPr>
            <w:rStyle w:val="Hiperhivatkozs"/>
            <w:noProof/>
            <w:lang w:bidi="ar-SA"/>
          </w:rPr>
          <w:t>11.4.2. Supplied text in the translation</w:t>
        </w:r>
        <w:r>
          <w:rPr>
            <w:noProof/>
            <w:webHidden/>
          </w:rPr>
          <w:tab/>
        </w:r>
        <w:r>
          <w:rPr>
            <w:noProof/>
            <w:webHidden/>
          </w:rPr>
          <w:fldChar w:fldCharType="begin"/>
        </w:r>
        <w:r>
          <w:rPr>
            <w:noProof/>
            <w:webHidden/>
          </w:rPr>
          <w:instrText xml:space="preserve"> PAGEREF _Toc243922760 \h </w:instrText>
        </w:r>
        <w:r>
          <w:rPr>
            <w:noProof/>
            <w:webHidden/>
          </w:rPr>
        </w:r>
        <w:r>
          <w:rPr>
            <w:noProof/>
            <w:webHidden/>
          </w:rPr>
          <w:fldChar w:fldCharType="separate"/>
        </w:r>
        <w:r>
          <w:rPr>
            <w:noProof/>
            <w:webHidden/>
          </w:rPr>
          <w:t>159</w:t>
        </w:r>
        <w:r>
          <w:rPr>
            <w:noProof/>
            <w:webHidden/>
          </w:rPr>
          <w:fldChar w:fldCharType="end"/>
        </w:r>
      </w:hyperlink>
    </w:p>
    <w:p w14:paraId="0528C1FD" w14:textId="67133471">
      <w:pPr>
        <w:pStyle w:val="TJ3"/>
        <w:rPr>
          <w:rFonts w:asciiTheme="minorHAnsi" w:hAnsiTheme="minorHAnsi" w:cstheme="minorBidi"/>
          <w:noProof/>
          <w:sz w:val="24"/>
          <w:szCs w:val="21"/>
          <w:lang w:eastAsia="en-GB" w:bidi="sa-IN"/>
        </w:rPr>
      </w:pPr>
      <w:hyperlink w:anchor="_Toc243922761" w:history="1">
        <w:r>
          <w:rPr>
            <w:rStyle w:val="Hiperhivatkozs"/>
            <w:noProof/>
            <w:lang w:bidi="ar-SA"/>
          </w:rPr>
          <w:t>11.4.3. Gaps in the translation</w:t>
        </w:r>
        <w:r>
          <w:rPr>
            <w:noProof/>
            <w:webHidden/>
          </w:rPr>
          <w:tab/>
        </w:r>
        <w:r>
          <w:rPr>
            <w:noProof/>
            <w:webHidden/>
          </w:rPr>
          <w:fldChar w:fldCharType="begin"/>
        </w:r>
        <w:r>
          <w:rPr>
            <w:noProof/>
            <w:webHidden/>
          </w:rPr>
          <w:instrText xml:space="preserve"> PAGEREF _Toc243922761 \h </w:instrText>
        </w:r>
        <w:r>
          <w:rPr>
            <w:noProof/>
            <w:webHidden/>
          </w:rPr>
        </w:r>
        <w:r>
          <w:rPr>
            <w:noProof/>
            <w:webHidden/>
          </w:rPr>
          <w:fldChar w:fldCharType="separate"/>
        </w:r>
        <w:r>
          <w:rPr>
            <w:noProof/>
            <w:webHidden/>
          </w:rPr>
          <w:t>160</w:t>
        </w:r>
        <w:r>
          <w:rPr>
            <w:noProof/>
            <w:webHidden/>
          </w:rPr>
          <w:fldChar w:fldCharType="end"/>
        </w:r>
      </w:hyperlink>
    </w:p>
    <w:p w14:paraId="07A6C781" w14:textId="4AE2F913">
      <w:pPr>
        <w:pStyle w:val="TJ3"/>
        <w:rPr>
          <w:rFonts w:asciiTheme="minorHAnsi" w:hAnsiTheme="minorHAnsi" w:cstheme="minorBidi"/>
          <w:noProof/>
          <w:sz w:val="24"/>
          <w:szCs w:val="21"/>
          <w:lang w:eastAsia="en-GB" w:bidi="sa-IN"/>
        </w:rPr>
      </w:pPr>
      <w:hyperlink w:anchor="_Toc243922762" w:history="1">
        <w:r>
          <w:rPr>
            <w:rStyle w:val="Hiperhivatkozs"/>
            <w:noProof/>
            <w:lang w:bidi="ar-SA"/>
          </w:rPr>
          <w:t>11.4.4. Tentative translation</w:t>
        </w:r>
        <w:r>
          <w:rPr>
            <w:noProof/>
            <w:webHidden/>
          </w:rPr>
          <w:tab/>
        </w:r>
        <w:r>
          <w:rPr>
            <w:noProof/>
            <w:webHidden/>
          </w:rPr>
          <w:fldChar w:fldCharType="begin"/>
        </w:r>
        <w:r>
          <w:rPr>
            <w:noProof/>
            <w:webHidden/>
          </w:rPr>
          <w:instrText xml:space="preserve"> PAGEREF _Toc243922762 \h </w:instrText>
        </w:r>
        <w:r>
          <w:rPr>
            <w:noProof/>
            <w:webHidden/>
          </w:rPr>
        </w:r>
        <w:r>
          <w:rPr>
            <w:noProof/>
            <w:webHidden/>
          </w:rPr>
          <w:fldChar w:fldCharType="separate"/>
        </w:r>
        <w:r>
          <w:rPr>
            <w:noProof/>
            <w:webHidden/>
          </w:rPr>
          <w:t>161</w:t>
        </w:r>
        <w:r>
          <w:rPr>
            <w:noProof/>
            <w:webHidden/>
          </w:rPr>
          <w:fldChar w:fldCharType="end"/>
        </w:r>
      </w:hyperlink>
    </w:p>
    <w:p w14:paraId="24404302" w14:textId="68A9DD53">
      <w:pPr>
        <w:pStyle w:val="TJ3"/>
        <w:rPr>
          <w:rFonts w:asciiTheme="minorHAnsi" w:hAnsiTheme="minorHAnsi" w:cstheme="minorBidi"/>
          <w:noProof/>
          <w:sz w:val="24"/>
          <w:szCs w:val="21"/>
          <w:lang w:eastAsia="en-GB" w:bidi="sa-IN"/>
        </w:rPr>
      </w:pPr>
      <w:hyperlink w:anchor="_Toc243922763" w:history="1">
        <w:r>
          <w:rPr>
            <w:rStyle w:val="Hiperhivatkozs"/>
            <w:noProof/>
            <w:lang w:bidi="ar-SA"/>
          </w:rPr>
          <w:t>11.4.5. Incorrect or unexpected text</w:t>
        </w:r>
        <w:r>
          <w:rPr>
            <w:noProof/>
            <w:webHidden/>
          </w:rPr>
          <w:tab/>
        </w:r>
        <w:r>
          <w:rPr>
            <w:noProof/>
            <w:webHidden/>
          </w:rPr>
          <w:fldChar w:fldCharType="begin"/>
        </w:r>
        <w:r>
          <w:rPr>
            <w:noProof/>
            <w:webHidden/>
          </w:rPr>
          <w:instrText xml:space="preserve"> PAGEREF _Toc243922763 \h </w:instrText>
        </w:r>
        <w:r>
          <w:rPr>
            <w:noProof/>
            <w:webHidden/>
          </w:rPr>
        </w:r>
        <w:r>
          <w:rPr>
            <w:noProof/>
            <w:webHidden/>
          </w:rPr>
          <w:fldChar w:fldCharType="separate"/>
        </w:r>
        <w:r>
          <w:rPr>
            <w:noProof/>
            <w:webHidden/>
          </w:rPr>
          <w:t>162</w:t>
        </w:r>
        <w:r>
          <w:rPr>
            <w:noProof/>
            <w:webHidden/>
          </w:rPr>
          <w:fldChar w:fldCharType="end"/>
        </w:r>
      </w:hyperlink>
    </w:p>
    <w:p w14:paraId="50575E78" w14:textId="2EA001D0">
      <w:pPr>
        <w:pStyle w:val="TJ3"/>
        <w:rPr>
          <w:rFonts w:asciiTheme="minorHAnsi" w:hAnsiTheme="minorHAnsi" w:cstheme="minorBidi"/>
          <w:noProof/>
          <w:sz w:val="24"/>
          <w:szCs w:val="21"/>
          <w:lang w:eastAsia="en-GB" w:bidi="sa-IN"/>
        </w:rPr>
      </w:pPr>
      <w:hyperlink w:anchor="_Toc243922764" w:history="1">
        <w:r>
          <w:rPr>
            <w:rStyle w:val="Hiperhivatkozs"/>
            <w:noProof/>
            <w:lang w:bidi="ar-SA"/>
          </w:rPr>
          <w:t>11.4.6. Bitextual translation</w:t>
        </w:r>
        <w:r>
          <w:rPr>
            <w:noProof/>
            <w:webHidden/>
          </w:rPr>
          <w:tab/>
        </w:r>
        <w:r>
          <w:rPr>
            <w:noProof/>
            <w:webHidden/>
          </w:rPr>
          <w:fldChar w:fldCharType="begin"/>
        </w:r>
        <w:r>
          <w:rPr>
            <w:noProof/>
            <w:webHidden/>
          </w:rPr>
          <w:instrText xml:space="preserve"> PAGEREF _Toc243922764 \h </w:instrText>
        </w:r>
        <w:r>
          <w:rPr>
            <w:noProof/>
            <w:webHidden/>
          </w:rPr>
        </w:r>
        <w:r>
          <w:rPr>
            <w:noProof/>
            <w:webHidden/>
          </w:rPr>
          <w:fldChar w:fldCharType="separate"/>
        </w:r>
        <w:r>
          <w:rPr>
            <w:noProof/>
            <w:webHidden/>
          </w:rPr>
          <w:t>162</w:t>
        </w:r>
        <w:r>
          <w:rPr>
            <w:noProof/>
            <w:webHidden/>
          </w:rPr>
          <w:fldChar w:fldCharType="end"/>
        </w:r>
      </w:hyperlink>
    </w:p>
    <w:p w14:paraId="42D00B05" w14:textId="7D4A25B1">
      <w:pPr>
        <w:pStyle w:val="TJ3"/>
        <w:rPr>
          <w:rFonts w:asciiTheme="minorHAnsi" w:hAnsiTheme="minorHAnsi" w:cstheme="minorBidi"/>
          <w:noProof/>
          <w:sz w:val="24"/>
          <w:szCs w:val="21"/>
          <w:lang w:eastAsia="en-GB" w:bidi="sa-IN"/>
        </w:rPr>
      </w:pPr>
      <w:hyperlink w:anchor="_Toc243922765" w:history="1">
        <w:r>
          <w:rPr>
            <w:rStyle w:val="Hiperhivatkozs"/>
            <w:noProof/>
            <w:lang w:bidi="ar-SA"/>
          </w:rPr>
          <w:t>11.4.7. Original space in the translation</w:t>
        </w:r>
        <w:r>
          <w:rPr>
            <w:noProof/>
            <w:webHidden/>
          </w:rPr>
          <w:tab/>
        </w:r>
        <w:r>
          <w:rPr>
            <w:noProof/>
            <w:webHidden/>
          </w:rPr>
          <w:fldChar w:fldCharType="begin"/>
        </w:r>
        <w:r>
          <w:rPr>
            <w:noProof/>
            <w:webHidden/>
          </w:rPr>
          <w:instrText xml:space="preserve"> PAGEREF _Toc243922765 \h </w:instrText>
        </w:r>
        <w:r>
          <w:rPr>
            <w:noProof/>
            <w:webHidden/>
          </w:rPr>
        </w:r>
        <w:r>
          <w:rPr>
            <w:noProof/>
            <w:webHidden/>
          </w:rPr>
          <w:fldChar w:fldCharType="separate"/>
        </w:r>
        <w:r>
          <w:rPr>
            <w:noProof/>
            <w:webHidden/>
          </w:rPr>
          <w:t>162</w:t>
        </w:r>
        <w:r>
          <w:rPr>
            <w:noProof/>
            <w:webHidden/>
          </w:rPr>
          <w:fldChar w:fldCharType="end"/>
        </w:r>
      </w:hyperlink>
    </w:p>
    <w:p w14:paraId="42438819" w14:textId="0CBCEF10">
      <w:pPr>
        <w:pStyle w:val="TJ2"/>
        <w:rPr>
          <w:rFonts w:asciiTheme="minorHAnsi" w:hAnsiTheme="minorHAnsi" w:cstheme="minorBidi"/>
          <w:noProof/>
          <w:sz w:val="24"/>
          <w:szCs w:val="21"/>
          <w:lang w:eastAsia="en-GB" w:bidi="sa-IN"/>
        </w:rPr>
      </w:pPr>
      <w:hyperlink w:anchor="_Toc243922766" w:history="1">
        <w:r>
          <w:rPr>
            <w:rStyle w:val="Hiperhivatkozs"/>
            <w:noProof/>
            <w:lang w:bidi="ar-SA"/>
          </w:rPr>
          <w:t>11.5. Reproducing a published translation</w:t>
        </w:r>
        <w:r>
          <w:rPr>
            <w:noProof/>
            <w:webHidden/>
          </w:rPr>
          <w:tab/>
        </w:r>
        <w:r>
          <w:rPr>
            <w:noProof/>
            <w:webHidden/>
          </w:rPr>
          <w:fldChar w:fldCharType="begin"/>
        </w:r>
        <w:r>
          <w:rPr>
            <w:noProof/>
            <w:webHidden/>
          </w:rPr>
          <w:instrText xml:space="preserve"> PAGEREF _Toc243922766 \h </w:instrText>
        </w:r>
        <w:r>
          <w:rPr>
            <w:noProof/>
            <w:webHidden/>
          </w:rPr>
        </w:r>
        <w:r>
          <w:rPr>
            <w:noProof/>
            <w:webHidden/>
          </w:rPr>
          <w:fldChar w:fldCharType="separate"/>
        </w:r>
        <w:r>
          <w:rPr>
            <w:noProof/>
            <w:webHidden/>
          </w:rPr>
          <w:t>162</w:t>
        </w:r>
        <w:r>
          <w:rPr>
            <w:noProof/>
            <w:webHidden/>
          </w:rPr>
          <w:fldChar w:fldCharType="end"/>
        </w:r>
      </w:hyperlink>
    </w:p>
    <w:p w14:paraId="33C8F349" w14:textId="7D0BADEB">
      <w:pPr>
        <w:pStyle w:val="TJ3"/>
        <w:rPr>
          <w:rFonts w:asciiTheme="minorHAnsi" w:hAnsiTheme="minorHAnsi" w:cstheme="minorBidi"/>
          <w:noProof/>
          <w:sz w:val="24"/>
          <w:szCs w:val="21"/>
          <w:lang w:eastAsia="en-GB" w:bidi="sa-IN"/>
        </w:rPr>
      </w:pPr>
      <w:hyperlink w:anchor="_Toc243922767" w:history="1">
        <w:r>
          <w:rPr>
            <w:rStyle w:val="Hiperhivatkozs"/>
            <w:noProof/>
            <w:lang w:bidi="ar-SA"/>
          </w:rPr>
          <w:t>11.5.1. Adapting a previous translation</w:t>
        </w:r>
        <w:r>
          <w:rPr>
            <w:noProof/>
            <w:webHidden/>
          </w:rPr>
          <w:tab/>
        </w:r>
        <w:r>
          <w:rPr>
            <w:noProof/>
            <w:webHidden/>
          </w:rPr>
          <w:fldChar w:fldCharType="begin"/>
        </w:r>
        <w:r>
          <w:rPr>
            <w:noProof/>
            <w:webHidden/>
          </w:rPr>
          <w:instrText xml:space="preserve"> PAGEREF _Toc243922767 \h </w:instrText>
        </w:r>
        <w:r>
          <w:rPr>
            <w:noProof/>
            <w:webHidden/>
          </w:rPr>
        </w:r>
        <w:r>
          <w:rPr>
            <w:noProof/>
            <w:webHidden/>
          </w:rPr>
          <w:fldChar w:fldCharType="separate"/>
        </w:r>
        <w:r>
          <w:rPr>
            <w:noProof/>
            <w:webHidden/>
          </w:rPr>
          <w:t>162</w:t>
        </w:r>
        <w:r>
          <w:rPr>
            <w:noProof/>
            <w:webHidden/>
          </w:rPr>
          <w:fldChar w:fldCharType="end"/>
        </w:r>
      </w:hyperlink>
    </w:p>
    <w:p w14:paraId="3F2A06F2" w14:textId="04CB7C89">
      <w:pPr>
        <w:pStyle w:val="TJ3"/>
        <w:rPr>
          <w:rFonts w:asciiTheme="minorHAnsi" w:hAnsiTheme="minorHAnsi" w:cstheme="minorBidi"/>
          <w:noProof/>
          <w:sz w:val="24"/>
          <w:szCs w:val="21"/>
          <w:lang w:eastAsia="en-GB" w:bidi="sa-IN"/>
        </w:rPr>
      </w:pPr>
      <w:hyperlink w:anchor="_Toc243922768" w:history="1">
        <w:r>
          <w:rPr>
            <w:rStyle w:val="Hiperhivatkozs"/>
            <w:noProof/>
            <w:lang w:bidi="ar-SA"/>
          </w:rPr>
          <w:t>11.5.2. Adopting a previous translation verbatim</w:t>
        </w:r>
        <w:r>
          <w:rPr>
            <w:noProof/>
            <w:webHidden/>
          </w:rPr>
          <w:tab/>
        </w:r>
        <w:r>
          <w:rPr>
            <w:noProof/>
            <w:webHidden/>
          </w:rPr>
          <w:fldChar w:fldCharType="begin"/>
        </w:r>
        <w:r>
          <w:rPr>
            <w:noProof/>
            <w:webHidden/>
          </w:rPr>
          <w:instrText xml:space="preserve"> PAGEREF _Toc243922768 \h </w:instrText>
        </w:r>
        <w:r>
          <w:rPr>
            <w:noProof/>
            <w:webHidden/>
          </w:rPr>
        </w:r>
        <w:r>
          <w:rPr>
            <w:noProof/>
            <w:webHidden/>
          </w:rPr>
          <w:fldChar w:fldCharType="separate"/>
        </w:r>
        <w:r>
          <w:rPr>
            <w:noProof/>
            <w:webHidden/>
          </w:rPr>
          <w:t>162</w:t>
        </w:r>
        <w:r>
          <w:rPr>
            <w:noProof/>
            <w:webHidden/>
          </w:rPr>
          <w:fldChar w:fldCharType="end"/>
        </w:r>
      </w:hyperlink>
    </w:p>
    <w:p w14:paraId="4A593A12" w14:textId="64BFCA23">
      <w:pPr>
        <w:pStyle w:val="TJ3"/>
        <w:rPr>
          <w:rFonts w:asciiTheme="minorHAnsi" w:hAnsiTheme="minorHAnsi" w:cstheme="minorBidi"/>
          <w:noProof/>
          <w:sz w:val="24"/>
          <w:szCs w:val="21"/>
          <w:lang w:eastAsia="en-GB" w:bidi="sa-IN"/>
        </w:rPr>
      </w:pPr>
      <w:hyperlink w:anchor="_Toc243922769" w:history="1">
        <w:r>
          <w:rPr>
            <w:rStyle w:val="Hiperhivatkozs"/>
            <w:noProof/>
            <w:lang w:bidi="ar-SA"/>
          </w:rPr>
          <w:t>11.5.3. Adopting and adapting notes to a translation</w:t>
        </w:r>
        <w:r>
          <w:rPr>
            <w:noProof/>
            <w:webHidden/>
          </w:rPr>
          <w:tab/>
        </w:r>
        <w:r>
          <w:rPr>
            <w:noProof/>
            <w:webHidden/>
          </w:rPr>
          <w:fldChar w:fldCharType="begin"/>
        </w:r>
        <w:r>
          <w:rPr>
            <w:noProof/>
            <w:webHidden/>
          </w:rPr>
          <w:instrText xml:space="preserve"> PAGEREF _Toc243922769 \h </w:instrText>
        </w:r>
        <w:r>
          <w:rPr>
            <w:noProof/>
            <w:webHidden/>
          </w:rPr>
        </w:r>
        <w:r>
          <w:rPr>
            <w:noProof/>
            <w:webHidden/>
          </w:rPr>
          <w:fldChar w:fldCharType="separate"/>
        </w:r>
        <w:r>
          <w:rPr>
            <w:noProof/>
            <w:webHidden/>
          </w:rPr>
          <w:t>163</w:t>
        </w:r>
        <w:r>
          <w:rPr>
            <w:noProof/>
            <w:webHidden/>
          </w:rPr>
          <w:fldChar w:fldCharType="end"/>
        </w:r>
      </w:hyperlink>
    </w:p>
    <w:p w14:paraId="5C159B4E" w14:textId="0D2C9B06">
      <w:pPr>
        <w:pStyle w:val="TJ1"/>
        <w:rPr>
          <w:rFonts w:asciiTheme="minorHAnsi" w:hAnsiTheme="minorHAnsi" w:cstheme="minorBidi"/>
          <w:b w:val="0"/>
          <w:noProof/>
          <w:sz w:val="24"/>
          <w:szCs w:val="21"/>
          <w:lang w:eastAsia="en-GB" w:bidi="sa-IN"/>
        </w:rPr>
      </w:pPr>
      <w:hyperlink w:anchor="_Toc243922770" w:history="1">
        <w:r>
          <w:rPr>
            <w:rStyle w:val="Hiperhivatkozs"/>
            <w:noProof/>
            <w:lang w:bidi="ar-SA"/>
          </w:rPr>
          <w:t>12. The commentary</w:t>
        </w:r>
        <w:r>
          <w:rPr>
            <w:noProof/>
            <w:webHidden/>
          </w:rPr>
          <w:tab/>
        </w:r>
        <w:r>
          <w:rPr>
            <w:noProof/>
            <w:webHidden/>
          </w:rPr>
          <w:fldChar w:fldCharType="begin"/>
        </w:r>
        <w:r>
          <w:rPr>
            <w:noProof/>
            <w:webHidden/>
          </w:rPr>
          <w:instrText xml:space="preserve"> PAGEREF _Toc243922770 \h </w:instrText>
        </w:r>
        <w:r>
          <w:rPr>
            <w:noProof/>
            <w:webHidden/>
          </w:rPr>
        </w:r>
        <w:r>
          <w:rPr>
            <w:noProof/>
            <w:webHidden/>
          </w:rPr>
          <w:fldChar w:fldCharType="separate"/>
        </w:r>
        <w:r>
          <w:rPr>
            <w:noProof/>
            <w:webHidden/>
          </w:rPr>
          <w:t>164</w:t>
        </w:r>
        <w:r>
          <w:rPr>
            <w:noProof/>
            <w:webHidden/>
          </w:rPr>
          <w:fldChar w:fldCharType="end"/>
        </w:r>
      </w:hyperlink>
    </w:p>
    <w:p w14:paraId="43F3E636" w14:textId="5ECB6C01">
      <w:pPr>
        <w:pStyle w:val="TJ2"/>
        <w:rPr>
          <w:rFonts w:asciiTheme="minorHAnsi" w:hAnsiTheme="minorHAnsi" w:cstheme="minorBidi"/>
          <w:noProof/>
          <w:sz w:val="24"/>
          <w:szCs w:val="21"/>
          <w:lang w:eastAsia="en-GB" w:bidi="sa-IN"/>
        </w:rPr>
      </w:pPr>
      <w:hyperlink w:anchor="_Toc243922771" w:history="1">
        <w:r>
          <w:rPr>
            <w:rStyle w:val="Hiperhivatkozs"/>
            <w:noProof/>
            <w:lang w:bidi="ar-SA"/>
          </w:rPr>
          <w:t>12.1. Encoding the commentary</w:t>
        </w:r>
        <w:r>
          <w:rPr>
            <w:noProof/>
            <w:webHidden/>
          </w:rPr>
          <w:tab/>
        </w:r>
        <w:r>
          <w:rPr>
            <w:noProof/>
            <w:webHidden/>
          </w:rPr>
          <w:fldChar w:fldCharType="begin"/>
        </w:r>
        <w:r>
          <w:rPr>
            <w:noProof/>
            <w:webHidden/>
          </w:rPr>
          <w:instrText xml:space="preserve"> PAGEREF _Toc243922771 \h </w:instrText>
        </w:r>
        <w:r>
          <w:rPr>
            <w:noProof/>
            <w:webHidden/>
          </w:rPr>
        </w:r>
        <w:r>
          <w:rPr>
            <w:noProof/>
            <w:webHidden/>
          </w:rPr>
          <w:fldChar w:fldCharType="separate"/>
        </w:r>
        <w:r>
          <w:rPr>
            <w:noProof/>
            <w:webHidden/>
          </w:rPr>
          <w:t>164</w:t>
        </w:r>
        <w:r>
          <w:rPr>
            <w:noProof/>
            <w:webHidden/>
          </w:rPr>
          <w:fldChar w:fldCharType="end"/>
        </w:r>
      </w:hyperlink>
    </w:p>
    <w:p w14:paraId="7ED38E83" w14:textId="0F834593">
      <w:pPr>
        <w:pStyle w:val="TJ3"/>
        <w:rPr>
          <w:rFonts w:asciiTheme="minorHAnsi" w:hAnsiTheme="minorHAnsi" w:cstheme="minorBidi"/>
          <w:noProof/>
          <w:sz w:val="24"/>
          <w:szCs w:val="21"/>
          <w:lang w:eastAsia="en-GB" w:bidi="sa-IN"/>
        </w:rPr>
      </w:pPr>
      <w:hyperlink w:anchor="_Toc243922772" w:history="1">
        <w:r>
          <w:rPr>
            <w:rStyle w:val="Hiperhivatkozs"/>
            <w:noProof/>
            <w:lang w:bidi="ar-SA"/>
          </w:rPr>
          <w:t>12.1.1. Textpart divisions within the commentary</w:t>
        </w:r>
        <w:r>
          <w:rPr>
            <w:noProof/>
            <w:webHidden/>
          </w:rPr>
          <w:tab/>
        </w:r>
        <w:r>
          <w:rPr>
            <w:noProof/>
            <w:webHidden/>
          </w:rPr>
          <w:fldChar w:fldCharType="begin"/>
        </w:r>
        <w:r>
          <w:rPr>
            <w:noProof/>
            <w:webHidden/>
          </w:rPr>
          <w:instrText xml:space="preserve"> PAGEREF _Toc243922772 \h </w:instrText>
        </w:r>
        <w:r>
          <w:rPr>
            <w:noProof/>
            <w:webHidden/>
          </w:rPr>
        </w:r>
        <w:r>
          <w:rPr>
            <w:noProof/>
            <w:webHidden/>
          </w:rPr>
          <w:fldChar w:fldCharType="separate"/>
        </w:r>
        <w:r>
          <w:rPr>
            <w:noProof/>
            <w:webHidden/>
          </w:rPr>
          <w:t>164</w:t>
        </w:r>
        <w:r>
          <w:rPr>
            <w:noProof/>
            <w:webHidden/>
          </w:rPr>
          <w:fldChar w:fldCharType="end"/>
        </w:r>
      </w:hyperlink>
    </w:p>
    <w:p w14:paraId="150F432F" w14:textId="3255FDCE">
      <w:pPr>
        <w:pStyle w:val="TJ2"/>
        <w:rPr>
          <w:rFonts w:asciiTheme="minorHAnsi" w:hAnsiTheme="minorHAnsi" w:cstheme="minorBidi"/>
          <w:noProof/>
          <w:sz w:val="24"/>
          <w:szCs w:val="21"/>
          <w:lang w:eastAsia="en-GB" w:bidi="sa-IN"/>
        </w:rPr>
      </w:pPr>
      <w:hyperlink w:anchor="_Toc243922773" w:history="1">
        <w:r>
          <w:rPr>
            <w:rStyle w:val="Hiperhivatkozs"/>
            <w:noProof/>
            <w:lang w:bidi="ar-SA"/>
          </w:rPr>
          <w:t>12.2. Indicating reference to the text</w:t>
        </w:r>
        <w:r>
          <w:rPr>
            <w:noProof/>
            <w:webHidden/>
          </w:rPr>
          <w:tab/>
        </w:r>
        <w:r>
          <w:rPr>
            <w:noProof/>
            <w:webHidden/>
          </w:rPr>
          <w:fldChar w:fldCharType="begin"/>
        </w:r>
        <w:r>
          <w:rPr>
            <w:noProof/>
            <w:webHidden/>
          </w:rPr>
          <w:instrText xml:space="preserve"> PAGEREF _Toc243922773 \h </w:instrText>
        </w:r>
        <w:r>
          <w:rPr>
            <w:noProof/>
            <w:webHidden/>
          </w:rPr>
        </w:r>
        <w:r>
          <w:rPr>
            <w:noProof/>
            <w:webHidden/>
          </w:rPr>
          <w:fldChar w:fldCharType="separate"/>
        </w:r>
        <w:r>
          <w:rPr>
            <w:noProof/>
            <w:webHidden/>
          </w:rPr>
          <w:t>164</w:t>
        </w:r>
        <w:r>
          <w:rPr>
            <w:noProof/>
            <w:webHidden/>
          </w:rPr>
          <w:fldChar w:fldCharType="end"/>
        </w:r>
      </w:hyperlink>
    </w:p>
    <w:p w14:paraId="059124D7" w14:textId="3CADAF9F">
      <w:pPr>
        <w:pStyle w:val="TJ2"/>
        <w:rPr>
          <w:rFonts w:asciiTheme="minorHAnsi" w:hAnsiTheme="minorHAnsi" w:cstheme="minorBidi"/>
          <w:noProof/>
          <w:sz w:val="24"/>
          <w:szCs w:val="21"/>
          <w:lang w:eastAsia="en-GB" w:bidi="sa-IN"/>
        </w:rPr>
      </w:pPr>
      <w:hyperlink w:anchor="_Toc243922774" w:history="1">
        <w:r>
          <w:rPr>
            <w:rStyle w:val="Hiperhivatkozs"/>
            <w:noProof/>
            <w:lang w:bidi="ar-SA"/>
          </w:rPr>
          <w:t>12.3. Markup within the commentary</w:t>
        </w:r>
        <w:r>
          <w:rPr>
            <w:noProof/>
            <w:webHidden/>
          </w:rPr>
          <w:tab/>
        </w:r>
        <w:r>
          <w:rPr>
            <w:noProof/>
            <w:webHidden/>
          </w:rPr>
          <w:fldChar w:fldCharType="begin"/>
        </w:r>
        <w:r>
          <w:rPr>
            <w:noProof/>
            <w:webHidden/>
          </w:rPr>
          <w:instrText xml:space="preserve"> PAGEREF _Toc243922774 \h </w:instrText>
        </w:r>
        <w:r>
          <w:rPr>
            <w:noProof/>
            <w:webHidden/>
          </w:rPr>
        </w:r>
        <w:r>
          <w:rPr>
            <w:noProof/>
            <w:webHidden/>
          </w:rPr>
          <w:fldChar w:fldCharType="separate"/>
        </w:r>
        <w:r>
          <w:rPr>
            <w:noProof/>
            <w:webHidden/>
          </w:rPr>
          <w:t>165</w:t>
        </w:r>
        <w:r>
          <w:rPr>
            <w:noProof/>
            <w:webHidden/>
          </w:rPr>
          <w:fldChar w:fldCharType="end"/>
        </w:r>
      </w:hyperlink>
    </w:p>
    <w:p w14:paraId="2C3EF983" w14:textId="59515EA2">
      <w:pPr>
        <w:pStyle w:val="TJ1"/>
        <w:rPr>
          <w:rFonts w:asciiTheme="minorHAnsi" w:hAnsiTheme="minorHAnsi" w:cstheme="minorBidi"/>
          <w:b w:val="0"/>
          <w:noProof/>
          <w:sz w:val="24"/>
          <w:szCs w:val="21"/>
          <w:lang w:eastAsia="en-GB" w:bidi="sa-IN"/>
        </w:rPr>
      </w:pPr>
      <w:hyperlink w:anchor="_Toc243922775" w:history="1">
        <w:r>
          <w:rPr>
            <w:rStyle w:val="Hiperhivatkozs"/>
            <w:noProof/>
            <w:lang w:bidi="ar-SA"/>
          </w:rPr>
          <w:t>13. The bibliography</w:t>
        </w:r>
        <w:r>
          <w:rPr>
            <w:noProof/>
            <w:webHidden/>
          </w:rPr>
          <w:tab/>
        </w:r>
        <w:r>
          <w:rPr>
            <w:noProof/>
            <w:webHidden/>
          </w:rPr>
          <w:fldChar w:fldCharType="begin"/>
        </w:r>
        <w:r>
          <w:rPr>
            <w:noProof/>
            <w:webHidden/>
          </w:rPr>
          <w:instrText xml:space="preserve"> PAGEREF _Toc243922775 \h </w:instrText>
        </w:r>
        <w:r>
          <w:rPr>
            <w:noProof/>
            <w:webHidden/>
          </w:rPr>
        </w:r>
        <w:r>
          <w:rPr>
            <w:noProof/>
            <w:webHidden/>
          </w:rPr>
          <w:fldChar w:fldCharType="separate"/>
        </w:r>
        <w:r>
          <w:rPr>
            <w:noProof/>
            <w:webHidden/>
          </w:rPr>
          <w:t>166</w:t>
        </w:r>
        <w:r>
          <w:rPr>
            <w:noProof/>
            <w:webHidden/>
          </w:rPr>
          <w:fldChar w:fldCharType="end"/>
        </w:r>
      </w:hyperlink>
    </w:p>
    <w:p w14:paraId="06F6F348" w14:textId="50C0B98E">
      <w:pPr>
        <w:pStyle w:val="TJ2"/>
        <w:rPr>
          <w:rFonts w:asciiTheme="minorHAnsi" w:hAnsiTheme="minorHAnsi" w:cstheme="minorBidi"/>
          <w:noProof/>
          <w:sz w:val="24"/>
          <w:szCs w:val="21"/>
          <w:lang w:eastAsia="en-GB" w:bidi="sa-IN"/>
        </w:rPr>
      </w:pPr>
      <w:hyperlink w:anchor="_Toc243922776" w:history="1">
        <w:r>
          <w:rPr>
            <w:rStyle w:val="Hiperhivatkozs"/>
            <w:noProof/>
            <w:lang w:bidi="ar-SA"/>
          </w:rPr>
          <w:t>13.1. Encoding the bibliography</w:t>
        </w:r>
        <w:r>
          <w:rPr>
            <w:noProof/>
            <w:webHidden/>
          </w:rPr>
          <w:tab/>
        </w:r>
        <w:r>
          <w:rPr>
            <w:noProof/>
            <w:webHidden/>
          </w:rPr>
          <w:fldChar w:fldCharType="begin"/>
        </w:r>
        <w:r>
          <w:rPr>
            <w:noProof/>
            <w:webHidden/>
          </w:rPr>
          <w:instrText xml:space="preserve"> PAGEREF _Toc243922776 \h </w:instrText>
        </w:r>
        <w:r>
          <w:rPr>
            <w:noProof/>
            <w:webHidden/>
          </w:rPr>
        </w:r>
        <w:r>
          <w:rPr>
            <w:noProof/>
            <w:webHidden/>
          </w:rPr>
          <w:fldChar w:fldCharType="separate"/>
        </w:r>
        <w:r>
          <w:rPr>
            <w:noProof/>
            <w:webHidden/>
          </w:rPr>
          <w:t>166</w:t>
        </w:r>
        <w:r>
          <w:rPr>
            <w:noProof/>
            <w:webHidden/>
          </w:rPr>
          <w:fldChar w:fldCharType="end"/>
        </w:r>
      </w:hyperlink>
    </w:p>
    <w:p w14:paraId="4ADFB8B8" w14:textId="4231F886">
      <w:pPr>
        <w:pStyle w:val="TJ2"/>
        <w:rPr>
          <w:rFonts w:asciiTheme="minorHAnsi" w:hAnsiTheme="minorHAnsi" w:cstheme="minorBidi"/>
          <w:noProof/>
          <w:sz w:val="24"/>
          <w:szCs w:val="21"/>
          <w:lang w:eastAsia="en-GB" w:bidi="sa-IN"/>
        </w:rPr>
      </w:pPr>
      <w:hyperlink w:anchor="_Toc243922777" w:history="1">
        <w:r>
          <w:rPr>
            <w:rStyle w:val="Hiperhivatkozs"/>
            <w:noProof/>
            <w:lang w:bidi="ar-SA"/>
          </w:rPr>
          <w:t>13.2. The epigraphic lemma</w:t>
        </w:r>
        <w:r>
          <w:rPr>
            <w:noProof/>
            <w:webHidden/>
          </w:rPr>
          <w:tab/>
        </w:r>
        <w:r>
          <w:rPr>
            <w:noProof/>
            <w:webHidden/>
          </w:rPr>
          <w:fldChar w:fldCharType="begin"/>
        </w:r>
        <w:r>
          <w:rPr>
            <w:noProof/>
            <w:webHidden/>
          </w:rPr>
          <w:instrText xml:space="preserve"> PAGEREF _Toc243922777 \h </w:instrText>
        </w:r>
        <w:r>
          <w:rPr>
            <w:noProof/>
            <w:webHidden/>
          </w:rPr>
        </w:r>
        <w:r>
          <w:rPr>
            <w:noProof/>
            <w:webHidden/>
          </w:rPr>
          <w:fldChar w:fldCharType="separate"/>
        </w:r>
        <w:r>
          <w:rPr>
            <w:noProof/>
            <w:webHidden/>
          </w:rPr>
          <w:t>166</w:t>
        </w:r>
        <w:r>
          <w:rPr>
            <w:noProof/>
            <w:webHidden/>
          </w:rPr>
          <w:fldChar w:fldCharType="end"/>
        </w:r>
      </w:hyperlink>
    </w:p>
    <w:p w14:paraId="03BE4117" w14:textId="3DB679E3">
      <w:pPr>
        <w:pStyle w:val="TJ3"/>
        <w:rPr>
          <w:rFonts w:asciiTheme="minorHAnsi" w:hAnsiTheme="minorHAnsi" w:cstheme="minorBidi"/>
          <w:noProof/>
          <w:sz w:val="24"/>
          <w:szCs w:val="21"/>
          <w:lang w:eastAsia="en-GB" w:bidi="sa-IN"/>
        </w:rPr>
      </w:pPr>
      <w:hyperlink w:anchor="_Toc243922778" w:history="1">
        <w:r>
          <w:rPr>
            <w:rStyle w:val="Hiperhivatkozs"/>
            <w:noProof/>
            <w:lang w:bidi="ar-SA"/>
          </w:rPr>
          <w:t>13.2.1. Markup within the epigraphic lemma</w:t>
        </w:r>
        <w:r>
          <w:rPr>
            <w:noProof/>
            <w:webHidden/>
          </w:rPr>
          <w:tab/>
        </w:r>
        <w:r>
          <w:rPr>
            <w:noProof/>
            <w:webHidden/>
          </w:rPr>
          <w:fldChar w:fldCharType="begin"/>
        </w:r>
        <w:r>
          <w:rPr>
            <w:noProof/>
            <w:webHidden/>
          </w:rPr>
          <w:instrText xml:space="preserve"> PAGEREF _Toc243922778 \h </w:instrText>
        </w:r>
        <w:r>
          <w:rPr>
            <w:noProof/>
            <w:webHidden/>
          </w:rPr>
        </w:r>
        <w:r>
          <w:rPr>
            <w:noProof/>
            <w:webHidden/>
          </w:rPr>
          <w:fldChar w:fldCharType="separate"/>
        </w:r>
        <w:r>
          <w:rPr>
            <w:noProof/>
            <w:webHidden/>
          </w:rPr>
          <w:t>167</w:t>
        </w:r>
        <w:r>
          <w:rPr>
            <w:noProof/>
            <w:webHidden/>
          </w:rPr>
          <w:fldChar w:fldCharType="end"/>
        </w:r>
      </w:hyperlink>
    </w:p>
    <w:p w14:paraId="34D3C574" w14:textId="61EF718B">
      <w:pPr>
        <w:pStyle w:val="TJ2"/>
        <w:rPr>
          <w:rFonts w:asciiTheme="minorHAnsi" w:hAnsiTheme="minorHAnsi" w:cstheme="minorBidi"/>
          <w:noProof/>
          <w:sz w:val="24"/>
          <w:szCs w:val="21"/>
          <w:lang w:eastAsia="en-GB" w:bidi="sa-IN"/>
        </w:rPr>
      </w:pPr>
      <w:hyperlink w:anchor="_Toc243922779" w:history="1">
        <w:r>
          <w:rPr>
            <w:rStyle w:val="Hiperhivatkozs"/>
            <w:noProof/>
            <w:lang w:bidi="ar-SA"/>
          </w:rPr>
          <w:t>13.3. The structured bibliography</w:t>
        </w:r>
        <w:r>
          <w:rPr>
            <w:noProof/>
            <w:webHidden/>
          </w:rPr>
          <w:tab/>
        </w:r>
        <w:r>
          <w:rPr>
            <w:noProof/>
            <w:webHidden/>
          </w:rPr>
          <w:fldChar w:fldCharType="begin"/>
        </w:r>
        <w:r>
          <w:rPr>
            <w:noProof/>
            <w:webHidden/>
          </w:rPr>
          <w:instrText xml:space="preserve"> PAGEREF _Toc243922779 \h </w:instrText>
        </w:r>
        <w:r>
          <w:rPr>
            <w:noProof/>
            <w:webHidden/>
          </w:rPr>
        </w:r>
        <w:r>
          <w:rPr>
            <w:noProof/>
            <w:webHidden/>
          </w:rPr>
          <w:fldChar w:fldCharType="separate"/>
        </w:r>
        <w:r>
          <w:rPr>
            <w:noProof/>
            <w:webHidden/>
          </w:rPr>
          <w:t>167</w:t>
        </w:r>
        <w:r>
          <w:rPr>
            <w:noProof/>
            <w:webHidden/>
          </w:rPr>
          <w:fldChar w:fldCharType="end"/>
        </w:r>
      </w:hyperlink>
    </w:p>
    <w:p w14:paraId="3B4AD286" w14:textId="71099EBD">
      <w:pPr>
        <w:pStyle w:val="TJ3"/>
        <w:rPr>
          <w:rFonts w:asciiTheme="minorHAnsi" w:hAnsiTheme="minorHAnsi" w:cstheme="minorBidi"/>
          <w:noProof/>
          <w:sz w:val="24"/>
          <w:szCs w:val="21"/>
          <w:lang w:eastAsia="en-GB" w:bidi="sa-IN"/>
        </w:rPr>
      </w:pPr>
      <w:hyperlink w:anchor="_Toc243922780" w:history="1">
        <w:r>
          <w:rPr>
            <w:rStyle w:val="Hiperhivatkozs"/>
            <w:noProof/>
            <w:lang w:bidi="ar-SA"/>
          </w:rPr>
          <w:t>13.3.1. The primary bibliography</w:t>
        </w:r>
        <w:r>
          <w:rPr>
            <w:noProof/>
            <w:webHidden/>
          </w:rPr>
          <w:tab/>
        </w:r>
        <w:r>
          <w:rPr>
            <w:noProof/>
            <w:webHidden/>
          </w:rPr>
          <w:fldChar w:fldCharType="begin"/>
        </w:r>
        <w:r>
          <w:rPr>
            <w:noProof/>
            <w:webHidden/>
          </w:rPr>
          <w:instrText xml:space="preserve"> PAGEREF _Toc243922780 \h </w:instrText>
        </w:r>
        <w:r>
          <w:rPr>
            <w:noProof/>
            <w:webHidden/>
          </w:rPr>
        </w:r>
        <w:r>
          <w:rPr>
            <w:noProof/>
            <w:webHidden/>
          </w:rPr>
          <w:fldChar w:fldCharType="separate"/>
        </w:r>
        <w:r>
          <w:rPr>
            <w:noProof/>
            <w:webHidden/>
          </w:rPr>
          <w:t>168</w:t>
        </w:r>
        <w:r>
          <w:rPr>
            <w:noProof/>
            <w:webHidden/>
          </w:rPr>
          <w:fldChar w:fldCharType="end"/>
        </w:r>
      </w:hyperlink>
    </w:p>
    <w:p w14:paraId="407B4149" w14:textId="55C99C77">
      <w:pPr>
        <w:pStyle w:val="TJ3"/>
        <w:rPr>
          <w:rFonts w:asciiTheme="minorHAnsi" w:hAnsiTheme="minorHAnsi" w:cstheme="minorBidi"/>
          <w:noProof/>
          <w:sz w:val="24"/>
          <w:szCs w:val="21"/>
          <w:lang w:eastAsia="en-GB" w:bidi="sa-IN"/>
        </w:rPr>
      </w:pPr>
      <w:hyperlink w:anchor="_Toc243922781" w:history="1">
        <w:r>
          <w:rPr>
            <w:rStyle w:val="Hiperhivatkozs"/>
            <w:noProof/>
            <w:lang w:bidi="ar-SA"/>
          </w:rPr>
          <w:t>13.3.2. The secondary bibliography</w:t>
        </w:r>
        <w:r>
          <w:rPr>
            <w:noProof/>
            <w:webHidden/>
          </w:rPr>
          <w:tab/>
        </w:r>
        <w:r>
          <w:rPr>
            <w:noProof/>
            <w:webHidden/>
          </w:rPr>
          <w:fldChar w:fldCharType="begin"/>
        </w:r>
        <w:r>
          <w:rPr>
            <w:noProof/>
            <w:webHidden/>
          </w:rPr>
          <w:instrText xml:space="preserve"> PAGEREF _Toc243922781 \h </w:instrText>
        </w:r>
        <w:r>
          <w:rPr>
            <w:noProof/>
            <w:webHidden/>
          </w:rPr>
        </w:r>
        <w:r>
          <w:rPr>
            <w:noProof/>
            <w:webHidden/>
          </w:rPr>
          <w:fldChar w:fldCharType="separate"/>
        </w:r>
        <w:r>
          <w:rPr>
            <w:noProof/>
            <w:webHidden/>
          </w:rPr>
          <w:t>168</w:t>
        </w:r>
        <w:r>
          <w:rPr>
            <w:noProof/>
            <w:webHidden/>
          </w:rPr>
          <w:fldChar w:fldCharType="end"/>
        </w:r>
      </w:hyperlink>
    </w:p>
    <w:p w14:paraId="538468DB" w14:textId="1B7869C6">
      <w:pPr>
        <w:pStyle w:val="TJ3"/>
        <w:rPr>
          <w:rFonts w:asciiTheme="minorHAnsi" w:hAnsiTheme="minorHAnsi" w:cstheme="minorBidi"/>
          <w:noProof/>
          <w:sz w:val="24"/>
          <w:szCs w:val="21"/>
          <w:lang w:eastAsia="en-GB" w:bidi="sa-IN"/>
        </w:rPr>
      </w:pPr>
      <w:hyperlink w:anchor="_Toc243922782" w:history="1">
        <w:r>
          <w:rPr>
            <w:rStyle w:val="Hiperhivatkozs"/>
            <w:noProof/>
            <w:lang w:bidi="ar-SA"/>
          </w:rPr>
          <w:t>13.3.3. Bibliographic sigla</w:t>
        </w:r>
        <w:r>
          <w:rPr>
            <w:noProof/>
            <w:webHidden/>
          </w:rPr>
          <w:tab/>
        </w:r>
        <w:r>
          <w:rPr>
            <w:noProof/>
            <w:webHidden/>
          </w:rPr>
          <w:fldChar w:fldCharType="begin"/>
        </w:r>
        <w:r>
          <w:rPr>
            <w:noProof/>
            <w:webHidden/>
          </w:rPr>
          <w:instrText xml:space="preserve"> PAGEREF _Toc243922782 \h </w:instrText>
        </w:r>
        <w:r>
          <w:rPr>
            <w:noProof/>
            <w:webHidden/>
          </w:rPr>
        </w:r>
        <w:r>
          <w:rPr>
            <w:noProof/>
            <w:webHidden/>
          </w:rPr>
          <w:fldChar w:fldCharType="separate"/>
        </w:r>
        <w:r>
          <w:rPr>
            <w:noProof/>
            <w:webHidden/>
          </w:rPr>
          <w:t>168</w:t>
        </w:r>
        <w:r>
          <w:rPr>
            <w:noProof/>
            <w:webHidden/>
          </w:rPr>
          <w:fldChar w:fldCharType="end"/>
        </w:r>
      </w:hyperlink>
    </w:p>
    <w:p w14:paraId="19B78383" w14:textId="1281F1C2">
      <w:pPr>
        <w:pStyle w:val="TJ1"/>
        <w:rPr>
          <w:rFonts w:asciiTheme="minorHAnsi" w:hAnsiTheme="minorHAnsi" w:cstheme="minorBidi"/>
          <w:b w:val="0"/>
          <w:noProof/>
          <w:sz w:val="24"/>
          <w:szCs w:val="21"/>
          <w:lang w:eastAsia="en-GB" w:bidi="sa-IN"/>
        </w:rPr>
      </w:pPr>
      <w:hyperlink w:anchor="_Toc243922783" w:history="1">
        <w:r>
          <w:rPr>
            <w:rStyle w:val="Hiperhivatkozs"/>
            <w:noProof/>
            <w:lang w:bidi="ar-SA"/>
          </w:rPr>
          <w:t>14. Globally available markup outside the edition</w:t>
        </w:r>
        <w:r>
          <w:rPr>
            <w:noProof/>
            <w:webHidden/>
          </w:rPr>
          <w:tab/>
        </w:r>
        <w:r>
          <w:rPr>
            <w:noProof/>
            <w:webHidden/>
          </w:rPr>
          <w:fldChar w:fldCharType="begin"/>
        </w:r>
        <w:r>
          <w:rPr>
            <w:noProof/>
            <w:webHidden/>
          </w:rPr>
          <w:instrText xml:space="preserve"> PAGEREF _Toc243922783 \h </w:instrText>
        </w:r>
        <w:r>
          <w:rPr>
            <w:noProof/>
            <w:webHidden/>
          </w:rPr>
        </w:r>
        <w:r>
          <w:rPr>
            <w:noProof/>
            <w:webHidden/>
          </w:rPr>
          <w:fldChar w:fldCharType="separate"/>
        </w:r>
        <w:r>
          <w:rPr>
            <w:noProof/>
            <w:webHidden/>
          </w:rPr>
          <w:t>170</w:t>
        </w:r>
        <w:r>
          <w:rPr>
            <w:noProof/>
            <w:webHidden/>
          </w:rPr>
          <w:fldChar w:fldCharType="end"/>
        </w:r>
      </w:hyperlink>
    </w:p>
    <w:p w14:paraId="303CE5EC" w14:textId="722D70B5">
      <w:pPr>
        <w:pStyle w:val="TJ2"/>
        <w:rPr>
          <w:rFonts w:asciiTheme="minorHAnsi" w:hAnsiTheme="minorHAnsi" w:cstheme="minorBidi"/>
          <w:noProof/>
          <w:sz w:val="24"/>
          <w:szCs w:val="21"/>
          <w:lang w:eastAsia="en-GB" w:bidi="sa-IN"/>
        </w:rPr>
      </w:pPr>
      <w:hyperlink w:anchor="_Toc243922784" w:history="1">
        <w:r>
          <w:rPr>
            <w:rStyle w:val="Hiperhivatkozs"/>
            <w:noProof/>
            <w:lang w:bidi="ar-SA"/>
          </w:rPr>
          <w:t>14.1. Using editorial markup outside the edition</w:t>
        </w:r>
        <w:r>
          <w:rPr>
            <w:noProof/>
            <w:webHidden/>
          </w:rPr>
          <w:tab/>
        </w:r>
        <w:r>
          <w:rPr>
            <w:noProof/>
            <w:webHidden/>
          </w:rPr>
          <w:fldChar w:fldCharType="begin"/>
        </w:r>
        <w:r>
          <w:rPr>
            <w:noProof/>
            <w:webHidden/>
          </w:rPr>
          <w:instrText xml:space="preserve"> PAGEREF _Toc243922784 \h </w:instrText>
        </w:r>
        <w:r>
          <w:rPr>
            <w:noProof/>
            <w:webHidden/>
          </w:rPr>
        </w:r>
        <w:r>
          <w:rPr>
            <w:noProof/>
            <w:webHidden/>
          </w:rPr>
          <w:fldChar w:fldCharType="separate"/>
        </w:r>
        <w:r>
          <w:rPr>
            <w:noProof/>
            <w:webHidden/>
          </w:rPr>
          <w:t>170</w:t>
        </w:r>
        <w:r>
          <w:rPr>
            <w:noProof/>
            <w:webHidden/>
          </w:rPr>
          <w:fldChar w:fldCharType="end"/>
        </w:r>
      </w:hyperlink>
    </w:p>
    <w:p w14:paraId="2B4D6474" w14:textId="2CAAD38C">
      <w:pPr>
        <w:pStyle w:val="TJ2"/>
        <w:rPr>
          <w:rFonts w:asciiTheme="minorHAnsi" w:hAnsiTheme="minorHAnsi" w:cstheme="minorBidi"/>
          <w:noProof/>
          <w:sz w:val="24"/>
          <w:szCs w:val="21"/>
          <w:lang w:eastAsia="en-GB" w:bidi="sa-IN"/>
        </w:rPr>
      </w:pPr>
      <w:hyperlink w:anchor="_Toc243922785" w:history="1">
        <w:r>
          <w:rPr>
            <w:rStyle w:val="Hiperhivatkozs"/>
            <w:noProof/>
            <w:lang w:bidi="ar-SA"/>
          </w:rPr>
          <w:t>14.2. Character formatting</w:t>
        </w:r>
        <w:r>
          <w:rPr>
            <w:noProof/>
            <w:webHidden/>
          </w:rPr>
          <w:tab/>
        </w:r>
        <w:r>
          <w:rPr>
            <w:noProof/>
            <w:webHidden/>
          </w:rPr>
          <w:fldChar w:fldCharType="begin"/>
        </w:r>
        <w:r>
          <w:rPr>
            <w:noProof/>
            <w:webHidden/>
          </w:rPr>
          <w:instrText xml:space="preserve"> PAGEREF _Toc243922785 \h </w:instrText>
        </w:r>
        <w:r>
          <w:rPr>
            <w:noProof/>
            <w:webHidden/>
          </w:rPr>
        </w:r>
        <w:r>
          <w:rPr>
            <w:noProof/>
            <w:webHidden/>
          </w:rPr>
          <w:fldChar w:fldCharType="separate"/>
        </w:r>
        <w:r>
          <w:rPr>
            <w:noProof/>
            <w:webHidden/>
          </w:rPr>
          <w:t>170</w:t>
        </w:r>
        <w:r>
          <w:rPr>
            <w:noProof/>
            <w:webHidden/>
          </w:rPr>
          <w:fldChar w:fldCharType="end"/>
        </w:r>
      </w:hyperlink>
    </w:p>
    <w:p w14:paraId="53138830" w14:textId="187177F8">
      <w:pPr>
        <w:pStyle w:val="TJ3"/>
        <w:rPr>
          <w:rFonts w:asciiTheme="minorHAnsi" w:hAnsiTheme="minorHAnsi" w:cstheme="minorBidi"/>
          <w:noProof/>
          <w:sz w:val="24"/>
          <w:szCs w:val="21"/>
          <w:lang w:eastAsia="en-GB" w:bidi="sa-IN"/>
        </w:rPr>
      </w:pPr>
      <w:hyperlink w:anchor="_Toc243922786" w:history="1">
        <w:r>
          <w:rPr>
            <w:rStyle w:val="Hiperhivatkozs"/>
            <w:noProof/>
            <w:lang w:bidi="ar-SA"/>
          </w:rPr>
          <w:t>14.2.1. Emphasis</w:t>
        </w:r>
        <w:r>
          <w:rPr>
            <w:noProof/>
            <w:webHidden/>
          </w:rPr>
          <w:tab/>
        </w:r>
        <w:r>
          <w:rPr>
            <w:noProof/>
            <w:webHidden/>
          </w:rPr>
          <w:fldChar w:fldCharType="begin"/>
        </w:r>
        <w:r>
          <w:rPr>
            <w:noProof/>
            <w:webHidden/>
          </w:rPr>
          <w:instrText xml:space="preserve"> PAGEREF _Toc243922786 \h </w:instrText>
        </w:r>
        <w:r>
          <w:rPr>
            <w:noProof/>
            <w:webHidden/>
          </w:rPr>
        </w:r>
        <w:r>
          <w:rPr>
            <w:noProof/>
            <w:webHidden/>
          </w:rPr>
          <w:fldChar w:fldCharType="separate"/>
        </w:r>
        <w:r>
          <w:rPr>
            <w:noProof/>
            <w:webHidden/>
          </w:rPr>
          <w:t>171</w:t>
        </w:r>
        <w:r>
          <w:rPr>
            <w:noProof/>
            <w:webHidden/>
          </w:rPr>
          <w:fldChar w:fldCharType="end"/>
        </w:r>
      </w:hyperlink>
    </w:p>
    <w:p w14:paraId="2F5C6F4F" w14:textId="25102768">
      <w:pPr>
        <w:pStyle w:val="TJ3"/>
        <w:rPr>
          <w:rFonts w:asciiTheme="minorHAnsi" w:hAnsiTheme="minorHAnsi" w:cstheme="minorBidi"/>
          <w:noProof/>
          <w:sz w:val="24"/>
          <w:szCs w:val="21"/>
          <w:lang w:eastAsia="en-GB" w:bidi="sa-IN"/>
        </w:rPr>
      </w:pPr>
      <w:hyperlink w:anchor="_Toc243922787" w:history="1">
        <w:r>
          <w:rPr>
            <w:rStyle w:val="Hiperhivatkozs"/>
            <w:noProof/>
            <w:lang w:bidi="ar-SA"/>
          </w:rPr>
          <w:t>14.2.2. Subscript and superscript</w:t>
        </w:r>
        <w:r>
          <w:rPr>
            <w:noProof/>
            <w:webHidden/>
          </w:rPr>
          <w:tab/>
        </w:r>
        <w:r>
          <w:rPr>
            <w:noProof/>
            <w:webHidden/>
          </w:rPr>
          <w:fldChar w:fldCharType="begin"/>
        </w:r>
        <w:r>
          <w:rPr>
            <w:noProof/>
            <w:webHidden/>
          </w:rPr>
          <w:instrText xml:space="preserve"> PAGEREF _Toc243922787 \h </w:instrText>
        </w:r>
        <w:r>
          <w:rPr>
            <w:noProof/>
            <w:webHidden/>
          </w:rPr>
        </w:r>
        <w:r>
          <w:rPr>
            <w:noProof/>
            <w:webHidden/>
          </w:rPr>
          <w:fldChar w:fldCharType="separate"/>
        </w:r>
        <w:r>
          <w:rPr>
            <w:noProof/>
            <w:webHidden/>
          </w:rPr>
          <w:t>171</w:t>
        </w:r>
        <w:r>
          <w:rPr>
            <w:noProof/>
            <w:webHidden/>
          </w:rPr>
          <w:fldChar w:fldCharType="end"/>
        </w:r>
      </w:hyperlink>
    </w:p>
    <w:p w14:paraId="0826E353" w14:textId="4A7B4DCE">
      <w:pPr>
        <w:pStyle w:val="TJ3"/>
        <w:rPr>
          <w:rFonts w:asciiTheme="minorHAnsi" w:hAnsiTheme="minorHAnsi" w:cstheme="minorBidi"/>
          <w:noProof/>
          <w:sz w:val="24"/>
          <w:szCs w:val="21"/>
          <w:lang w:eastAsia="en-GB" w:bidi="sa-IN"/>
        </w:rPr>
      </w:pPr>
      <w:hyperlink w:anchor="_Toc243922788" w:history="1">
        <w:r>
          <w:rPr>
            <w:rStyle w:val="Hiperhivatkozs"/>
            <w:noProof/>
            <w:lang w:bidi="ar-SA"/>
          </w:rPr>
          <w:t>14.2.3. Grantha script</w:t>
        </w:r>
        <w:r>
          <w:rPr>
            <w:noProof/>
            <w:webHidden/>
          </w:rPr>
          <w:tab/>
        </w:r>
        <w:r>
          <w:rPr>
            <w:noProof/>
            <w:webHidden/>
          </w:rPr>
          <w:fldChar w:fldCharType="begin"/>
        </w:r>
        <w:r>
          <w:rPr>
            <w:noProof/>
            <w:webHidden/>
          </w:rPr>
          <w:instrText xml:space="preserve"> PAGEREF _Toc243922788 \h </w:instrText>
        </w:r>
        <w:r>
          <w:rPr>
            <w:noProof/>
            <w:webHidden/>
          </w:rPr>
        </w:r>
        <w:r>
          <w:rPr>
            <w:noProof/>
            <w:webHidden/>
          </w:rPr>
          <w:fldChar w:fldCharType="separate"/>
        </w:r>
        <w:r>
          <w:rPr>
            <w:noProof/>
            <w:webHidden/>
          </w:rPr>
          <w:t>171</w:t>
        </w:r>
        <w:r>
          <w:rPr>
            <w:noProof/>
            <w:webHidden/>
          </w:rPr>
          <w:fldChar w:fldCharType="end"/>
        </w:r>
      </w:hyperlink>
    </w:p>
    <w:p w14:paraId="56EB8E6A" w14:textId="704E257F">
      <w:pPr>
        <w:pStyle w:val="TJ3"/>
        <w:rPr>
          <w:rFonts w:asciiTheme="minorHAnsi" w:hAnsiTheme="minorHAnsi" w:cstheme="minorBidi"/>
          <w:noProof/>
          <w:sz w:val="24"/>
          <w:szCs w:val="21"/>
          <w:lang w:eastAsia="en-GB" w:bidi="sa-IN"/>
        </w:rPr>
      </w:pPr>
      <w:hyperlink w:anchor="_Toc243922789" w:history="1">
        <w:r>
          <w:rPr>
            <w:rStyle w:val="Hiperhivatkozs"/>
            <w:noProof/>
            <w:lang w:bidi="ar-SA"/>
          </w:rPr>
          <w:t>14.2.4. Highlighting for review</w:t>
        </w:r>
        <w:r>
          <w:rPr>
            <w:noProof/>
            <w:webHidden/>
          </w:rPr>
          <w:tab/>
        </w:r>
        <w:r>
          <w:rPr>
            <w:noProof/>
            <w:webHidden/>
          </w:rPr>
          <w:fldChar w:fldCharType="begin"/>
        </w:r>
        <w:r>
          <w:rPr>
            <w:noProof/>
            <w:webHidden/>
          </w:rPr>
          <w:instrText xml:space="preserve"> PAGEREF _Toc243922789 \h </w:instrText>
        </w:r>
        <w:r>
          <w:rPr>
            <w:noProof/>
            <w:webHidden/>
          </w:rPr>
        </w:r>
        <w:r>
          <w:rPr>
            <w:noProof/>
            <w:webHidden/>
          </w:rPr>
          <w:fldChar w:fldCharType="separate"/>
        </w:r>
        <w:r>
          <w:rPr>
            <w:noProof/>
            <w:webHidden/>
          </w:rPr>
          <w:t>171</w:t>
        </w:r>
        <w:r>
          <w:rPr>
            <w:noProof/>
            <w:webHidden/>
          </w:rPr>
          <w:fldChar w:fldCharType="end"/>
        </w:r>
      </w:hyperlink>
    </w:p>
    <w:p w14:paraId="25C3593E" w14:textId="2D2EF7AB">
      <w:pPr>
        <w:pStyle w:val="TJ2"/>
        <w:rPr>
          <w:rFonts w:asciiTheme="minorHAnsi" w:hAnsiTheme="minorHAnsi" w:cstheme="minorBidi"/>
          <w:noProof/>
          <w:sz w:val="24"/>
          <w:szCs w:val="21"/>
          <w:lang w:eastAsia="en-GB" w:bidi="sa-IN"/>
        </w:rPr>
      </w:pPr>
      <w:hyperlink w:anchor="_Toc243922790" w:history="1">
        <w:r>
          <w:rPr>
            <w:rStyle w:val="Hiperhivatkozs"/>
            <w:noProof/>
            <w:lang w:bidi="ar-SA"/>
          </w:rPr>
          <w:t>14.3. Block-level containers outside the edition</w:t>
        </w:r>
        <w:r>
          <w:rPr>
            <w:noProof/>
            <w:webHidden/>
          </w:rPr>
          <w:tab/>
        </w:r>
        <w:r>
          <w:rPr>
            <w:noProof/>
            <w:webHidden/>
          </w:rPr>
          <w:fldChar w:fldCharType="begin"/>
        </w:r>
        <w:r>
          <w:rPr>
            <w:noProof/>
            <w:webHidden/>
          </w:rPr>
          <w:instrText xml:space="preserve"> PAGEREF _Toc243922790 \h </w:instrText>
        </w:r>
        <w:r>
          <w:rPr>
            <w:noProof/>
            <w:webHidden/>
          </w:rPr>
        </w:r>
        <w:r>
          <w:rPr>
            <w:noProof/>
            <w:webHidden/>
          </w:rPr>
          <w:fldChar w:fldCharType="separate"/>
        </w:r>
        <w:r>
          <w:rPr>
            <w:noProof/>
            <w:webHidden/>
          </w:rPr>
          <w:t>171</w:t>
        </w:r>
        <w:r>
          <w:rPr>
            <w:noProof/>
            <w:webHidden/>
          </w:rPr>
          <w:fldChar w:fldCharType="end"/>
        </w:r>
      </w:hyperlink>
    </w:p>
    <w:p w14:paraId="5243661B" w14:textId="1C5CCA0E">
      <w:pPr>
        <w:pStyle w:val="TJ3"/>
        <w:rPr>
          <w:rFonts w:asciiTheme="minorHAnsi" w:hAnsiTheme="minorHAnsi" w:cstheme="minorBidi"/>
          <w:noProof/>
          <w:sz w:val="24"/>
          <w:szCs w:val="21"/>
          <w:lang w:eastAsia="en-GB" w:bidi="sa-IN"/>
        </w:rPr>
      </w:pPr>
      <w:hyperlink w:anchor="_Toc243922791" w:history="1">
        <w:r>
          <w:rPr>
            <w:rStyle w:val="Hiperhivatkozs"/>
            <w:noProof/>
            <w:lang w:bidi="ar-SA"/>
          </w:rPr>
          <w:t>14.3.1. Paragraphs</w:t>
        </w:r>
        <w:r>
          <w:rPr>
            <w:noProof/>
            <w:webHidden/>
          </w:rPr>
          <w:tab/>
        </w:r>
        <w:r>
          <w:rPr>
            <w:noProof/>
            <w:webHidden/>
          </w:rPr>
          <w:fldChar w:fldCharType="begin"/>
        </w:r>
        <w:r>
          <w:rPr>
            <w:noProof/>
            <w:webHidden/>
          </w:rPr>
          <w:instrText xml:space="preserve"> PAGEREF _Toc243922791 \h </w:instrText>
        </w:r>
        <w:r>
          <w:rPr>
            <w:noProof/>
            <w:webHidden/>
          </w:rPr>
        </w:r>
        <w:r>
          <w:rPr>
            <w:noProof/>
            <w:webHidden/>
          </w:rPr>
          <w:fldChar w:fldCharType="separate"/>
        </w:r>
        <w:r>
          <w:rPr>
            <w:noProof/>
            <w:webHidden/>
          </w:rPr>
          <w:t>171</w:t>
        </w:r>
        <w:r>
          <w:rPr>
            <w:noProof/>
            <w:webHidden/>
          </w:rPr>
          <w:fldChar w:fldCharType="end"/>
        </w:r>
      </w:hyperlink>
    </w:p>
    <w:p w14:paraId="7EB0F7B1" w14:textId="1D656062">
      <w:pPr>
        <w:pStyle w:val="TJ3"/>
        <w:rPr>
          <w:rFonts w:asciiTheme="minorHAnsi" w:hAnsiTheme="minorHAnsi" w:cstheme="minorBidi"/>
          <w:noProof/>
          <w:sz w:val="24"/>
          <w:szCs w:val="21"/>
          <w:lang w:eastAsia="en-GB" w:bidi="sa-IN"/>
        </w:rPr>
      </w:pPr>
      <w:hyperlink w:anchor="_Toc243922792" w:history="1">
        <w:r>
          <w:rPr>
            <w:rStyle w:val="Hiperhivatkozs"/>
            <w:noProof/>
            <w:lang w:bidi="ar-SA"/>
          </w:rPr>
          <w:t>14.3.2. Verse containers</w:t>
        </w:r>
        <w:r>
          <w:rPr>
            <w:noProof/>
            <w:webHidden/>
          </w:rPr>
          <w:tab/>
        </w:r>
        <w:r>
          <w:rPr>
            <w:noProof/>
            <w:webHidden/>
          </w:rPr>
          <w:fldChar w:fldCharType="begin"/>
        </w:r>
        <w:r>
          <w:rPr>
            <w:noProof/>
            <w:webHidden/>
          </w:rPr>
          <w:instrText xml:space="preserve"> PAGEREF _Toc243922792 \h </w:instrText>
        </w:r>
        <w:r>
          <w:rPr>
            <w:noProof/>
            <w:webHidden/>
          </w:rPr>
        </w:r>
        <w:r>
          <w:rPr>
            <w:noProof/>
            <w:webHidden/>
          </w:rPr>
          <w:fldChar w:fldCharType="separate"/>
        </w:r>
        <w:r>
          <w:rPr>
            <w:noProof/>
            <w:webHidden/>
          </w:rPr>
          <w:t>172</w:t>
        </w:r>
        <w:r>
          <w:rPr>
            <w:noProof/>
            <w:webHidden/>
          </w:rPr>
          <w:fldChar w:fldCharType="end"/>
        </w:r>
      </w:hyperlink>
    </w:p>
    <w:p w14:paraId="661B31FE" w14:textId="14DBFD86">
      <w:pPr>
        <w:pStyle w:val="TJ3"/>
        <w:rPr>
          <w:rFonts w:asciiTheme="minorHAnsi" w:hAnsiTheme="minorHAnsi" w:cstheme="minorBidi"/>
          <w:noProof/>
          <w:sz w:val="24"/>
          <w:szCs w:val="21"/>
          <w:lang w:eastAsia="en-GB" w:bidi="sa-IN"/>
        </w:rPr>
      </w:pPr>
      <w:hyperlink w:anchor="_Toc243922793" w:history="1">
        <w:r>
          <w:rPr>
            <w:rStyle w:val="Hiperhivatkozs"/>
            <w:noProof/>
            <w:lang w:bidi="ar-SA"/>
          </w:rPr>
          <w:t>14.3.3. Block quotes</w:t>
        </w:r>
        <w:r>
          <w:rPr>
            <w:noProof/>
            <w:webHidden/>
          </w:rPr>
          <w:tab/>
        </w:r>
        <w:r>
          <w:rPr>
            <w:noProof/>
            <w:webHidden/>
          </w:rPr>
          <w:fldChar w:fldCharType="begin"/>
        </w:r>
        <w:r>
          <w:rPr>
            <w:noProof/>
            <w:webHidden/>
          </w:rPr>
          <w:instrText xml:space="preserve"> PAGEREF _Toc243922793 \h </w:instrText>
        </w:r>
        <w:r>
          <w:rPr>
            <w:noProof/>
            <w:webHidden/>
          </w:rPr>
        </w:r>
        <w:r>
          <w:rPr>
            <w:noProof/>
            <w:webHidden/>
          </w:rPr>
          <w:fldChar w:fldCharType="separate"/>
        </w:r>
        <w:r>
          <w:rPr>
            <w:noProof/>
            <w:webHidden/>
          </w:rPr>
          <w:t>172</w:t>
        </w:r>
        <w:r>
          <w:rPr>
            <w:noProof/>
            <w:webHidden/>
          </w:rPr>
          <w:fldChar w:fldCharType="end"/>
        </w:r>
      </w:hyperlink>
    </w:p>
    <w:p w14:paraId="3C59BE4E" w14:textId="5FC3ED7F">
      <w:pPr>
        <w:pStyle w:val="TJ3"/>
        <w:rPr>
          <w:rFonts w:asciiTheme="minorHAnsi" w:hAnsiTheme="minorHAnsi" w:cstheme="minorBidi"/>
          <w:noProof/>
          <w:sz w:val="24"/>
          <w:szCs w:val="21"/>
          <w:lang w:eastAsia="en-GB" w:bidi="sa-IN"/>
        </w:rPr>
      </w:pPr>
      <w:hyperlink w:anchor="_Toc243922794" w:history="1">
        <w:r>
          <w:rPr>
            <w:rStyle w:val="Hiperhivatkozs"/>
            <w:noProof/>
            <w:lang w:bidi="ar-SA"/>
          </w:rPr>
          <w:t>14.3.4. Lists</w:t>
        </w:r>
        <w:r>
          <w:rPr>
            <w:noProof/>
            <w:webHidden/>
          </w:rPr>
          <w:tab/>
        </w:r>
        <w:r>
          <w:rPr>
            <w:noProof/>
            <w:webHidden/>
          </w:rPr>
          <w:fldChar w:fldCharType="begin"/>
        </w:r>
        <w:r>
          <w:rPr>
            <w:noProof/>
            <w:webHidden/>
          </w:rPr>
          <w:instrText xml:space="preserve"> PAGEREF _Toc243922794 \h </w:instrText>
        </w:r>
        <w:r>
          <w:rPr>
            <w:noProof/>
            <w:webHidden/>
          </w:rPr>
        </w:r>
        <w:r>
          <w:rPr>
            <w:noProof/>
            <w:webHidden/>
          </w:rPr>
          <w:fldChar w:fldCharType="separate"/>
        </w:r>
        <w:r>
          <w:rPr>
            <w:noProof/>
            <w:webHidden/>
          </w:rPr>
          <w:t>172</w:t>
        </w:r>
        <w:r>
          <w:rPr>
            <w:noProof/>
            <w:webHidden/>
          </w:rPr>
          <w:fldChar w:fldCharType="end"/>
        </w:r>
      </w:hyperlink>
    </w:p>
    <w:p w14:paraId="59E698CA" w14:textId="5DFD77D5">
      <w:pPr>
        <w:pStyle w:val="TJ2"/>
        <w:rPr>
          <w:rFonts w:asciiTheme="minorHAnsi" w:hAnsiTheme="minorHAnsi" w:cstheme="minorBidi"/>
          <w:noProof/>
          <w:sz w:val="24"/>
          <w:szCs w:val="21"/>
          <w:lang w:eastAsia="en-GB" w:bidi="sa-IN"/>
        </w:rPr>
      </w:pPr>
      <w:hyperlink w:anchor="_Toc243922795" w:history="1">
        <w:r>
          <w:rPr>
            <w:rStyle w:val="Hiperhivatkozs"/>
            <w:noProof/>
            <w:lang w:bidi="ar-SA"/>
          </w:rPr>
          <w:t>14.4. Languages</w:t>
        </w:r>
        <w:r>
          <w:rPr>
            <w:noProof/>
            <w:webHidden/>
          </w:rPr>
          <w:tab/>
        </w:r>
        <w:r>
          <w:rPr>
            <w:noProof/>
            <w:webHidden/>
          </w:rPr>
          <w:fldChar w:fldCharType="begin"/>
        </w:r>
        <w:r>
          <w:rPr>
            <w:noProof/>
            <w:webHidden/>
          </w:rPr>
          <w:instrText xml:space="preserve"> PAGEREF _Toc243922795 \h </w:instrText>
        </w:r>
        <w:r>
          <w:rPr>
            <w:noProof/>
            <w:webHidden/>
          </w:rPr>
        </w:r>
        <w:r>
          <w:rPr>
            <w:noProof/>
            <w:webHidden/>
          </w:rPr>
          <w:fldChar w:fldCharType="separate"/>
        </w:r>
        <w:r>
          <w:rPr>
            <w:noProof/>
            <w:webHidden/>
          </w:rPr>
          <w:t>174</w:t>
        </w:r>
        <w:r>
          <w:rPr>
            <w:noProof/>
            <w:webHidden/>
          </w:rPr>
          <w:fldChar w:fldCharType="end"/>
        </w:r>
      </w:hyperlink>
    </w:p>
    <w:p w14:paraId="7E807125" w14:textId="569F2891">
      <w:pPr>
        <w:pStyle w:val="TJ3"/>
        <w:rPr>
          <w:rFonts w:asciiTheme="minorHAnsi" w:hAnsiTheme="minorHAnsi" w:cstheme="minorBidi"/>
          <w:noProof/>
          <w:sz w:val="24"/>
          <w:szCs w:val="21"/>
          <w:lang w:eastAsia="en-GB" w:bidi="sa-IN"/>
        </w:rPr>
      </w:pPr>
      <w:hyperlink w:anchor="_Toc243922796" w:history="1">
        <w:r>
          <w:rPr>
            <w:rStyle w:val="Hiperhivatkozs"/>
            <w:noProof/>
            <w:lang w:bidi="ar-SA"/>
          </w:rPr>
          <w:t>14.4.1. Encoding language</w:t>
        </w:r>
        <w:r>
          <w:rPr>
            <w:noProof/>
            <w:webHidden/>
          </w:rPr>
          <w:tab/>
        </w:r>
        <w:r>
          <w:rPr>
            <w:noProof/>
            <w:webHidden/>
          </w:rPr>
          <w:fldChar w:fldCharType="begin"/>
        </w:r>
        <w:r>
          <w:rPr>
            <w:noProof/>
            <w:webHidden/>
          </w:rPr>
          <w:instrText xml:space="preserve"> PAGEREF _Toc243922796 \h </w:instrText>
        </w:r>
        <w:r>
          <w:rPr>
            <w:noProof/>
            <w:webHidden/>
          </w:rPr>
        </w:r>
        <w:r>
          <w:rPr>
            <w:noProof/>
            <w:webHidden/>
          </w:rPr>
          <w:fldChar w:fldCharType="separate"/>
        </w:r>
        <w:r>
          <w:rPr>
            <w:noProof/>
            <w:webHidden/>
          </w:rPr>
          <w:t>174</w:t>
        </w:r>
        <w:r>
          <w:rPr>
            <w:noProof/>
            <w:webHidden/>
          </w:rPr>
          <w:fldChar w:fldCharType="end"/>
        </w:r>
      </w:hyperlink>
    </w:p>
    <w:p w14:paraId="20818AA2" w14:textId="731891C7">
      <w:pPr>
        <w:pStyle w:val="TJ3"/>
        <w:rPr>
          <w:rFonts w:asciiTheme="minorHAnsi" w:hAnsiTheme="minorHAnsi" w:cstheme="minorBidi"/>
          <w:noProof/>
          <w:sz w:val="24"/>
          <w:szCs w:val="21"/>
          <w:lang w:eastAsia="en-GB" w:bidi="sa-IN"/>
        </w:rPr>
      </w:pPr>
      <w:hyperlink w:anchor="_Toc243922797" w:history="1">
        <w:r>
          <w:rPr>
            <w:rStyle w:val="Hiperhivatkozs"/>
            <w:noProof/>
            <w:lang w:bidi="ar-SA"/>
          </w:rPr>
          <w:t>14.4.2. Tagging foreign languages outside the edition</w:t>
        </w:r>
        <w:r>
          <w:rPr>
            <w:noProof/>
            <w:webHidden/>
          </w:rPr>
          <w:tab/>
        </w:r>
        <w:r>
          <w:rPr>
            <w:noProof/>
            <w:webHidden/>
          </w:rPr>
          <w:fldChar w:fldCharType="begin"/>
        </w:r>
        <w:r>
          <w:rPr>
            <w:noProof/>
            <w:webHidden/>
          </w:rPr>
          <w:instrText xml:space="preserve"> PAGEREF _Toc243922797 \h </w:instrText>
        </w:r>
        <w:r>
          <w:rPr>
            <w:noProof/>
            <w:webHidden/>
          </w:rPr>
        </w:r>
        <w:r>
          <w:rPr>
            <w:noProof/>
            <w:webHidden/>
          </w:rPr>
          <w:fldChar w:fldCharType="separate"/>
        </w:r>
        <w:r>
          <w:rPr>
            <w:noProof/>
            <w:webHidden/>
          </w:rPr>
          <w:t>175</w:t>
        </w:r>
        <w:r>
          <w:rPr>
            <w:noProof/>
            <w:webHidden/>
          </w:rPr>
          <w:fldChar w:fldCharType="end"/>
        </w:r>
      </w:hyperlink>
    </w:p>
    <w:p w14:paraId="24B03BCD" w14:textId="05AF7732">
      <w:pPr>
        <w:pStyle w:val="TJ2"/>
        <w:rPr>
          <w:rFonts w:asciiTheme="minorHAnsi" w:hAnsiTheme="minorHAnsi" w:cstheme="minorBidi"/>
          <w:noProof/>
          <w:sz w:val="24"/>
          <w:szCs w:val="21"/>
          <w:lang w:eastAsia="en-GB" w:bidi="sa-IN"/>
        </w:rPr>
      </w:pPr>
      <w:hyperlink w:anchor="_Toc243922798" w:history="1">
        <w:r>
          <w:rPr>
            <w:rStyle w:val="Hiperhivatkozs"/>
            <w:noProof/>
            <w:lang w:bidi="ar-SA"/>
          </w:rPr>
          <w:t>14.5. Notes</w:t>
        </w:r>
        <w:r>
          <w:rPr>
            <w:noProof/>
            <w:webHidden/>
          </w:rPr>
          <w:tab/>
        </w:r>
        <w:r>
          <w:rPr>
            <w:noProof/>
            <w:webHidden/>
          </w:rPr>
          <w:fldChar w:fldCharType="begin"/>
        </w:r>
        <w:r>
          <w:rPr>
            <w:noProof/>
            <w:webHidden/>
          </w:rPr>
          <w:instrText xml:space="preserve"> PAGEREF _Toc243922798 \h </w:instrText>
        </w:r>
        <w:r>
          <w:rPr>
            <w:noProof/>
            <w:webHidden/>
          </w:rPr>
        </w:r>
        <w:r>
          <w:rPr>
            <w:noProof/>
            <w:webHidden/>
          </w:rPr>
          <w:fldChar w:fldCharType="separate"/>
        </w:r>
        <w:r>
          <w:rPr>
            <w:noProof/>
            <w:webHidden/>
          </w:rPr>
          <w:t>176</w:t>
        </w:r>
        <w:r>
          <w:rPr>
            <w:noProof/>
            <w:webHidden/>
          </w:rPr>
          <w:fldChar w:fldCharType="end"/>
        </w:r>
      </w:hyperlink>
    </w:p>
    <w:p w14:paraId="17F2DDE0" w14:textId="3DED23E5">
      <w:pPr>
        <w:pStyle w:val="TJ3"/>
        <w:rPr>
          <w:rFonts w:asciiTheme="minorHAnsi" w:hAnsiTheme="minorHAnsi" w:cstheme="minorBidi"/>
          <w:noProof/>
          <w:sz w:val="24"/>
          <w:szCs w:val="21"/>
          <w:lang w:eastAsia="en-GB" w:bidi="sa-IN"/>
        </w:rPr>
      </w:pPr>
      <w:hyperlink w:anchor="_Toc243922799" w:history="1">
        <w:r>
          <w:rPr>
            <w:rStyle w:val="Hiperhivatkozs"/>
            <w:noProof/>
            <w:lang w:bidi="ar-SA"/>
          </w:rPr>
          <w:t>14.5.1. Encoding notes</w:t>
        </w:r>
        <w:r>
          <w:rPr>
            <w:noProof/>
            <w:webHidden/>
          </w:rPr>
          <w:tab/>
        </w:r>
        <w:r>
          <w:rPr>
            <w:noProof/>
            <w:webHidden/>
          </w:rPr>
          <w:fldChar w:fldCharType="begin"/>
        </w:r>
        <w:r>
          <w:rPr>
            <w:noProof/>
            <w:webHidden/>
          </w:rPr>
          <w:instrText xml:space="preserve"> PAGEREF _Toc243922799 \h </w:instrText>
        </w:r>
        <w:r>
          <w:rPr>
            <w:noProof/>
            <w:webHidden/>
          </w:rPr>
        </w:r>
        <w:r>
          <w:rPr>
            <w:noProof/>
            <w:webHidden/>
          </w:rPr>
          <w:fldChar w:fldCharType="separate"/>
        </w:r>
        <w:r>
          <w:rPr>
            <w:noProof/>
            <w:webHidden/>
          </w:rPr>
          <w:t>176</w:t>
        </w:r>
        <w:r>
          <w:rPr>
            <w:noProof/>
            <w:webHidden/>
          </w:rPr>
          <w:fldChar w:fldCharType="end"/>
        </w:r>
      </w:hyperlink>
    </w:p>
    <w:p w14:paraId="5B3688E7" w14:textId="485298D5">
      <w:pPr>
        <w:pStyle w:val="TJ3"/>
        <w:rPr>
          <w:rFonts w:asciiTheme="minorHAnsi" w:hAnsiTheme="minorHAnsi" w:cstheme="minorBidi"/>
          <w:noProof/>
          <w:sz w:val="24"/>
          <w:szCs w:val="21"/>
          <w:lang w:eastAsia="en-GB" w:bidi="sa-IN"/>
        </w:rPr>
      </w:pPr>
      <w:hyperlink w:anchor="_Toc243922800" w:history="1">
        <w:r>
          <w:rPr>
            <w:rStyle w:val="Hiperhivatkozs"/>
            <w:noProof/>
            <w:lang w:bidi="ar-SA"/>
          </w:rPr>
          <w:t>14.5.2. The content of notes</w:t>
        </w:r>
        <w:r>
          <w:rPr>
            <w:noProof/>
            <w:webHidden/>
          </w:rPr>
          <w:tab/>
        </w:r>
        <w:r>
          <w:rPr>
            <w:noProof/>
            <w:webHidden/>
          </w:rPr>
          <w:fldChar w:fldCharType="begin"/>
        </w:r>
        <w:r>
          <w:rPr>
            <w:noProof/>
            <w:webHidden/>
          </w:rPr>
          <w:instrText xml:space="preserve"> PAGEREF _Toc243922800 \h </w:instrText>
        </w:r>
        <w:r>
          <w:rPr>
            <w:noProof/>
            <w:webHidden/>
          </w:rPr>
        </w:r>
        <w:r>
          <w:rPr>
            <w:noProof/>
            <w:webHidden/>
          </w:rPr>
          <w:fldChar w:fldCharType="separate"/>
        </w:r>
        <w:r>
          <w:rPr>
            <w:noProof/>
            <w:webHidden/>
          </w:rPr>
          <w:t>177</w:t>
        </w:r>
        <w:r>
          <w:rPr>
            <w:noProof/>
            <w:webHidden/>
          </w:rPr>
          <w:fldChar w:fldCharType="end"/>
        </w:r>
      </w:hyperlink>
    </w:p>
    <w:p w14:paraId="562EFE67" w14:textId="497A4C98">
      <w:pPr>
        <w:pStyle w:val="TJ2"/>
        <w:rPr>
          <w:rFonts w:asciiTheme="minorHAnsi" w:hAnsiTheme="minorHAnsi" w:cstheme="minorBidi"/>
          <w:noProof/>
          <w:sz w:val="24"/>
          <w:szCs w:val="21"/>
          <w:lang w:eastAsia="en-GB" w:bidi="sa-IN"/>
        </w:rPr>
      </w:pPr>
      <w:hyperlink w:anchor="_Toc243922801" w:history="1">
        <w:r>
          <w:rPr>
            <w:rStyle w:val="Hiperhivatkozs"/>
            <w:noProof/>
            <w:lang w:bidi="ar-SA"/>
          </w:rPr>
          <w:t>14.6. Citation, quotation and reference</w:t>
        </w:r>
        <w:r>
          <w:rPr>
            <w:noProof/>
            <w:webHidden/>
          </w:rPr>
          <w:tab/>
        </w:r>
        <w:r>
          <w:rPr>
            <w:noProof/>
            <w:webHidden/>
          </w:rPr>
          <w:fldChar w:fldCharType="begin"/>
        </w:r>
        <w:r>
          <w:rPr>
            <w:noProof/>
            <w:webHidden/>
          </w:rPr>
          <w:instrText xml:space="preserve"> PAGEREF _Toc243922801 \h </w:instrText>
        </w:r>
        <w:r>
          <w:rPr>
            <w:noProof/>
            <w:webHidden/>
          </w:rPr>
        </w:r>
        <w:r>
          <w:rPr>
            <w:noProof/>
            <w:webHidden/>
          </w:rPr>
          <w:fldChar w:fldCharType="separate"/>
        </w:r>
        <w:r>
          <w:rPr>
            <w:noProof/>
            <w:webHidden/>
          </w:rPr>
          <w:t>177</w:t>
        </w:r>
        <w:r>
          <w:rPr>
            <w:noProof/>
            <w:webHidden/>
          </w:rPr>
          <w:fldChar w:fldCharType="end"/>
        </w:r>
      </w:hyperlink>
    </w:p>
    <w:p w14:paraId="63E29241" w14:textId="71920867">
      <w:pPr>
        <w:pStyle w:val="TJ3"/>
        <w:rPr>
          <w:rFonts w:asciiTheme="minorHAnsi" w:hAnsiTheme="minorHAnsi" w:cstheme="minorBidi"/>
          <w:noProof/>
          <w:sz w:val="24"/>
          <w:szCs w:val="21"/>
          <w:lang w:eastAsia="en-GB" w:bidi="sa-IN"/>
        </w:rPr>
      </w:pPr>
      <w:hyperlink w:anchor="_Toc243922802" w:history="1">
        <w:r>
          <w:rPr>
            <w:rStyle w:val="Hiperhivatkozs"/>
            <w:noProof/>
            <w:lang w:bidi="ar-SA"/>
          </w:rPr>
          <w:t>14.6.1. Encoding bibliographic citations</w:t>
        </w:r>
        <w:r>
          <w:rPr>
            <w:noProof/>
            <w:webHidden/>
          </w:rPr>
          <w:tab/>
        </w:r>
        <w:r>
          <w:rPr>
            <w:noProof/>
            <w:webHidden/>
          </w:rPr>
          <w:fldChar w:fldCharType="begin"/>
        </w:r>
        <w:r>
          <w:rPr>
            <w:noProof/>
            <w:webHidden/>
          </w:rPr>
          <w:instrText xml:space="preserve"> PAGEREF _Toc243922802 \h </w:instrText>
        </w:r>
        <w:r>
          <w:rPr>
            <w:noProof/>
            <w:webHidden/>
          </w:rPr>
        </w:r>
        <w:r>
          <w:rPr>
            <w:noProof/>
            <w:webHidden/>
          </w:rPr>
          <w:fldChar w:fldCharType="separate"/>
        </w:r>
        <w:r>
          <w:rPr>
            <w:noProof/>
            <w:webHidden/>
          </w:rPr>
          <w:t>177</w:t>
        </w:r>
        <w:r>
          <w:rPr>
            <w:noProof/>
            <w:webHidden/>
          </w:rPr>
          <w:fldChar w:fldCharType="end"/>
        </w:r>
      </w:hyperlink>
    </w:p>
    <w:p w14:paraId="0611A37B" w14:textId="1C55F09F">
      <w:pPr>
        <w:pStyle w:val="TJ3"/>
        <w:rPr>
          <w:rFonts w:asciiTheme="minorHAnsi" w:hAnsiTheme="minorHAnsi" w:cstheme="minorBidi"/>
          <w:noProof/>
          <w:sz w:val="24"/>
          <w:szCs w:val="21"/>
          <w:lang w:eastAsia="en-GB" w:bidi="sa-IN"/>
        </w:rPr>
      </w:pPr>
      <w:hyperlink w:anchor="_Toc243922803" w:history="1">
        <w:r>
          <w:rPr>
            <w:rStyle w:val="Hiperhivatkozs"/>
            <w:noProof/>
            <w:lang w:bidi="ar-SA"/>
          </w:rPr>
          <w:t xml:space="preserve">14.6.2. Crediting publications with </w:t>
        </w:r>
        <w:r>
          <w:rPr>
            <w:rStyle w:val="Hiperhivatkozs"/>
            <w:rFonts w:ascii="Consolas" w:hAnsi="Consolas" w:cs="Consolas"/>
            <w:noProof/>
            <w:shd w:val="clear" w:color="auto" w:fill="F2F2F2" w:themeFill="background1" w:themeFillShade="F2"/>
            <w:lang w:bidi="ar-SA"/>
          </w:rPr>
          <w:t>@source</w:t>
        </w:r>
        <w:r>
          <w:rPr>
            <w:noProof/>
            <w:webHidden/>
          </w:rPr>
          <w:tab/>
        </w:r>
        <w:r>
          <w:rPr>
            <w:noProof/>
            <w:webHidden/>
          </w:rPr>
          <w:fldChar w:fldCharType="begin"/>
        </w:r>
        <w:r>
          <w:rPr>
            <w:noProof/>
            <w:webHidden/>
          </w:rPr>
          <w:instrText xml:space="preserve"> PAGEREF _Toc243922803 \h </w:instrText>
        </w:r>
        <w:r>
          <w:rPr>
            <w:noProof/>
            <w:webHidden/>
          </w:rPr>
        </w:r>
        <w:r>
          <w:rPr>
            <w:noProof/>
            <w:webHidden/>
          </w:rPr>
          <w:fldChar w:fldCharType="separate"/>
        </w:r>
        <w:r>
          <w:rPr>
            <w:noProof/>
            <w:webHidden/>
          </w:rPr>
          <w:t>182</w:t>
        </w:r>
        <w:r>
          <w:rPr>
            <w:noProof/>
            <w:webHidden/>
          </w:rPr>
          <w:fldChar w:fldCharType="end"/>
        </w:r>
      </w:hyperlink>
    </w:p>
    <w:p w14:paraId="6DB94D51" w14:textId="25CF082B">
      <w:pPr>
        <w:pStyle w:val="TJ3"/>
        <w:rPr>
          <w:rFonts w:asciiTheme="minorHAnsi" w:hAnsiTheme="minorHAnsi" w:cstheme="minorBidi"/>
          <w:noProof/>
          <w:sz w:val="24"/>
          <w:szCs w:val="21"/>
          <w:lang w:eastAsia="en-GB" w:bidi="sa-IN"/>
        </w:rPr>
      </w:pPr>
      <w:hyperlink w:anchor="_Toc243922804" w:history="1">
        <w:r>
          <w:rPr>
            <w:rStyle w:val="Hiperhivatkozs"/>
            <w:noProof/>
            <w:lang w:bidi="ar-SA"/>
          </w:rPr>
          <w:t>14.6.3. Quotation</w:t>
        </w:r>
        <w:r>
          <w:rPr>
            <w:noProof/>
            <w:webHidden/>
          </w:rPr>
          <w:tab/>
        </w:r>
        <w:r>
          <w:rPr>
            <w:noProof/>
            <w:webHidden/>
          </w:rPr>
          <w:fldChar w:fldCharType="begin"/>
        </w:r>
        <w:r>
          <w:rPr>
            <w:noProof/>
            <w:webHidden/>
          </w:rPr>
          <w:instrText xml:space="preserve"> PAGEREF _Toc243922804 \h </w:instrText>
        </w:r>
        <w:r>
          <w:rPr>
            <w:noProof/>
            <w:webHidden/>
          </w:rPr>
        </w:r>
        <w:r>
          <w:rPr>
            <w:noProof/>
            <w:webHidden/>
          </w:rPr>
          <w:fldChar w:fldCharType="separate"/>
        </w:r>
        <w:r>
          <w:rPr>
            <w:noProof/>
            <w:webHidden/>
          </w:rPr>
          <w:t>182</w:t>
        </w:r>
        <w:r>
          <w:rPr>
            <w:noProof/>
            <w:webHidden/>
          </w:rPr>
          <w:fldChar w:fldCharType="end"/>
        </w:r>
      </w:hyperlink>
    </w:p>
    <w:p w14:paraId="78D81FFF" w14:textId="4D847560">
      <w:pPr>
        <w:pStyle w:val="TJ3"/>
        <w:rPr>
          <w:rFonts w:asciiTheme="minorHAnsi" w:hAnsiTheme="minorHAnsi" w:cstheme="minorBidi"/>
          <w:noProof/>
          <w:sz w:val="24"/>
          <w:szCs w:val="21"/>
          <w:lang w:eastAsia="en-GB" w:bidi="sa-IN"/>
        </w:rPr>
      </w:pPr>
      <w:hyperlink w:anchor="_Toc243922805" w:history="1">
        <w:r>
          <w:rPr>
            <w:rStyle w:val="Hiperhivatkozs"/>
            <w:noProof/>
            <w:lang w:bidi="ar-SA"/>
          </w:rPr>
          <w:t>14.6.4. Referring to web resources</w:t>
        </w:r>
        <w:r>
          <w:rPr>
            <w:noProof/>
            <w:webHidden/>
          </w:rPr>
          <w:tab/>
        </w:r>
        <w:r>
          <w:rPr>
            <w:noProof/>
            <w:webHidden/>
          </w:rPr>
          <w:fldChar w:fldCharType="begin"/>
        </w:r>
        <w:r>
          <w:rPr>
            <w:noProof/>
            <w:webHidden/>
          </w:rPr>
          <w:instrText xml:space="preserve"> PAGEREF _Toc243922805 \h </w:instrText>
        </w:r>
        <w:r>
          <w:rPr>
            <w:noProof/>
            <w:webHidden/>
          </w:rPr>
        </w:r>
        <w:r>
          <w:rPr>
            <w:noProof/>
            <w:webHidden/>
          </w:rPr>
          <w:fldChar w:fldCharType="separate"/>
        </w:r>
        <w:r>
          <w:rPr>
            <w:noProof/>
            <w:webHidden/>
          </w:rPr>
          <w:t>183</w:t>
        </w:r>
        <w:r>
          <w:rPr>
            <w:noProof/>
            <w:webHidden/>
          </w:rPr>
          <w:fldChar w:fldCharType="end"/>
        </w:r>
      </w:hyperlink>
    </w:p>
    <w:p w14:paraId="16507858" w14:textId="741BE735">
      <w:pPr>
        <w:pStyle w:val="TJ3"/>
        <w:rPr>
          <w:rFonts w:asciiTheme="minorHAnsi" w:hAnsiTheme="minorHAnsi" w:cstheme="minorBidi"/>
          <w:noProof/>
          <w:sz w:val="24"/>
          <w:szCs w:val="21"/>
          <w:lang w:eastAsia="en-GB" w:bidi="sa-IN"/>
        </w:rPr>
      </w:pPr>
      <w:hyperlink w:anchor="_Toc243922806" w:history="1">
        <w:r>
          <w:rPr>
            <w:rStyle w:val="Hiperhivatkozs"/>
            <w:noProof/>
            <w:lang w:bidi="ar-SA"/>
          </w:rPr>
          <w:t xml:space="preserve">14.6.5. Crediting a DHARMA contributor with </w:t>
        </w:r>
        <w:r>
          <w:rPr>
            <w:rStyle w:val="Hiperhivatkozs"/>
            <w:rFonts w:ascii="Consolas" w:hAnsi="Consolas" w:cs="Consolas"/>
            <w:noProof/>
            <w:shd w:val="clear" w:color="auto" w:fill="F2F2F2" w:themeFill="background1" w:themeFillShade="F2"/>
            <w:lang w:bidi="ar-SA"/>
          </w:rPr>
          <w:t>@resp</w:t>
        </w:r>
        <w:r>
          <w:rPr>
            <w:noProof/>
            <w:webHidden/>
          </w:rPr>
          <w:tab/>
        </w:r>
        <w:r>
          <w:rPr>
            <w:noProof/>
            <w:webHidden/>
          </w:rPr>
          <w:fldChar w:fldCharType="begin"/>
        </w:r>
        <w:r>
          <w:rPr>
            <w:noProof/>
            <w:webHidden/>
          </w:rPr>
          <w:instrText xml:space="preserve"> PAGEREF _Toc243922806 \h </w:instrText>
        </w:r>
        <w:r>
          <w:rPr>
            <w:noProof/>
            <w:webHidden/>
          </w:rPr>
        </w:r>
        <w:r>
          <w:rPr>
            <w:noProof/>
            <w:webHidden/>
          </w:rPr>
          <w:fldChar w:fldCharType="separate"/>
        </w:r>
        <w:r>
          <w:rPr>
            <w:noProof/>
            <w:webHidden/>
          </w:rPr>
          <w:t>184</w:t>
        </w:r>
        <w:r>
          <w:rPr>
            <w:noProof/>
            <w:webHidden/>
          </w:rPr>
          <w:fldChar w:fldCharType="end"/>
        </w:r>
      </w:hyperlink>
    </w:p>
    <w:p w14:paraId="28258171" w14:textId="26D42A35">
      <w:pPr>
        <w:pStyle w:val="TJ3"/>
        <w:rPr>
          <w:rFonts w:asciiTheme="minorHAnsi" w:hAnsiTheme="minorHAnsi" w:cstheme="minorBidi"/>
          <w:noProof/>
          <w:sz w:val="24"/>
          <w:szCs w:val="21"/>
          <w:lang w:eastAsia="en-GB" w:bidi="sa-IN"/>
        </w:rPr>
      </w:pPr>
      <w:hyperlink w:anchor="_Toc243922807" w:history="1">
        <w:r>
          <w:rPr>
            <w:rStyle w:val="Hiperhivatkozs"/>
            <w:noProof/>
            <w:lang w:bidi="ar-SA"/>
          </w:rPr>
          <w:t xml:space="preserve">14.6.6. Identifying elements with </w:t>
        </w:r>
        <w:r>
          <w:rPr>
            <w:rStyle w:val="Hiperhivatkozs"/>
            <w:rFonts w:ascii="Consolas" w:hAnsi="Consolas" w:cs="Consolas"/>
            <w:noProof/>
            <w:shd w:val="clear" w:color="auto" w:fill="F2F2F2" w:themeFill="background1" w:themeFillShade="F2"/>
            <w:lang w:bidi="ar-SA"/>
          </w:rPr>
          <w:t>@xml:id</w:t>
        </w:r>
        <w:r>
          <w:rPr>
            <w:noProof/>
            <w:webHidden/>
          </w:rPr>
          <w:tab/>
        </w:r>
        <w:r>
          <w:rPr>
            <w:noProof/>
            <w:webHidden/>
          </w:rPr>
          <w:fldChar w:fldCharType="begin"/>
        </w:r>
        <w:r>
          <w:rPr>
            <w:noProof/>
            <w:webHidden/>
          </w:rPr>
          <w:instrText xml:space="preserve"> PAGEREF _Toc243922807 \h </w:instrText>
        </w:r>
        <w:r>
          <w:rPr>
            <w:noProof/>
            <w:webHidden/>
          </w:rPr>
        </w:r>
        <w:r>
          <w:rPr>
            <w:noProof/>
            <w:webHidden/>
          </w:rPr>
          <w:fldChar w:fldCharType="separate"/>
        </w:r>
        <w:r>
          <w:rPr>
            <w:noProof/>
            <w:webHidden/>
          </w:rPr>
          <w:t>184</w:t>
        </w:r>
        <w:r>
          <w:rPr>
            <w:noProof/>
            <w:webHidden/>
          </w:rPr>
          <w:fldChar w:fldCharType="end"/>
        </w:r>
      </w:hyperlink>
    </w:p>
    <w:p w14:paraId="41E38BBD" w14:textId="77CB2346">
      <w:pPr>
        <w:pStyle w:val="TJ2"/>
        <w:rPr>
          <w:rFonts w:asciiTheme="minorHAnsi" w:hAnsiTheme="minorHAnsi" w:cstheme="minorBidi"/>
          <w:noProof/>
          <w:sz w:val="24"/>
          <w:szCs w:val="21"/>
          <w:lang w:eastAsia="en-GB" w:bidi="sa-IN"/>
        </w:rPr>
      </w:pPr>
      <w:hyperlink w:anchor="_Toc243922808" w:history="1">
        <w:r>
          <w:rPr>
            <w:rStyle w:val="Hiperhivatkozs"/>
            <w:noProof/>
            <w:lang w:bidi="ar-SA"/>
          </w:rPr>
          <w:t>14.7. Analytical and interpretive markup</w:t>
        </w:r>
        <w:r>
          <w:rPr>
            <w:noProof/>
            <w:webHidden/>
          </w:rPr>
          <w:tab/>
        </w:r>
        <w:r>
          <w:rPr>
            <w:noProof/>
            <w:webHidden/>
          </w:rPr>
          <w:fldChar w:fldCharType="begin"/>
        </w:r>
        <w:r>
          <w:rPr>
            <w:noProof/>
            <w:webHidden/>
          </w:rPr>
          <w:instrText xml:space="preserve"> PAGEREF _Toc243922808 \h </w:instrText>
        </w:r>
        <w:r>
          <w:rPr>
            <w:noProof/>
            <w:webHidden/>
          </w:rPr>
        </w:r>
        <w:r>
          <w:rPr>
            <w:noProof/>
            <w:webHidden/>
          </w:rPr>
          <w:fldChar w:fldCharType="separate"/>
        </w:r>
        <w:r>
          <w:rPr>
            <w:noProof/>
            <w:webHidden/>
          </w:rPr>
          <w:t>184</w:t>
        </w:r>
        <w:r>
          <w:rPr>
            <w:noProof/>
            <w:webHidden/>
          </w:rPr>
          <w:fldChar w:fldCharType="end"/>
        </w:r>
      </w:hyperlink>
    </w:p>
    <w:p w14:paraId="5174BAA2" w14:textId="13E178FB">
      <w:pPr>
        <w:pStyle w:val="TJ3"/>
        <w:rPr>
          <w:rFonts w:asciiTheme="minorHAnsi" w:hAnsiTheme="minorHAnsi" w:cstheme="minorBidi"/>
          <w:noProof/>
          <w:sz w:val="24"/>
          <w:szCs w:val="21"/>
          <w:lang w:eastAsia="en-GB" w:bidi="sa-IN"/>
        </w:rPr>
      </w:pPr>
      <w:hyperlink w:anchor="_Toc243922809" w:history="1">
        <w:r>
          <w:rPr>
            <w:rStyle w:val="Hiperhivatkozs"/>
            <w:noProof/>
            <w:lang w:bidi="ar-SA"/>
          </w:rPr>
          <w:t>14.7.1. Encoding titles</w:t>
        </w:r>
        <w:r>
          <w:rPr>
            <w:noProof/>
            <w:webHidden/>
          </w:rPr>
          <w:tab/>
        </w:r>
        <w:r>
          <w:rPr>
            <w:noProof/>
            <w:webHidden/>
          </w:rPr>
          <w:fldChar w:fldCharType="begin"/>
        </w:r>
        <w:r>
          <w:rPr>
            <w:noProof/>
            <w:webHidden/>
          </w:rPr>
          <w:instrText xml:space="preserve"> PAGEREF _Toc243922809 \h </w:instrText>
        </w:r>
        <w:r>
          <w:rPr>
            <w:noProof/>
            <w:webHidden/>
          </w:rPr>
        </w:r>
        <w:r>
          <w:rPr>
            <w:noProof/>
            <w:webHidden/>
          </w:rPr>
          <w:fldChar w:fldCharType="separate"/>
        </w:r>
        <w:r>
          <w:rPr>
            <w:noProof/>
            <w:webHidden/>
          </w:rPr>
          <w:t>185</w:t>
        </w:r>
        <w:r>
          <w:rPr>
            <w:noProof/>
            <w:webHidden/>
          </w:rPr>
          <w:fldChar w:fldCharType="end"/>
        </w:r>
      </w:hyperlink>
    </w:p>
    <w:p w14:paraId="0628C50D" w14:textId="0EDB0256">
      <w:pPr>
        <w:pStyle w:val="TJ3"/>
        <w:rPr>
          <w:rFonts w:asciiTheme="minorHAnsi" w:hAnsiTheme="minorHAnsi" w:cstheme="minorBidi"/>
          <w:noProof/>
          <w:sz w:val="24"/>
          <w:szCs w:val="21"/>
          <w:lang w:eastAsia="en-GB" w:bidi="sa-IN"/>
        </w:rPr>
      </w:pPr>
      <w:hyperlink w:anchor="_Toc243922810" w:history="1">
        <w:r>
          <w:rPr>
            <w:rStyle w:val="Hiperhivatkozs"/>
            <w:noProof/>
            <w:lang w:bidi="ar-SA"/>
          </w:rPr>
          <w:t>14.7.2. Encoding names</w:t>
        </w:r>
        <w:r>
          <w:rPr>
            <w:noProof/>
            <w:webHidden/>
          </w:rPr>
          <w:tab/>
        </w:r>
        <w:r>
          <w:rPr>
            <w:noProof/>
            <w:webHidden/>
          </w:rPr>
          <w:fldChar w:fldCharType="begin"/>
        </w:r>
        <w:r>
          <w:rPr>
            <w:noProof/>
            <w:webHidden/>
          </w:rPr>
          <w:instrText xml:space="preserve"> PAGEREF _Toc243922810 \h </w:instrText>
        </w:r>
        <w:r>
          <w:rPr>
            <w:noProof/>
            <w:webHidden/>
          </w:rPr>
        </w:r>
        <w:r>
          <w:rPr>
            <w:noProof/>
            <w:webHidden/>
          </w:rPr>
          <w:fldChar w:fldCharType="separate"/>
        </w:r>
        <w:r>
          <w:rPr>
            <w:noProof/>
            <w:webHidden/>
          </w:rPr>
          <w:t>185</w:t>
        </w:r>
        <w:r>
          <w:rPr>
            <w:noProof/>
            <w:webHidden/>
          </w:rPr>
          <w:fldChar w:fldCharType="end"/>
        </w:r>
      </w:hyperlink>
    </w:p>
    <w:p w14:paraId="651C4249" w14:textId="1890CFBC">
      <w:pPr>
        <w:pStyle w:val="TJ3"/>
        <w:rPr>
          <w:rFonts w:asciiTheme="minorHAnsi" w:hAnsiTheme="minorHAnsi" w:cstheme="minorBidi"/>
          <w:noProof/>
          <w:sz w:val="24"/>
          <w:szCs w:val="21"/>
          <w:lang w:eastAsia="en-GB" w:bidi="sa-IN"/>
        </w:rPr>
      </w:pPr>
      <w:hyperlink w:anchor="_Toc243922811" w:history="1">
        <w:r>
          <w:rPr>
            <w:rStyle w:val="Hiperhivatkozs"/>
            <w:noProof/>
            <w:lang w:bidi="ar-SA"/>
          </w:rPr>
          <w:t>14.7.3. Other interpretive and analytical encoding</w:t>
        </w:r>
        <w:r>
          <w:rPr>
            <w:noProof/>
            <w:webHidden/>
          </w:rPr>
          <w:tab/>
        </w:r>
        <w:r>
          <w:rPr>
            <w:noProof/>
            <w:webHidden/>
          </w:rPr>
          <w:fldChar w:fldCharType="begin"/>
        </w:r>
        <w:r>
          <w:rPr>
            <w:noProof/>
            <w:webHidden/>
          </w:rPr>
          <w:instrText xml:space="preserve"> PAGEREF _Toc243922811 \h </w:instrText>
        </w:r>
        <w:r>
          <w:rPr>
            <w:noProof/>
            <w:webHidden/>
          </w:rPr>
        </w:r>
        <w:r>
          <w:rPr>
            <w:noProof/>
            <w:webHidden/>
          </w:rPr>
          <w:fldChar w:fldCharType="separate"/>
        </w:r>
        <w:r>
          <w:rPr>
            <w:noProof/>
            <w:webHidden/>
          </w:rPr>
          <w:t>186</w:t>
        </w:r>
        <w:r>
          <w:rPr>
            <w:noProof/>
            <w:webHidden/>
          </w:rPr>
          <w:fldChar w:fldCharType="end"/>
        </w:r>
      </w:hyperlink>
    </w:p>
    <w:p w14:paraId="0827DE10" w14:textId="2DB73DB3">
      <w:pPr>
        <w:pStyle w:val="TJ1"/>
        <w:rPr>
          <w:rFonts w:asciiTheme="minorHAnsi" w:hAnsiTheme="minorHAnsi" w:cstheme="minorBidi"/>
          <w:b w:val="0"/>
          <w:noProof/>
          <w:sz w:val="24"/>
          <w:szCs w:val="21"/>
          <w:lang w:eastAsia="en-GB" w:bidi="sa-IN"/>
        </w:rPr>
      </w:pPr>
      <w:hyperlink w:anchor="_Toc243922812" w:history="1">
        <w:r>
          <w:rPr>
            <w:rStyle w:val="Hiperhivatkozs"/>
            <w:noProof/>
            <w:lang w:bidi="ar-SA"/>
          </w:rPr>
          <w:t>15. The TEI Header</w:t>
        </w:r>
        <w:r>
          <w:rPr>
            <w:noProof/>
            <w:webHidden/>
          </w:rPr>
          <w:tab/>
        </w:r>
        <w:r>
          <w:rPr>
            <w:noProof/>
            <w:webHidden/>
          </w:rPr>
          <w:fldChar w:fldCharType="begin"/>
        </w:r>
        <w:r>
          <w:rPr>
            <w:noProof/>
            <w:webHidden/>
          </w:rPr>
          <w:instrText xml:space="preserve"> PAGEREF _Toc243922812 \h </w:instrText>
        </w:r>
        <w:r>
          <w:rPr>
            <w:noProof/>
            <w:webHidden/>
          </w:rPr>
        </w:r>
        <w:r>
          <w:rPr>
            <w:noProof/>
            <w:webHidden/>
          </w:rPr>
          <w:fldChar w:fldCharType="separate"/>
        </w:r>
        <w:r>
          <w:rPr>
            <w:noProof/>
            <w:webHidden/>
          </w:rPr>
          <w:t>187</w:t>
        </w:r>
        <w:r>
          <w:rPr>
            <w:noProof/>
            <w:webHidden/>
          </w:rPr>
          <w:fldChar w:fldCharType="end"/>
        </w:r>
      </w:hyperlink>
    </w:p>
    <w:p w14:paraId="7C7EC2BB" w14:textId="0C077753">
      <w:pPr>
        <w:pStyle w:val="TJ2"/>
        <w:rPr>
          <w:rFonts w:asciiTheme="minorHAnsi" w:hAnsiTheme="minorHAnsi" w:cstheme="minorBidi"/>
          <w:noProof/>
          <w:sz w:val="24"/>
          <w:szCs w:val="21"/>
          <w:lang w:eastAsia="en-GB" w:bidi="sa-IN"/>
        </w:rPr>
      </w:pPr>
      <w:hyperlink w:anchor="_Toc243922813" w:history="1">
        <w:r>
          <w:rPr>
            <w:rStyle w:val="Hiperhivatkozs"/>
            <w:noProof/>
            <w:lang w:bidi="ar-SA"/>
          </w:rPr>
          <w:t>15.1. Describing the XML document</w:t>
        </w:r>
        <w:r>
          <w:rPr>
            <w:noProof/>
            <w:webHidden/>
          </w:rPr>
          <w:tab/>
        </w:r>
        <w:r>
          <w:rPr>
            <w:noProof/>
            <w:webHidden/>
          </w:rPr>
          <w:fldChar w:fldCharType="begin"/>
        </w:r>
        <w:r>
          <w:rPr>
            <w:noProof/>
            <w:webHidden/>
          </w:rPr>
          <w:instrText xml:space="preserve"> PAGEREF _Toc243922813 \h </w:instrText>
        </w:r>
        <w:r>
          <w:rPr>
            <w:noProof/>
            <w:webHidden/>
          </w:rPr>
        </w:r>
        <w:r>
          <w:rPr>
            <w:noProof/>
            <w:webHidden/>
          </w:rPr>
          <w:fldChar w:fldCharType="separate"/>
        </w:r>
        <w:r>
          <w:rPr>
            <w:noProof/>
            <w:webHidden/>
          </w:rPr>
          <w:t>187</w:t>
        </w:r>
        <w:r>
          <w:rPr>
            <w:noProof/>
            <w:webHidden/>
          </w:rPr>
          <w:fldChar w:fldCharType="end"/>
        </w:r>
      </w:hyperlink>
    </w:p>
    <w:p w14:paraId="2601859C" w14:textId="6C1ED8EF">
      <w:pPr>
        <w:pStyle w:val="TJ3"/>
        <w:rPr>
          <w:rFonts w:asciiTheme="minorHAnsi" w:hAnsiTheme="minorHAnsi" w:cstheme="minorBidi"/>
          <w:noProof/>
          <w:sz w:val="24"/>
          <w:szCs w:val="21"/>
          <w:lang w:eastAsia="en-GB" w:bidi="sa-IN"/>
        </w:rPr>
      </w:pPr>
      <w:hyperlink w:anchor="_Toc243922814" w:history="1">
        <w:r>
          <w:rPr>
            <w:rStyle w:val="Hiperhivatkozs"/>
            <w:noProof/>
            <w:lang w:bidi="ar-SA"/>
          </w:rPr>
          <w:t>15.1.1. The title</w:t>
        </w:r>
        <w:r>
          <w:rPr>
            <w:noProof/>
            <w:webHidden/>
          </w:rPr>
          <w:tab/>
        </w:r>
        <w:r>
          <w:rPr>
            <w:noProof/>
            <w:webHidden/>
          </w:rPr>
          <w:fldChar w:fldCharType="begin"/>
        </w:r>
        <w:r>
          <w:rPr>
            <w:noProof/>
            <w:webHidden/>
          </w:rPr>
          <w:instrText xml:space="preserve"> PAGEREF _Toc243922814 \h </w:instrText>
        </w:r>
        <w:r>
          <w:rPr>
            <w:noProof/>
            <w:webHidden/>
          </w:rPr>
        </w:r>
        <w:r>
          <w:rPr>
            <w:noProof/>
            <w:webHidden/>
          </w:rPr>
          <w:fldChar w:fldCharType="separate"/>
        </w:r>
        <w:r>
          <w:rPr>
            <w:noProof/>
            <w:webHidden/>
          </w:rPr>
          <w:t>187</w:t>
        </w:r>
        <w:r>
          <w:rPr>
            <w:noProof/>
            <w:webHidden/>
          </w:rPr>
          <w:fldChar w:fldCharType="end"/>
        </w:r>
      </w:hyperlink>
    </w:p>
    <w:p w14:paraId="236F66F3" w14:textId="0A62FB9B">
      <w:pPr>
        <w:pStyle w:val="TJ3"/>
        <w:rPr>
          <w:rFonts w:asciiTheme="minorHAnsi" w:hAnsiTheme="minorHAnsi" w:cstheme="minorBidi"/>
          <w:noProof/>
          <w:sz w:val="24"/>
          <w:szCs w:val="21"/>
          <w:lang w:eastAsia="en-GB" w:bidi="sa-IN"/>
        </w:rPr>
      </w:pPr>
      <w:hyperlink w:anchor="_Toc243922815" w:history="1">
        <w:r>
          <w:rPr>
            <w:rStyle w:val="Hiperhivatkozs"/>
            <w:noProof/>
            <w:lang w:bidi="ar-SA"/>
          </w:rPr>
          <w:t>15.1.2. The responsibility statement(s)</w:t>
        </w:r>
        <w:r>
          <w:rPr>
            <w:noProof/>
            <w:webHidden/>
          </w:rPr>
          <w:tab/>
        </w:r>
        <w:r>
          <w:rPr>
            <w:noProof/>
            <w:webHidden/>
          </w:rPr>
          <w:fldChar w:fldCharType="begin"/>
        </w:r>
        <w:r>
          <w:rPr>
            <w:noProof/>
            <w:webHidden/>
          </w:rPr>
          <w:instrText xml:space="preserve"> PAGEREF _Toc243922815 \h </w:instrText>
        </w:r>
        <w:r>
          <w:rPr>
            <w:noProof/>
            <w:webHidden/>
          </w:rPr>
        </w:r>
        <w:r>
          <w:rPr>
            <w:noProof/>
            <w:webHidden/>
          </w:rPr>
          <w:fldChar w:fldCharType="separate"/>
        </w:r>
        <w:r>
          <w:rPr>
            <w:noProof/>
            <w:webHidden/>
          </w:rPr>
          <w:t>187</w:t>
        </w:r>
        <w:r>
          <w:rPr>
            <w:noProof/>
            <w:webHidden/>
          </w:rPr>
          <w:fldChar w:fldCharType="end"/>
        </w:r>
      </w:hyperlink>
    </w:p>
    <w:p w14:paraId="03CD3160" w14:textId="4E888461">
      <w:pPr>
        <w:pStyle w:val="TJ3"/>
        <w:rPr>
          <w:rFonts w:asciiTheme="minorHAnsi" w:hAnsiTheme="minorHAnsi" w:cstheme="minorBidi"/>
          <w:noProof/>
          <w:sz w:val="24"/>
          <w:szCs w:val="21"/>
          <w:lang w:eastAsia="en-GB" w:bidi="sa-IN"/>
        </w:rPr>
      </w:pPr>
      <w:hyperlink w:anchor="_Toc243922816" w:history="1">
        <w:r>
          <w:rPr>
            <w:rStyle w:val="Hiperhivatkozs"/>
            <w:noProof/>
            <w:lang w:bidi="ar-SA"/>
          </w:rPr>
          <w:t>15.1.3. The publication statement</w:t>
        </w:r>
        <w:r>
          <w:rPr>
            <w:noProof/>
            <w:webHidden/>
          </w:rPr>
          <w:tab/>
        </w:r>
        <w:r>
          <w:rPr>
            <w:noProof/>
            <w:webHidden/>
          </w:rPr>
          <w:fldChar w:fldCharType="begin"/>
        </w:r>
        <w:r>
          <w:rPr>
            <w:noProof/>
            <w:webHidden/>
          </w:rPr>
          <w:instrText xml:space="preserve"> PAGEREF _Toc243922816 \h </w:instrText>
        </w:r>
        <w:r>
          <w:rPr>
            <w:noProof/>
            <w:webHidden/>
          </w:rPr>
        </w:r>
        <w:r>
          <w:rPr>
            <w:noProof/>
            <w:webHidden/>
          </w:rPr>
          <w:fldChar w:fldCharType="separate"/>
        </w:r>
        <w:r>
          <w:rPr>
            <w:noProof/>
            <w:webHidden/>
          </w:rPr>
          <w:t>189</w:t>
        </w:r>
        <w:r>
          <w:rPr>
            <w:noProof/>
            <w:webHidden/>
          </w:rPr>
          <w:fldChar w:fldCharType="end"/>
        </w:r>
      </w:hyperlink>
    </w:p>
    <w:p w14:paraId="71EBF315" w14:textId="7227B9A5">
      <w:pPr>
        <w:pStyle w:val="TJ2"/>
        <w:rPr>
          <w:rFonts w:asciiTheme="minorHAnsi" w:hAnsiTheme="minorHAnsi" w:cstheme="minorBidi"/>
          <w:noProof/>
          <w:sz w:val="24"/>
          <w:szCs w:val="21"/>
          <w:lang w:eastAsia="en-GB" w:bidi="sa-IN"/>
        </w:rPr>
      </w:pPr>
      <w:hyperlink w:anchor="_Toc243922817" w:history="1">
        <w:r>
          <w:rPr>
            <w:rStyle w:val="Hiperhivatkozs"/>
            <w:noProof/>
            <w:lang w:bidi="ar-SA"/>
          </w:rPr>
          <w:t>15.2. Describing the original document</w:t>
        </w:r>
        <w:r>
          <w:rPr>
            <w:noProof/>
            <w:webHidden/>
          </w:rPr>
          <w:tab/>
        </w:r>
        <w:r>
          <w:rPr>
            <w:noProof/>
            <w:webHidden/>
          </w:rPr>
          <w:fldChar w:fldCharType="begin"/>
        </w:r>
        <w:r>
          <w:rPr>
            <w:noProof/>
            <w:webHidden/>
          </w:rPr>
          <w:instrText xml:space="preserve"> PAGEREF _Toc243922817 \h </w:instrText>
        </w:r>
        <w:r>
          <w:rPr>
            <w:noProof/>
            <w:webHidden/>
          </w:rPr>
        </w:r>
        <w:r>
          <w:rPr>
            <w:noProof/>
            <w:webHidden/>
          </w:rPr>
          <w:fldChar w:fldCharType="separate"/>
        </w:r>
        <w:r>
          <w:rPr>
            <w:noProof/>
            <w:webHidden/>
          </w:rPr>
          <w:t>189</w:t>
        </w:r>
        <w:r>
          <w:rPr>
            <w:noProof/>
            <w:webHidden/>
          </w:rPr>
          <w:fldChar w:fldCharType="end"/>
        </w:r>
      </w:hyperlink>
    </w:p>
    <w:p w14:paraId="03D96A36" w14:textId="09905993">
      <w:pPr>
        <w:pStyle w:val="TJ3"/>
        <w:rPr>
          <w:rFonts w:asciiTheme="minorHAnsi" w:hAnsiTheme="minorHAnsi" w:cstheme="minorBidi"/>
          <w:noProof/>
          <w:sz w:val="24"/>
          <w:szCs w:val="21"/>
          <w:lang w:eastAsia="en-GB" w:bidi="sa-IN"/>
        </w:rPr>
      </w:pPr>
      <w:hyperlink w:anchor="_Toc243922818" w:history="1">
        <w:r>
          <w:rPr>
            <w:rStyle w:val="Hiperhivatkozs"/>
            <w:noProof/>
            <w:lang w:bidi="ar-SA"/>
          </w:rPr>
          <w:t>15.2.1. The hand description</w:t>
        </w:r>
        <w:r>
          <w:rPr>
            <w:noProof/>
            <w:webHidden/>
          </w:rPr>
          <w:tab/>
        </w:r>
        <w:r>
          <w:rPr>
            <w:noProof/>
            <w:webHidden/>
          </w:rPr>
          <w:fldChar w:fldCharType="begin"/>
        </w:r>
        <w:r>
          <w:rPr>
            <w:noProof/>
            <w:webHidden/>
          </w:rPr>
          <w:instrText xml:space="preserve"> PAGEREF _Toc243922818 \h </w:instrText>
        </w:r>
        <w:r>
          <w:rPr>
            <w:noProof/>
            <w:webHidden/>
          </w:rPr>
        </w:r>
        <w:r>
          <w:rPr>
            <w:noProof/>
            <w:webHidden/>
          </w:rPr>
          <w:fldChar w:fldCharType="separate"/>
        </w:r>
        <w:r>
          <w:rPr>
            <w:noProof/>
            <w:webHidden/>
          </w:rPr>
          <w:t>189</w:t>
        </w:r>
        <w:r>
          <w:rPr>
            <w:noProof/>
            <w:webHidden/>
          </w:rPr>
          <w:fldChar w:fldCharType="end"/>
        </w:r>
      </w:hyperlink>
    </w:p>
    <w:p w14:paraId="46CC5D94" w14:textId="1C97D834">
      <w:pPr>
        <w:pStyle w:val="TJ2"/>
        <w:rPr>
          <w:rFonts w:asciiTheme="minorHAnsi" w:hAnsiTheme="minorHAnsi" w:cstheme="minorBidi"/>
          <w:noProof/>
          <w:sz w:val="24"/>
          <w:szCs w:val="21"/>
          <w:lang w:eastAsia="en-GB" w:bidi="sa-IN"/>
        </w:rPr>
      </w:pPr>
      <w:hyperlink w:anchor="_Toc243922819" w:history="1">
        <w:r>
          <w:rPr>
            <w:rStyle w:val="Hiperhivatkozs"/>
            <w:noProof/>
            <w:lang w:bidi="ar-SA"/>
          </w:rPr>
          <w:t>15.3. Keeping track of file history</w:t>
        </w:r>
        <w:r>
          <w:rPr>
            <w:noProof/>
            <w:webHidden/>
          </w:rPr>
          <w:tab/>
        </w:r>
        <w:r>
          <w:rPr>
            <w:noProof/>
            <w:webHidden/>
          </w:rPr>
          <w:fldChar w:fldCharType="begin"/>
        </w:r>
        <w:r>
          <w:rPr>
            <w:noProof/>
            <w:webHidden/>
          </w:rPr>
          <w:instrText xml:space="preserve"> PAGEREF _Toc243922819 \h </w:instrText>
        </w:r>
        <w:r>
          <w:rPr>
            <w:noProof/>
            <w:webHidden/>
          </w:rPr>
        </w:r>
        <w:r>
          <w:rPr>
            <w:noProof/>
            <w:webHidden/>
          </w:rPr>
          <w:fldChar w:fldCharType="separate"/>
        </w:r>
        <w:r>
          <w:rPr>
            <w:noProof/>
            <w:webHidden/>
          </w:rPr>
          <w:t>190</w:t>
        </w:r>
        <w:r>
          <w:rPr>
            <w:noProof/>
            <w:webHidden/>
          </w:rPr>
          <w:fldChar w:fldCharType="end"/>
        </w:r>
      </w:hyperlink>
    </w:p>
    <w:p w14:paraId="292EC6F1" w14:textId="316D22C6">
      <w:pPr>
        <w:pStyle w:val="TJ1"/>
        <w:rPr>
          <w:rFonts w:asciiTheme="minorHAnsi" w:hAnsiTheme="minorHAnsi" w:cstheme="minorBidi"/>
          <w:b w:val="0"/>
          <w:noProof/>
          <w:sz w:val="24"/>
          <w:szCs w:val="21"/>
          <w:lang w:eastAsia="en-GB" w:bidi="sa-IN"/>
        </w:rPr>
      </w:pPr>
      <w:hyperlink w:anchor="_Toc243922820" w:history="1">
        <w:r>
          <w:rPr>
            <w:rStyle w:val="Hiperhivatkozs"/>
            <w:noProof/>
            <w:lang w:bidi="ar-SA"/>
          </w:rPr>
          <w:t>16. Good encoding practice</w:t>
        </w:r>
        <w:r>
          <w:rPr>
            <w:noProof/>
            <w:webHidden/>
          </w:rPr>
          <w:tab/>
        </w:r>
        <w:r>
          <w:rPr>
            <w:noProof/>
            <w:webHidden/>
          </w:rPr>
          <w:fldChar w:fldCharType="begin"/>
        </w:r>
        <w:r>
          <w:rPr>
            <w:noProof/>
            <w:webHidden/>
          </w:rPr>
          <w:instrText xml:space="preserve"> PAGEREF _Toc243922820 \h </w:instrText>
        </w:r>
        <w:r>
          <w:rPr>
            <w:noProof/>
            <w:webHidden/>
          </w:rPr>
        </w:r>
        <w:r>
          <w:rPr>
            <w:noProof/>
            <w:webHidden/>
          </w:rPr>
          <w:fldChar w:fldCharType="separate"/>
        </w:r>
        <w:r>
          <w:rPr>
            <w:noProof/>
            <w:webHidden/>
          </w:rPr>
          <w:t>192</w:t>
        </w:r>
        <w:r>
          <w:rPr>
            <w:noProof/>
            <w:webHidden/>
          </w:rPr>
          <w:fldChar w:fldCharType="end"/>
        </w:r>
      </w:hyperlink>
    </w:p>
    <w:p w14:paraId="0292CCAB" w14:textId="06610E8C">
      <w:pPr>
        <w:pStyle w:val="TJ2"/>
        <w:rPr>
          <w:rFonts w:asciiTheme="minorHAnsi" w:hAnsiTheme="minorHAnsi" w:cstheme="minorBidi"/>
          <w:noProof/>
          <w:sz w:val="24"/>
          <w:szCs w:val="21"/>
          <w:lang w:eastAsia="en-GB" w:bidi="sa-IN"/>
        </w:rPr>
      </w:pPr>
      <w:hyperlink w:anchor="_Toc243922821" w:history="1">
        <w:r>
          <w:rPr>
            <w:rStyle w:val="Hiperhivatkozs"/>
            <w:noProof/>
            <w:lang w:bidi="ar-SA"/>
          </w:rPr>
          <w:t>16.1. White space</w:t>
        </w:r>
        <w:r>
          <w:rPr>
            <w:noProof/>
            <w:webHidden/>
          </w:rPr>
          <w:tab/>
        </w:r>
        <w:r>
          <w:rPr>
            <w:noProof/>
            <w:webHidden/>
          </w:rPr>
          <w:fldChar w:fldCharType="begin"/>
        </w:r>
        <w:r>
          <w:rPr>
            <w:noProof/>
            <w:webHidden/>
          </w:rPr>
          <w:instrText xml:space="preserve"> PAGEREF _Toc243922821 \h </w:instrText>
        </w:r>
        <w:r>
          <w:rPr>
            <w:noProof/>
            <w:webHidden/>
          </w:rPr>
        </w:r>
        <w:r>
          <w:rPr>
            <w:noProof/>
            <w:webHidden/>
          </w:rPr>
          <w:fldChar w:fldCharType="separate"/>
        </w:r>
        <w:r>
          <w:rPr>
            <w:noProof/>
            <w:webHidden/>
          </w:rPr>
          <w:t>192</w:t>
        </w:r>
        <w:r>
          <w:rPr>
            <w:noProof/>
            <w:webHidden/>
          </w:rPr>
          <w:fldChar w:fldCharType="end"/>
        </w:r>
      </w:hyperlink>
    </w:p>
    <w:p w14:paraId="54C269AD" w14:textId="10DC529E">
      <w:pPr>
        <w:pStyle w:val="TJ2"/>
        <w:rPr>
          <w:rFonts w:asciiTheme="minorHAnsi" w:hAnsiTheme="minorHAnsi" w:cstheme="minorBidi"/>
          <w:noProof/>
          <w:sz w:val="24"/>
          <w:szCs w:val="21"/>
          <w:lang w:eastAsia="en-GB" w:bidi="sa-IN"/>
        </w:rPr>
      </w:pPr>
      <w:hyperlink w:anchor="_Toc243922822" w:history="1">
        <w:r>
          <w:rPr>
            <w:rStyle w:val="Hiperhivatkozs"/>
            <w:noProof/>
            <w:lang w:bidi="ar-SA"/>
          </w:rPr>
          <w:t>16.2. Top to bottom hierarchy</w:t>
        </w:r>
        <w:r>
          <w:rPr>
            <w:noProof/>
            <w:webHidden/>
          </w:rPr>
          <w:tab/>
        </w:r>
        <w:r>
          <w:rPr>
            <w:noProof/>
            <w:webHidden/>
          </w:rPr>
          <w:fldChar w:fldCharType="begin"/>
        </w:r>
        <w:r>
          <w:rPr>
            <w:noProof/>
            <w:webHidden/>
          </w:rPr>
          <w:instrText xml:space="preserve"> PAGEREF _Toc243922822 \h </w:instrText>
        </w:r>
        <w:r>
          <w:rPr>
            <w:noProof/>
            <w:webHidden/>
          </w:rPr>
        </w:r>
        <w:r>
          <w:rPr>
            <w:noProof/>
            <w:webHidden/>
          </w:rPr>
          <w:fldChar w:fldCharType="separate"/>
        </w:r>
        <w:r>
          <w:rPr>
            <w:noProof/>
            <w:webHidden/>
          </w:rPr>
          <w:t>193</w:t>
        </w:r>
        <w:r>
          <w:rPr>
            <w:noProof/>
            <w:webHidden/>
          </w:rPr>
          <w:fldChar w:fldCharType="end"/>
        </w:r>
      </w:hyperlink>
    </w:p>
    <w:p w14:paraId="415CFC79" w14:textId="716DC212">
      <w:pPr>
        <w:pStyle w:val="TJ3"/>
        <w:rPr>
          <w:rFonts w:asciiTheme="minorHAnsi" w:hAnsiTheme="minorHAnsi" w:cstheme="minorBidi"/>
          <w:noProof/>
          <w:sz w:val="24"/>
          <w:szCs w:val="21"/>
          <w:lang w:eastAsia="en-GB" w:bidi="sa-IN"/>
        </w:rPr>
      </w:pPr>
      <w:hyperlink w:anchor="_Toc243922823" w:history="1">
        <w:r>
          <w:rPr>
            <w:rStyle w:val="Hiperhivatkozs"/>
            <w:noProof/>
            <w:lang w:bidi="ar-SA"/>
          </w:rPr>
          <w:t>16.2.1. Tier 1, block-level elements representing XML structure and extrinsic structure</w:t>
        </w:r>
        <w:r>
          <w:rPr>
            <w:noProof/>
            <w:webHidden/>
          </w:rPr>
          <w:tab/>
        </w:r>
        <w:r>
          <w:rPr>
            <w:noProof/>
            <w:webHidden/>
          </w:rPr>
          <w:fldChar w:fldCharType="begin"/>
        </w:r>
        <w:r>
          <w:rPr>
            <w:noProof/>
            <w:webHidden/>
          </w:rPr>
          <w:instrText xml:space="preserve"> PAGEREF _Toc243922823 \h </w:instrText>
        </w:r>
        <w:r>
          <w:rPr>
            <w:noProof/>
            <w:webHidden/>
          </w:rPr>
        </w:r>
        <w:r>
          <w:rPr>
            <w:noProof/>
            <w:webHidden/>
          </w:rPr>
          <w:fldChar w:fldCharType="separate"/>
        </w:r>
        <w:r>
          <w:rPr>
            <w:noProof/>
            <w:webHidden/>
          </w:rPr>
          <w:t>193</w:t>
        </w:r>
        <w:r>
          <w:rPr>
            <w:noProof/>
            <w:webHidden/>
          </w:rPr>
          <w:fldChar w:fldCharType="end"/>
        </w:r>
      </w:hyperlink>
    </w:p>
    <w:p w14:paraId="274E8AA5" w14:textId="16ED2696">
      <w:pPr>
        <w:pStyle w:val="TJ3"/>
        <w:rPr>
          <w:rFonts w:asciiTheme="minorHAnsi" w:hAnsiTheme="minorHAnsi" w:cstheme="minorBidi"/>
          <w:noProof/>
          <w:sz w:val="24"/>
          <w:szCs w:val="21"/>
          <w:lang w:eastAsia="en-GB" w:bidi="sa-IN"/>
        </w:rPr>
      </w:pPr>
      <w:hyperlink w:anchor="_Toc243922824" w:history="1">
        <w:r>
          <w:rPr>
            <w:rStyle w:val="Hiperhivatkozs"/>
            <w:noProof/>
            <w:lang w:bidi="ar-SA"/>
          </w:rPr>
          <w:t>16.2.2. Tier 2, block-level elements representing intrinsic structure</w:t>
        </w:r>
        <w:r>
          <w:rPr>
            <w:noProof/>
            <w:webHidden/>
          </w:rPr>
          <w:tab/>
        </w:r>
        <w:r>
          <w:rPr>
            <w:noProof/>
            <w:webHidden/>
          </w:rPr>
          <w:fldChar w:fldCharType="begin"/>
        </w:r>
        <w:r>
          <w:rPr>
            <w:noProof/>
            <w:webHidden/>
          </w:rPr>
          <w:instrText xml:space="preserve"> PAGEREF _Toc243922824 \h </w:instrText>
        </w:r>
        <w:r>
          <w:rPr>
            <w:noProof/>
            <w:webHidden/>
          </w:rPr>
        </w:r>
        <w:r>
          <w:rPr>
            <w:noProof/>
            <w:webHidden/>
          </w:rPr>
          <w:fldChar w:fldCharType="separate"/>
        </w:r>
        <w:r>
          <w:rPr>
            <w:noProof/>
            <w:webHidden/>
          </w:rPr>
          <w:t>193</w:t>
        </w:r>
        <w:r>
          <w:rPr>
            <w:noProof/>
            <w:webHidden/>
          </w:rPr>
          <w:fldChar w:fldCharType="end"/>
        </w:r>
      </w:hyperlink>
    </w:p>
    <w:p w14:paraId="0B29A9DF" w14:textId="2254E353">
      <w:pPr>
        <w:pStyle w:val="TJ3"/>
        <w:rPr>
          <w:rFonts w:asciiTheme="minorHAnsi" w:hAnsiTheme="minorHAnsi" w:cstheme="minorBidi"/>
          <w:noProof/>
          <w:sz w:val="24"/>
          <w:szCs w:val="21"/>
          <w:lang w:eastAsia="en-GB" w:bidi="sa-IN"/>
        </w:rPr>
      </w:pPr>
      <w:hyperlink w:anchor="_Toc243922825" w:history="1">
        <w:r>
          <w:rPr>
            <w:rStyle w:val="Hiperhivatkozs"/>
            <w:noProof/>
            <w:lang w:bidi="ar-SA"/>
          </w:rPr>
          <w:t>16.2.3. Tier 2A, phrase-level elements representing semantic information</w:t>
        </w:r>
        <w:r>
          <w:rPr>
            <w:noProof/>
            <w:webHidden/>
          </w:rPr>
          <w:tab/>
        </w:r>
        <w:r>
          <w:rPr>
            <w:noProof/>
            <w:webHidden/>
          </w:rPr>
          <w:fldChar w:fldCharType="begin"/>
        </w:r>
        <w:r>
          <w:rPr>
            <w:noProof/>
            <w:webHidden/>
          </w:rPr>
          <w:instrText xml:space="preserve"> PAGEREF _Toc243922825 \h </w:instrText>
        </w:r>
        <w:r>
          <w:rPr>
            <w:noProof/>
            <w:webHidden/>
          </w:rPr>
        </w:r>
        <w:r>
          <w:rPr>
            <w:noProof/>
            <w:webHidden/>
          </w:rPr>
          <w:fldChar w:fldCharType="separate"/>
        </w:r>
        <w:r>
          <w:rPr>
            <w:noProof/>
            <w:webHidden/>
          </w:rPr>
          <w:t>193</w:t>
        </w:r>
        <w:r>
          <w:rPr>
            <w:noProof/>
            <w:webHidden/>
          </w:rPr>
          <w:fldChar w:fldCharType="end"/>
        </w:r>
      </w:hyperlink>
    </w:p>
    <w:p w14:paraId="58667FE4" w14:textId="2D00754A">
      <w:pPr>
        <w:pStyle w:val="TJ3"/>
        <w:rPr>
          <w:rFonts w:asciiTheme="minorHAnsi" w:hAnsiTheme="minorHAnsi" w:cstheme="minorBidi"/>
          <w:noProof/>
          <w:sz w:val="24"/>
          <w:szCs w:val="21"/>
          <w:lang w:eastAsia="en-GB" w:bidi="sa-IN"/>
        </w:rPr>
      </w:pPr>
      <w:hyperlink w:anchor="_Toc243922826" w:history="1">
        <w:r>
          <w:rPr>
            <w:rStyle w:val="Hiperhivatkozs"/>
            <w:noProof/>
            <w:lang w:bidi="ar-SA"/>
          </w:rPr>
          <w:t>16.2.4. Tier 3, empty elements representing extrinsic structure</w:t>
        </w:r>
        <w:r>
          <w:rPr>
            <w:noProof/>
            <w:webHidden/>
          </w:rPr>
          <w:tab/>
        </w:r>
        <w:r>
          <w:rPr>
            <w:noProof/>
            <w:webHidden/>
          </w:rPr>
          <w:fldChar w:fldCharType="begin"/>
        </w:r>
        <w:r>
          <w:rPr>
            <w:noProof/>
            <w:webHidden/>
          </w:rPr>
          <w:instrText xml:space="preserve"> PAGEREF _Toc243922826 \h </w:instrText>
        </w:r>
        <w:r>
          <w:rPr>
            <w:noProof/>
            <w:webHidden/>
          </w:rPr>
        </w:r>
        <w:r>
          <w:rPr>
            <w:noProof/>
            <w:webHidden/>
          </w:rPr>
          <w:fldChar w:fldCharType="separate"/>
        </w:r>
        <w:r>
          <w:rPr>
            <w:noProof/>
            <w:webHidden/>
          </w:rPr>
          <w:t>194</w:t>
        </w:r>
        <w:r>
          <w:rPr>
            <w:noProof/>
            <w:webHidden/>
          </w:rPr>
          <w:fldChar w:fldCharType="end"/>
        </w:r>
      </w:hyperlink>
    </w:p>
    <w:p w14:paraId="6F452A49" w14:textId="751E100F">
      <w:pPr>
        <w:pStyle w:val="TJ3"/>
        <w:rPr>
          <w:rFonts w:asciiTheme="minorHAnsi" w:hAnsiTheme="minorHAnsi" w:cstheme="minorBidi"/>
          <w:noProof/>
          <w:sz w:val="24"/>
          <w:szCs w:val="21"/>
          <w:lang w:eastAsia="en-GB" w:bidi="sa-IN"/>
        </w:rPr>
      </w:pPr>
      <w:hyperlink w:anchor="_Toc243922827" w:history="1">
        <w:r>
          <w:rPr>
            <w:rStyle w:val="Hiperhivatkozs"/>
            <w:noProof/>
            <w:lang w:bidi="ar-SA"/>
          </w:rPr>
          <w:t>16.2.5. Tier 4, empty elements representing local features</w:t>
        </w:r>
        <w:r>
          <w:rPr>
            <w:noProof/>
            <w:webHidden/>
          </w:rPr>
          <w:tab/>
        </w:r>
        <w:r>
          <w:rPr>
            <w:noProof/>
            <w:webHidden/>
          </w:rPr>
          <w:fldChar w:fldCharType="begin"/>
        </w:r>
        <w:r>
          <w:rPr>
            <w:noProof/>
            <w:webHidden/>
          </w:rPr>
          <w:instrText xml:space="preserve"> PAGEREF _Toc243922827 \h </w:instrText>
        </w:r>
        <w:r>
          <w:rPr>
            <w:noProof/>
            <w:webHidden/>
          </w:rPr>
        </w:r>
        <w:r>
          <w:rPr>
            <w:noProof/>
            <w:webHidden/>
          </w:rPr>
          <w:fldChar w:fldCharType="separate"/>
        </w:r>
        <w:r>
          <w:rPr>
            <w:noProof/>
            <w:webHidden/>
          </w:rPr>
          <w:t>194</w:t>
        </w:r>
        <w:r>
          <w:rPr>
            <w:noProof/>
            <w:webHidden/>
          </w:rPr>
          <w:fldChar w:fldCharType="end"/>
        </w:r>
      </w:hyperlink>
    </w:p>
    <w:p w14:paraId="4B743844" w14:textId="49E46672">
      <w:pPr>
        <w:pStyle w:val="TJ3"/>
        <w:rPr>
          <w:rFonts w:asciiTheme="minorHAnsi" w:hAnsiTheme="minorHAnsi" w:cstheme="minorBidi"/>
          <w:noProof/>
          <w:sz w:val="24"/>
          <w:szCs w:val="21"/>
          <w:lang w:eastAsia="en-GB" w:bidi="sa-IN"/>
        </w:rPr>
      </w:pPr>
      <w:hyperlink w:anchor="_Toc243922828" w:history="1">
        <w:r>
          <w:rPr>
            <w:rStyle w:val="Hiperhivatkozs"/>
            <w:noProof/>
            <w:lang w:bidi="ar-SA"/>
          </w:rPr>
          <w:t>16.2.6. Tier 5, phrase-level elements representing changes to the text</w:t>
        </w:r>
        <w:r>
          <w:rPr>
            <w:noProof/>
            <w:webHidden/>
          </w:rPr>
          <w:tab/>
        </w:r>
        <w:r>
          <w:rPr>
            <w:noProof/>
            <w:webHidden/>
          </w:rPr>
          <w:fldChar w:fldCharType="begin"/>
        </w:r>
        <w:r>
          <w:rPr>
            <w:noProof/>
            <w:webHidden/>
          </w:rPr>
          <w:instrText xml:space="preserve"> PAGEREF _Toc243922828 \h </w:instrText>
        </w:r>
        <w:r>
          <w:rPr>
            <w:noProof/>
            <w:webHidden/>
          </w:rPr>
        </w:r>
        <w:r>
          <w:rPr>
            <w:noProof/>
            <w:webHidden/>
          </w:rPr>
          <w:fldChar w:fldCharType="separate"/>
        </w:r>
        <w:r>
          <w:rPr>
            <w:noProof/>
            <w:webHidden/>
          </w:rPr>
          <w:t>194</w:t>
        </w:r>
        <w:r>
          <w:rPr>
            <w:noProof/>
            <w:webHidden/>
          </w:rPr>
          <w:fldChar w:fldCharType="end"/>
        </w:r>
      </w:hyperlink>
    </w:p>
    <w:p w14:paraId="449F6B62" w14:textId="25010D8E">
      <w:pPr>
        <w:pStyle w:val="TJ3"/>
        <w:rPr>
          <w:rFonts w:asciiTheme="minorHAnsi" w:hAnsiTheme="minorHAnsi" w:cstheme="minorBidi"/>
          <w:noProof/>
          <w:sz w:val="24"/>
          <w:szCs w:val="21"/>
          <w:lang w:eastAsia="en-GB" w:bidi="sa-IN"/>
        </w:rPr>
      </w:pPr>
      <w:hyperlink w:anchor="_Toc243922829" w:history="1">
        <w:r>
          <w:rPr>
            <w:rStyle w:val="Hiperhivatkozs"/>
            <w:noProof/>
            <w:lang w:bidi="ar-SA"/>
          </w:rPr>
          <w:t>16.2.7. Tier 6, unclear</w:t>
        </w:r>
        <w:r>
          <w:rPr>
            <w:noProof/>
            <w:webHidden/>
          </w:rPr>
          <w:tab/>
        </w:r>
        <w:r>
          <w:rPr>
            <w:noProof/>
            <w:webHidden/>
          </w:rPr>
          <w:fldChar w:fldCharType="begin"/>
        </w:r>
        <w:r>
          <w:rPr>
            <w:noProof/>
            <w:webHidden/>
          </w:rPr>
          <w:instrText xml:space="preserve"> PAGEREF _Toc243922829 \h </w:instrText>
        </w:r>
        <w:r>
          <w:rPr>
            <w:noProof/>
            <w:webHidden/>
          </w:rPr>
        </w:r>
        <w:r>
          <w:rPr>
            <w:noProof/>
            <w:webHidden/>
          </w:rPr>
          <w:fldChar w:fldCharType="separate"/>
        </w:r>
        <w:r>
          <w:rPr>
            <w:noProof/>
            <w:webHidden/>
          </w:rPr>
          <w:t>195</w:t>
        </w:r>
        <w:r>
          <w:rPr>
            <w:noProof/>
            <w:webHidden/>
          </w:rPr>
          <w:fldChar w:fldCharType="end"/>
        </w:r>
      </w:hyperlink>
    </w:p>
    <w:p w14:paraId="32E770E9" w14:textId="097FF6B4">
      <w:pPr>
        <w:pStyle w:val="TJ2"/>
        <w:rPr>
          <w:rFonts w:asciiTheme="minorHAnsi" w:hAnsiTheme="minorHAnsi" w:cstheme="minorBidi"/>
          <w:noProof/>
          <w:sz w:val="24"/>
          <w:szCs w:val="21"/>
          <w:lang w:eastAsia="en-GB" w:bidi="sa-IN"/>
        </w:rPr>
      </w:pPr>
      <w:hyperlink w:anchor="_Toc243922830" w:history="1">
        <w:r>
          <w:rPr>
            <w:rStyle w:val="Hiperhivatkozs"/>
            <w:noProof/>
            <w:lang w:bidi="ar-SA"/>
          </w:rPr>
          <w:t>16.3. Graphemes and the granularity of encoding</w:t>
        </w:r>
        <w:r>
          <w:rPr>
            <w:noProof/>
            <w:webHidden/>
          </w:rPr>
          <w:tab/>
        </w:r>
        <w:r>
          <w:rPr>
            <w:noProof/>
            <w:webHidden/>
          </w:rPr>
          <w:fldChar w:fldCharType="begin"/>
        </w:r>
        <w:r>
          <w:rPr>
            <w:noProof/>
            <w:webHidden/>
          </w:rPr>
          <w:instrText xml:space="preserve"> PAGEREF _Toc243922830 \h </w:instrText>
        </w:r>
        <w:r>
          <w:rPr>
            <w:noProof/>
            <w:webHidden/>
          </w:rPr>
        </w:r>
        <w:r>
          <w:rPr>
            <w:noProof/>
            <w:webHidden/>
          </w:rPr>
          <w:fldChar w:fldCharType="separate"/>
        </w:r>
        <w:r>
          <w:rPr>
            <w:noProof/>
            <w:webHidden/>
          </w:rPr>
          <w:t>195</w:t>
        </w:r>
        <w:r>
          <w:rPr>
            <w:noProof/>
            <w:webHidden/>
          </w:rPr>
          <w:fldChar w:fldCharType="end"/>
        </w:r>
      </w:hyperlink>
    </w:p>
    <w:p w14:paraId="73E35A1B" w14:textId="5449D76A">
      <w:pPr>
        <w:pStyle w:val="TJ3"/>
        <w:rPr>
          <w:rFonts w:asciiTheme="minorHAnsi" w:hAnsiTheme="minorHAnsi" w:cstheme="minorBidi"/>
          <w:noProof/>
          <w:sz w:val="24"/>
          <w:szCs w:val="21"/>
          <w:lang w:eastAsia="en-GB" w:bidi="sa-IN"/>
        </w:rPr>
      </w:pPr>
      <w:hyperlink w:anchor="_Toc243922831" w:history="1">
        <w:r>
          <w:rPr>
            <w:rStyle w:val="Hiperhivatkozs"/>
            <w:noProof/>
            <w:lang w:bidi="ar-SA"/>
          </w:rPr>
          <w:t>16.3.1. Grapholinguistic recap</w:t>
        </w:r>
        <w:r>
          <w:rPr>
            <w:noProof/>
            <w:webHidden/>
          </w:rPr>
          <w:tab/>
        </w:r>
        <w:r>
          <w:rPr>
            <w:noProof/>
            <w:webHidden/>
          </w:rPr>
          <w:fldChar w:fldCharType="begin"/>
        </w:r>
        <w:r>
          <w:rPr>
            <w:noProof/>
            <w:webHidden/>
          </w:rPr>
          <w:instrText xml:space="preserve"> PAGEREF _Toc243922831 \h </w:instrText>
        </w:r>
        <w:r>
          <w:rPr>
            <w:noProof/>
            <w:webHidden/>
          </w:rPr>
        </w:r>
        <w:r>
          <w:rPr>
            <w:noProof/>
            <w:webHidden/>
          </w:rPr>
          <w:fldChar w:fldCharType="separate"/>
        </w:r>
        <w:r>
          <w:rPr>
            <w:noProof/>
            <w:webHidden/>
          </w:rPr>
          <w:t>195</w:t>
        </w:r>
        <w:r>
          <w:rPr>
            <w:noProof/>
            <w:webHidden/>
          </w:rPr>
          <w:fldChar w:fldCharType="end"/>
        </w:r>
      </w:hyperlink>
    </w:p>
    <w:p w14:paraId="7404B83D" w14:textId="5483135B">
      <w:pPr>
        <w:pStyle w:val="TJ3"/>
        <w:rPr>
          <w:rFonts w:asciiTheme="minorHAnsi" w:hAnsiTheme="minorHAnsi" w:cstheme="minorBidi"/>
          <w:noProof/>
          <w:sz w:val="24"/>
          <w:szCs w:val="21"/>
          <w:lang w:eastAsia="en-GB" w:bidi="sa-IN"/>
        </w:rPr>
      </w:pPr>
      <w:hyperlink w:anchor="_Toc243922832" w:history="1">
        <w:r>
          <w:rPr>
            <w:rStyle w:val="Hiperhivatkozs"/>
            <w:noProof/>
            <w:lang w:bidi="ar-SA"/>
          </w:rPr>
          <w:t>16.3.2. Encoding Indic documents in Romanised transliteration</w:t>
        </w:r>
        <w:r>
          <w:rPr>
            <w:noProof/>
            <w:webHidden/>
          </w:rPr>
          <w:tab/>
        </w:r>
        <w:r>
          <w:rPr>
            <w:noProof/>
            <w:webHidden/>
          </w:rPr>
          <w:fldChar w:fldCharType="begin"/>
        </w:r>
        <w:r>
          <w:rPr>
            <w:noProof/>
            <w:webHidden/>
          </w:rPr>
          <w:instrText xml:space="preserve"> PAGEREF _Toc243922832 \h </w:instrText>
        </w:r>
        <w:r>
          <w:rPr>
            <w:noProof/>
            <w:webHidden/>
          </w:rPr>
        </w:r>
        <w:r>
          <w:rPr>
            <w:noProof/>
            <w:webHidden/>
          </w:rPr>
          <w:fldChar w:fldCharType="separate"/>
        </w:r>
        <w:r>
          <w:rPr>
            <w:noProof/>
            <w:webHidden/>
          </w:rPr>
          <w:t>196</w:t>
        </w:r>
        <w:r>
          <w:rPr>
            <w:noProof/>
            <w:webHidden/>
          </w:rPr>
          <w:fldChar w:fldCharType="end"/>
        </w:r>
      </w:hyperlink>
    </w:p>
    <w:p w14:paraId="741CF4DE" w14:textId="2F18E0E0">
      <w:pPr>
        <w:pStyle w:val="TJ1"/>
        <w:rPr>
          <w:rFonts w:asciiTheme="minorHAnsi" w:hAnsiTheme="minorHAnsi" w:cstheme="minorBidi"/>
          <w:b w:val="0"/>
          <w:noProof/>
          <w:sz w:val="24"/>
          <w:szCs w:val="21"/>
          <w:lang w:eastAsia="en-GB" w:bidi="sa-IN"/>
        </w:rPr>
      </w:pPr>
      <w:hyperlink w:anchor="_Toc243922833" w:history="1">
        <w:r>
          <w:rPr>
            <w:rStyle w:val="Hiperhivatkozs"/>
            <w:noProof/>
            <w:lang w:bidi="ar-SA"/>
          </w:rPr>
          <w:t>Appendix A. Case Studies in encoding complex layout</w:t>
        </w:r>
        <w:r>
          <w:rPr>
            <w:noProof/>
            <w:webHidden/>
          </w:rPr>
          <w:tab/>
        </w:r>
        <w:r>
          <w:rPr>
            <w:noProof/>
            <w:webHidden/>
          </w:rPr>
          <w:fldChar w:fldCharType="begin"/>
        </w:r>
        <w:r>
          <w:rPr>
            <w:noProof/>
            <w:webHidden/>
          </w:rPr>
          <w:instrText xml:space="preserve"> PAGEREF _Toc243922833 \h </w:instrText>
        </w:r>
        <w:r>
          <w:rPr>
            <w:noProof/>
            <w:webHidden/>
          </w:rPr>
        </w:r>
        <w:r>
          <w:rPr>
            <w:noProof/>
            <w:webHidden/>
          </w:rPr>
          <w:fldChar w:fldCharType="separate"/>
        </w:r>
        <w:r>
          <w:rPr>
            <w:noProof/>
            <w:webHidden/>
          </w:rPr>
          <w:t>199</w:t>
        </w:r>
        <w:r>
          <w:rPr>
            <w:noProof/>
            <w:webHidden/>
          </w:rPr>
          <w:fldChar w:fldCharType="end"/>
        </w:r>
      </w:hyperlink>
    </w:p>
    <w:p w14:paraId="15EADA78" w14:textId="54014E14">
      <w:pPr>
        <w:pStyle w:val="TJ2"/>
        <w:rPr>
          <w:rFonts w:asciiTheme="minorHAnsi" w:hAnsiTheme="minorHAnsi" w:cstheme="minorBidi"/>
          <w:noProof/>
          <w:sz w:val="24"/>
          <w:szCs w:val="21"/>
          <w:lang w:eastAsia="en-GB" w:bidi="sa-IN"/>
        </w:rPr>
      </w:pPr>
      <w:hyperlink w:anchor="_Toc243922834" w:history="1">
        <w:r>
          <w:rPr>
            <w:rStyle w:val="Hiperhivatkozs"/>
            <w:noProof/>
            <w:lang w:bidi="ar-SA"/>
          </w:rPr>
          <w:t>Appendix A.1. Slab in two non-contiguous fragments</w:t>
        </w:r>
        <w:r>
          <w:rPr>
            <w:noProof/>
            <w:webHidden/>
          </w:rPr>
          <w:tab/>
        </w:r>
        <w:r>
          <w:rPr>
            <w:noProof/>
            <w:webHidden/>
          </w:rPr>
          <w:fldChar w:fldCharType="begin"/>
        </w:r>
        <w:r>
          <w:rPr>
            <w:noProof/>
            <w:webHidden/>
          </w:rPr>
          <w:instrText xml:space="preserve"> PAGEREF _Toc243922834 \h </w:instrText>
        </w:r>
        <w:r>
          <w:rPr>
            <w:noProof/>
            <w:webHidden/>
          </w:rPr>
        </w:r>
        <w:r>
          <w:rPr>
            <w:noProof/>
            <w:webHidden/>
          </w:rPr>
          <w:fldChar w:fldCharType="separate"/>
        </w:r>
        <w:r>
          <w:rPr>
            <w:noProof/>
            <w:webHidden/>
          </w:rPr>
          <w:t>199</w:t>
        </w:r>
        <w:r>
          <w:rPr>
            <w:noProof/>
            <w:webHidden/>
          </w:rPr>
          <w:fldChar w:fldCharType="end"/>
        </w:r>
      </w:hyperlink>
    </w:p>
    <w:p w14:paraId="6DCBDDC5" w14:textId="682C0A66">
      <w:pPr>
        <w:pStyle w:val="TJ2"/>
        <w:rPr>
          <w:rFonts w:asciiTheme="minorHAnsi" w:hAnsiTheme="minorHAnsi" w:cstheme="minorBidi"/>
          <w:noProof/>
          <w:sz w:val="24"/>
          <w:szCs w:val="21"/>
          <w:lang w:eastAsia="en-GB" w:bidi="sa-IN"/>
        </w:rPr>
      </w:pPr>
      <w:hyperlink w:anchor="_Toc243922835" w:history="1">
        <w:r>
          <w:rPr>
            <w:rStyle w:val="Hiperhivatkozs"/>
            <w:noProof/>
            <w:lang w:bidi="ar-SA"/>
          </w:rPr>
          <w:t>Appendix A.2. Copperplate charter with seal and other goodies</w:t>
        </w:r>
        <w:r>
          <w:rPr>
            <w:noProof/>
            <w:webHidden/>
          </w:rPr>
          <w:tab/>
        </w:r>
        <w:r>
          <w:rPr>
            <w:noProof/>
            <w:webHidden/>
          </w:rPr>
          <w:fldChar w:fldCharType="begin"/>
        </w:r>
        <w:r>
          <w:rPr>
            <w:noProof/>
            <w:webHidden/>
          </w:rPr>
          <w:instrText xml:space="preserve"> PAGEREF _Toc243922835 \h </w:instrText>
        </w:r>
        <w:r>
          <w:rPr>
            <w:noProof/>
            <w:webHidden/>
          </w:rPr>
        </w:r>
        <w:r>
          <w:rPr>
            <w:noProof/>
            <w:webHidden/>
          </w:rPr>
          <w:fldChar w:fldCharType="separate"/>
        </w:r>
        <w:r>
          <w:rPr>
            <w:noProof/>
            <w:webHidden/>
          </w:rPr>
          <w:t>200</w:t>
        </w:r>
        <w:r>
          <w:rPr>
            <w:noProof/>
            <w:webHidden/>
          </w:rPr>
          <w:fldChar w:fldCharType="end"/>
        </w:r>
      </w:hyperlink>
    </w:p>
    <w:p w14:paraId="4107C6E7" w14:textId="6ACFF8A8">
      <w:pPr>
        <w:pStyle w:val="TJ2"/>
        <w:rPr>
          <w:rFonts w:asciiTheme="minorHAnsi" w:hAnsiTheme="minorHAnsi" w:cstheme="minorBidi"/>
          <w:noProof/>
          <w:sz w:val="24"/>
          <w:szCs w:val="21"/>
          <w:lang w:eastAsia="en-GB" w:bidi="sa-IN"/>
        </w:rPr>
      </w:pPr>
      <w:hyperlink w:anchor="_Toc243922836" w:history="1">
        <w:r>
          <w:rPr>
            <w:rStyle w:val="Hiperhivatkozs"/>
            <w:noProof/>
            <w:lang w:bidi="ar-SA"/>
          </w:rPr>
          <w:t>Appendix A.3. Copperplate charter with a lost plate reconstructed</w:t>
        </w:r>
        <w:r>
          <w:rPr>
            <w:noProof/>
            <w:webHidden/>
          </w:rPr>
          <w:tab/>
        </w:r>
        <w:r>
          <w:rPr>
            <w:noProof/>
            <w:webHidden/>
          </w:rPr>
          <w:fldChar w:fldCharType="begin"/>
        </w:r>
        <w:r>
          <w:rPr>
            <w:noProof/>
            <w:webHidden/>
          </w:rPr>
          <w:instrText xml:space="preserve"> PAGEREF _Toc243922836 \h </w:instrText>
        </w:r>
        <w:r>
          <w:rPr>
            <w:noProof/>
            <w:webHidden/>
          </w:rPr>
        </w:r>
        <w:r>
          <w:rPr>
            <w:noProof/>
            <w:webHidden/>
          </w:rPr>
          <w:fldChar w:fldCharType="separate"/>
        </w:r>
        <w:r>
          <w:rPr>
            <w:noProof/>
            <w:webHidden/>
          </w:rPr>
          <w:t>202</w:t>
        </w:r>
        <w:r>
          <w:rPr>
            <w:noProof/>
            <w:webHidden/>
          </w:rPr>
          <w:fldChar w:fldCharType="end"/>
        </w:r>
      </w:hyperlink>
    </w:p>
    <w:p w14:paraId="62665AF7" w14:textId="0E1B8D8D">
      <w:pPr>
        <w:pStyle w:val="TJ2"/>
        <w:rPr>
          <w:rFonts w:asciiTheme="minorHAnsi" w:hAnsiTheme="minorHAnsi" w:cstheme="minorBidi"/>
          <w:noProof/>
          <w:sz w:val="24"/>
          <w:szCs w:val="21"/>
          <w:lang w:eastAsia="en-GB" w:bidi="sa-IN"/>
        </w:rPr>
      </w:pPr>
      <w:hyperlink w:anchor="_Toc243922837" w:history="1">
        <w:r>
          <w:rPr>
            <w:rStyle w:val="Hiperhivatkozs"/>
            <w:noProof/>
            <w:lang w:bidi="ar-SA"/>
          </w:rPr>
          <w:t>Appendix A.4. Copperplate charter with a lost plate not reconstructed</w:t>
        </w:r>
        <w:r>
          <w:rPr>
            <w:noProof/>
            <w:webHidden/>
          </w:rPr>
          <w:tab/>
        </w:r>
        <w:r>
          <w:rPr>
            <w:noProof/>
            <w:webHidden/>
          </w:rPr>
          <w:fldChar w:fldCharType="begin"/>
        </w:r>
        <w:r>
          <w:rPr>
            <w:noProof/>
            <w:webHidden/>
          </w:rPr>
          <w:instrText xml:space="preserve"> PAGEREF _Toc243922837 \h </w:instrText>
        </w:r>
        <w:r>
          <w:rPr>
            <w:noProof/>
            <w:webHidden/>
          </w:rPr>
        </w:r>
        <w:r>
          <w:rPr>
            <w:noProof/>
            <w:webHidden/>
          </w:rPr>
          <w:fldChar w:fldCharType="separate"/>
        </w:r>
        <w:r>
          <w:rPr>
            <w:noProof/>
            <w:webHidden/>
          </w:rPr>
          <w:t>203</w:t>
        </w:r>
        <w:r>
          <w:rPr>
            <w:noProof/>
            <w:webHidden/>
          </w:rPr>
          <w:fldChar w:fldCharType="end"/>
        </w:r>
      </w:hyperlink>
    </w:p>
    <w:p w14:paraId="0BBCA7C6" w14:textId="1CD1D91A">
      <w:pPr>
        <w:pStyle w:val="TJ2"/>
        <w:rPr>
          <w:rFonts w:asciiTheme="minorHAnsi" w:hAnsiTheme="minorHAnsi" w:cstheme="minorBidi"/>
          <w:noProof/>
          <w:sz w:val="24"/>
          <w:szCs w:val="21"/>
          <w:lang w:eastAsia="en-GB" w:bidi="sa-IN"/>
        </w:rPr>
      </w:pPr>
      <w:hyperlink w:anchor="_Toc243922838" w:history="1">
        <w:r>
          <w:rPr>
            <w:rStyle w:val="Hiperhivatkozs"/>
            <w:noProof/>
            <w:lang w:bidi="ar-SA"/>
          </w:rPr>
          <w:t>Appendix A.5. Four-faced stele</w:t>
        </w:r>
        <w:r>
          <w:rPr>
            <w:noProof/>
            <w:webHidden/>
          </w:rPr>
          <w:tab/>
        </w:r>
        <w:r>
          <w:rPr>
            <w:noProof/>
            <w:webHidden/>
          </w:rPr>
          <w:fldChar w:fldCharType="begin"/>
        </w:r>
        <w:r>
          <w:rPr>
            <w:noProof/>
            <w:webHidden/>
          </w:rPr>
          <w:instrText xml:space="preserve"> PAGEREF _Toc243922838 \h </w:instrText>
        </w:r>
        <w:r>
          <w:rPr>
            <w:noProof/>
            <w:webHidden/>
          </w:rPr>
        </w:r>
        <w:r>
          <w:rPr>
            <w:noProof/>
            <w:webHidden/>
          </w:rPr>
          <w:fldChar w:fldCharType="separate"/>
        </w:r>
        <w:r>
          <w:rPr>
            <w:noProof/>
            <w:webHidden/>
          </w:rPr>
          <w:t>204</w:t>
        </w:r>
        <w:r>
          <w:rPr>
            <w:noProof/>
            <w:webHidden/>
          </w:rPr>
          <w:fldChar w:fldCharType="end"/>
        </w:r>
      </w:hyperlink>
    </w:p>
    <w:p w14:paraId="5F7D1BF0" w14:textId="5F21017A">
      <w:pPr>
        <w:pStyle w:val="TJ2"/>
        <w:rPr>
          <w:rFonts w:asciiTheme="minorHAnsi" w:hAnsiTheme="minorHAnsi" w:cstheme="minorBidi"/>
          <w:noProof/>
          <w:sz w:val="24"/>
          <w:szCs w:val="21"/>
          <w:lang w:eastAsia="en-GB" w:bidi="sa-IN"/>
        </w:rPr>
      </w:pPr>
      <w:hyperlink w:anchor="_Toc243922839" w:history="1">
        <w:r>
          <w:rPr>
            <w:rStyle w:val="Hiperhivatkozs"/>
            <w:noProof/>
            <w:lang w:bidi="ar-SA"/>
          </w:rPr>
          <w:t>Appendix A.6. Stele with two inscribed faces, an incipit and quasi-columns</w:t>
        </w:r>
        <w:r>
          <w:rPr>
            <w:noProof/>
            <w:webHidden/>
          </w:rPr>
          <w:tab/>
        </w:r>
        <w:r>
          <w:rPr>
            <w:noProof/>
            <w:webHidden/>
          </w:rPr>
          <w:fldChar w:fldCharType="begin"/>
        </w:r>
        <w:r>
          <w:rPr>
            <w:noProof/>
            <w:webHidden/>
          </w:rPr>
          <w:instrText xml:space="preserve"> PAGEREF _Toc243922839 \h </w:instrText>
        </w:r>
        <w:r>
          <w:rPr>
            <w:noProof/>
            <w:webHidden/>
          </w:rPr>
        </w:r>
        <w:r>
          <w:rPr>
            <w:noProof/>
            <w:webHidden/>
          </w:rPr>
          <w:fldChar w:fldCharType="separate"/>
        </w:r>
        <w:r>
          <w:rPr>
            <w:noProof/>
            <w:webHidden/>
          </w:rPr>
          <w:t>205</w:t>
        </w:r>
        <w:r>
          <w:rPr>
            <w:noProof/>
            <w:webHidden/>
          </w:rPr>
          <w:fldChar w:fldCharType="end"/>
        </w:r>
      </w:hyperlink>
    </w:p>
    <w:p w14:paraId="5DA5AB30" w14:textId="65D80E3D">
      <w:pPr>
        <w:pStyle w:val="TJ1"/>
        <w:rPr>
          <w:rFonts w:asciiTheme="minorHAnsi" w:hAnsiTheme="minorHAnsi" w:cstheme="minorBidi"/>
          <w:b w:val="0"/>
          <w:noProof/>
          <w:sz w:val="24"/>
          <w:szCs w:val="21"/>
          <w:lang w:eastAsia="en-GB" w:bidi="sa-IN"/>
        </w:rPr>
      </w:pPr>
      <w:hyperlink w:anchor="_Toc243922840" w:history="1">
        <w:r>
          <w:rPr>
            <w:rStyle w:val="Hiperhivatkozs"/>
            <w:noProof/>
            <w:lang w:bidi="ar-SA"/>
          </w:rPr>
          <w:t>Appendix B. Titling conventions</w:t>
        </w:r>
        <w:r>
          <w:rPr>
            <w:noProof/>
            <w:webHidden/>
          </w:rPr>
          <w:tab/>
        </w:r>
        <w:r>
          <w:rPr>
            <w:noProof/>
            <w:webHidden/>
          </w:rPr>
          <w:fldChar w:fldCharType="begin"/>
        </w:r>
        <w:r>
          <w:rPr>
            <w:noProof/>
            <w:webHidden/>
          </w:rPr>
          <w:instrText xml:space="preserve"> PAGEREF _Toc243922840 \h </w:instrText>
        </w:r>
        <w:r>
          <w:rPr>
            <w:noProof/>
            <w:webHidden/>
          </w:rPr>
        </w:r>
        <w:r>
          <w:rPr>
            <w:noProof/>
            <w:webHidden/>
          </w:rPr>
          <w:fldChar w:fldCharType="separate"/>
        </w:r>
        <w:r>
          <w:rPr>
            <w:noProof/>
            <w:webHidden/>
          </w:rPr>
          <w:t>208</w:t>
        </w:r>
        <w:r>
          <w:rPr>
            <w:noProof/>
            <w:webHidden/>
          </w:rPr>
          <w:fldChar w:fldCharType="end"/>
        </w:r>
      </w:hyperlink>
    </w:p>
    <w:p w14:paraId="37A54AF2" w14:textId="2679B354">
      <w:pPr>
        <w:pStyle w:val="TJ1"/>
        <w:rPr>
          <w:rFonts w:asciiTheme="minorHAnsi" w:hAnsiTheme="minorHAnsi" w:cstheme="minorBidi"/>
          <w:b w:val="0"/>
          <w:noProof/>
          <w:sz w:val="24"/>
          <w:szCs w:val="21"/>
          <w:lang w:eastAsia="en-GB" w:bidi="sa-IN"/>
        </w:rPr>
      </w:pPr>
      <w:hyperlink w:anchor="_Toc243922841" w:history="1">
        <w:r>
          <w:rPr>
            <w:rStyle w:val="Hiperhivatkozs"/>
            <w:noProof/>
            <w:lang w:bidi="ar-SA"/>
          </w:rPr>
          <w:t>Appendix C. Creating DHARMA editions from other editions</w:t>
        </w:r>
        <w:r>
          <w:rPr>
            <w:noProof/>
            <w:webHidden/>
          </w:rPr>
          <w:tab/>
        </w:r>
        <w:r>
          <w:rPr>
            <w:noProof/>
            <w:webHidden/>
          </w:rPr>
          <w:fldChar w:fldCharType="begin"/>
        </w:r>
        <w:r>
          <w:rPr>
            <w:noProof/>
            <w:webHidden/>
          </w:rPr>
          <w:instrText xml:space="preserve"> PAGEREF _Toc243922841 \h </w:instrText>
        </w:r>
        <w:r>
          <w:rPr>
            <w:noProof/>
            <w:webHidden/>
          </w:rPr>
        </w:r>
        <w:r>
          <w:rPr>
            <w:noProof/>
            <w:webHidden/>
          </w:rPr>
          <w:fldChar w:fldCharType="separate"/>
        </w:r>
        <w:r>
          <w:rPr>
            <w:noProof/>
            <w:webHidden/>
          </w:rPr>
          <w:t>210</w:t>
        </w:r>
        <w:r>
          <w:rPr>
            <w:noProof/>
            <w:webHidden/>
          </w:rPr>
          <w:fldChar w:fldCharType="end"/>
        </w:r>
      </w:hyperlink>
    </w:p>
    <w:p w14:paraId="5B38FF14" w14:textId="54FD579E">
      <w:pPr>
        <w:pStyle w:val="TJ2"/>
        <w:rPr>
          <w:rFonts w:asciiTheme="minorHAnsi" w:hAnsiTheme="minorHAnsi" w:cstheme="minorBidi"/>
          <w:noProof/>
          <w:sz w:val="24"/>
          <w:szCs w:val="21"/>
          <w:lang w:eastAsia="en-GB" w:bidi="sa-IN"/>
        </w:rPr>
      </w:pPr>
      <w:hyperlink w:anchor="_Toc243922842" w:history="1">
        <w:r>
          <w:rPr>
            <w:rStyle w:val="Hiperhivatkozs"/>
            <w:noProof/>
            <w:lang w:bidi="ar-SA"/>
          </w:rPr>
          <w:t>Appendix C.1. Converting CII/EI markup conventions to EpiDoc</w:t>
        </w:r>
        <w:r>
          <w:rPr>
            <w:noProof/>
            <w:webHidden/>
          </w:rPr>
          <w:tab/>
        </w:r>
        <w:r>
          <w:rPr>
            <w:noProof/>
            <w:webHidden/>
          </w:rPr>
          <w:fldChar w:fldCharType="begin"/>
        </w:r>
        <w:r>
          <w:rPr>
            <w:noProof/>
            <w:webHidden/>
          </w:rPr>
          <w:instrText xml:space="preserve"> PAGEREF _Toc243922842 \h </w:instrText>
        </w:r>
        <w:r>
          <w:rPr>
            <w:noProof/>
            <w:webHidden/>
          </w:rPr>
        </w:r>
        <w:r>
          <w:rPr>
            <w:noProof/>
            <w:webHidden/>
          </w:rPr>
          <w:fldChar w:fldCharType="separate"/>
        </w:r>
        <w:r>
          <w:rPr>
            <w:noProof/>
            <w:webHidden/>
          </w:rPr>
          <w:t>210</w:t>
        </w:r>
        <w:r>
          <w:rPr>
            <w:noProof/>
            <w:webHidden/>
          </w:rPr>
          <w:fldChar w:fldCharType="end"/>
        </w:r>
      </w:hyperlink>
    </w:p>
    <w:p w14:paraId="349E81F3" w14:textId="13A58C03">
      <w:pPr>
        <w:pStyle w:val="TJ2"/>
        <w:rPr>
          <w:rFonts w:asciiTheme="minorHAnsi" w:hAnsiTheme="minorHAnsi" w:cstheme="minorBidi"/>
          <w:noProof/>
          <w:sz w:val="24"/>
          <w:szCs w:val="21"/>
          <w:lang w:eastAsia="en-GB" w:bidi="sa-IN"/>
        </w:rPr>
      </w:pPr>
      <w:hyperlink w:anchor="_Toc243922843" w:history="1">
        <w:r>
          <w:rPr>
            <w:rStyle w:val="Hiperhivatkozs"/>
            <w:noProof/>
            <w:lang w:bidi="ar-SA"/>
          </w:rPr>
          <w:t>Appendix C.2. Assimilating Pre-existing Corpora into DHARMA</w:t>
        </w:r>
        <w:r>
          <w:rPr>
            <w:noProof/>
            <w:webHidden/>
          </w:rPr>
          <w:tab/>
        </w:r>
        <w:r>
          <w:rPr>
            <w:noProof/>
            <w:webHidden/>
          </w:rPr>
          <w:fldChar w:fldCharType="begin"/>
        </w:r>
        <w:r>
          <w:rPr>
            <w:noProof/>
            <w:webHidden/>
          </w:rPr>
          <w:instrText xml:space="preserve"> PAGEREF _Toc243922843 \h </w:instrText>
        </w:r>
        <w:r>
          <w:rPr>
            <w:noProof/>
            <w:webHidden/>
          </w:rPr>
        </w:r>
        <w:r>
          <w:rPr>
            <w:noProof/>
            <w:webHidden/>
          </w:rPr>
          <w:fldChar w:fldCharType="separate"/>
        </w:r>
        <w:r>
          <w:rPr>
            <w:noProof/>
            <w:webHidden/>
          </w:rPr>
          <w:t>211</w:t>
        </w:r>
        <w:r>
          <w:rPr>
            <w:noProof/>
            <w:webHidden/>
          </w:rPr>
          <w:fldChar w:fldCharType="end"/>
        </w:r>
      </w:hyperlink>
    </w:p>
    <w:p w14:paraId="3FEC1F65" w14:textId="7D3A56F4">
      <w:pPr>
        <w:pStyle w:val="TJ3"/>
        <w:rPr>
          <w:rFonts w:asciiTheme="minorHAnsi" w:hAnsiTheme="minorHAnsi" w:cstheme="minorBidi"/>
          <w:noProof/>
          <w:sz w:val="24"/>
          <w:szCs w:val="21"/>
          <w:lang w:eastAsia="en-GB" w:bidi="sa-IN"/>
        </w:rPr>
      </w:pPr>
      <w:hyperlink w:anchor="_Toc243922844" w:history="1">
        <w:r>
          <w:rPr>
            <w:rStyle w:val="Hiperhivatkozs"/>
            <w:noProof/>
            <w:lang w:bidi="ar-SA"/>
          </w:rPr>
          <w:t>Appendix C.2.1. Crediting the previous digital editor(s)</w:t>
        </w:r>
        <w:r>
          <w:rPr>
            <w:noProof/>
            <w:webHidden/>
          </w:rPr>
          <w:tab/>
        </w:r>
        <w:r>
          <w:rPr>
            <w:noProof/>
            <w:webHidden/>
          </w:rPr>
          <w:fldChar w:fldCharType="begin"/>
        </w:r>
        <w:r>
          <w:rPr>
            <w:noProof/>
            <w:webHidden/>
          </w:rPr>
          <w:instrText xml:space="preserve"> PAGEREF _Toc243922844 \h </w:instrText>
        </w:r>
        <w:r>
          <w:rPr>
            <w:noProof/>
            <w:webHidden/>
          </w:rPr>
        </w:r>
        <w:r>
          <w:rPr>
            <w:noProof/>
            <w:webHidden/>
          </w:rPr>
          <w:fldChar w:fldCharType="separate"/>
        </w:r>
        <w:r>
          <w:rPr>
            <w:noProof/>
            <w:webHidden/>
          </w:rPr>
          <w:t>211</w:t>
        </w:r>
        <w:r>
          <w:rPr>
            <w:noProof/>
            <w:webHidden/>
          </w:rPr>
          <w:fldChar w:fldCharType="end"/>
        </w:r>
      </w:hyperlink>
    </w:p>
    <w:p w14:paraId="607D308B" w14:textId="6707D88F">
      <w:pPr>
        <w:pStyle w:val="TJ3"/>
        <w:rPr>
          <w:rFonts w:asciiTheme="minorHAnsi" w:hAnsiTheme="minorHAnsi" w:cstheme="minorBidi"/>
          <w:noProof/>
          <w:sz w:val="24"/>
          <w:szCs w:val="21"/>
          <w:lang w:eastAsia="en-GB" w:bidi="sa-IN"/>
        </w:rPr>
      </w:pPr>
      <w:hyperlink w:anchor="_Toc243922845" w:history="1">
        <w:r>
          <w:rPr>
            <w:rStyle w:val="Hiperhivatkozs"/>
            <w:noProof/>
            <w:lang w:bidi="ar-SA"/>
          </w:rPr>
          <w:t>Appendix C.2.2. Referring to the ingested digital edition</w:t>
        </w:r>
        <w:r>
          <w:rPr>
            <w:noProof/>
            <w:webHidden/>
          </w:rPr>
          <w:tab/>
        </w:r>
        <w:r>
          <w:rPr>
            <w:noProof/>
            <w:webHidden/>
          </w:rPr>
          <w:fldChar w:fldCharType="begin"/>
        </w:r>
        <w:r>
          <w:rPr>
            <w:noProof/>
            <w:webHidden/>
          </w:rPr>
          <w:instrText xml:space="preserve"> PAGEREF _Toc243922845 \h </w:instrText>
        </w:r>
        <w:r>
          <w:rPr>
            <w:noProof/>
            <w:webHidden/>
          </w:rPr>
        </w:r>
        <w:r>
          <w:rPr>
            <w:noProof/>
            <w:webHidden/>
          </w:rPr>
          <w:fldChar w:fldCharType="separate"/>
        </w:r>
        <w:r>
          <w:rPr>
            <w:noProof/>
            <w:webHidden/>
          </w:rPr>
          <w:t>211</w:t>
        </w:r>
        <w:r>
          <w:rPr>
            <w:noProof/>
            <w:webHidden/>
          </w:rPr>
          <w:fldChar w:fldCharType="end"/>
        </w:r>
      </w:hyperlink>
    </w:p>
    <w:p w14:paraId="3DBC2FF2" w14:textId="68DCEB1B">
      <w:pPr>
        <w:pStyle w:val="TJ3"/>
        <w:rPr>
          <w:rFonts w:asciiTheme="minorHAnsi" w:hAnsiTheme="minorHAnsi" w:cstheme="minorBidi"/>
          <w:noProof/>
          <w:sz w:val="24"/>
          <w:szCs w:val="21"/>
          <w:lang w:eastAsia="en-GB" w:bidi="sa-IN"/>
        </w:rPr>
      </w:pPr>
      <w:hyperlink w:anchor="_Toc243922846" w:history="1">
        <w:r>
          <w:rPr>
            <w:rStyle w:val="Hiperhivatkozs"/>
            <w:noProof/>
            <w:lang w:bidi="ar-SA"/>
          </w:rPr>
          <w:t>Appendix C.2.3. Manual revision of the encoding</w:t>
        </w:r>
        <w:r>
          <w:rPr>
            <w:noProof/>
            <w:webHidden/>
          </w:rPr>
          <w:tab/>
        </w:r>
        <w:r>
          <w:rPr>
            <w:noProof/>
            <w:webHidden/>
          </w:rPr>
          <w:fldChar w:fldCharType="begin"/>
        </w:r>
        <w:r>
          <w:rPr>
            <w:noProof/>
            <w:webHidden/>
          </w:rPr>
          <w:instrText xml:space="preserve"> PAGEREF _Toc243922846 \h </w:instrText>
        </w:r>
        <w:r>
          <w:rPr>
            <w:noProof/>
            <w:webHidden/>
          </w:rPr>
        </w:r>
        <w:r>
          <w:rPr>
            <w:noProof/>
            <w:webHidden/>
          </w:rPr>
          <w:fldChar w:fldCharType="separate"/>
        </w:r>
        <w:r>
          <w:rPr>
            <w:noProof/>
            <w:webHidden/>
          </w:rPr>
          <w:t>212</w:t>
        </w:r>
        <w:r>
          <w:rPr>
            <w:noProof/>
            <w:webHidden/>
          </w:rPr>
          <w:fldChar w:fldCharType="end"/>
        </w:r>
      </w:hyperlink>
    </w:p>
    <w:p w14:paraId="77881C85" w14:textId="3BF18426">
      <w:pPr>
        <w:pStyle w:val="TJ1"/>
        <w:rPr>
          <w:rFonts w:asciiTheme="minorHAnsi" w:hAnsiTheme="minorHAnsi" w:cstheme="minorBidi"/>
          <w:b w:val="0"/>
          <w:noProof/>
          <w:sz w:val="24"/>
          <w:szCs w:val="21"/>
          <w:lang w:eastAsia="en-GB" w:bidi="sa-IN"/>
        </w:rPr>
      </w:pPr>
      <w:hyperlink w:anchor="_Toc243922847" w:history="1">
        <w:r>
          <w:rPr>
            <w:rStyle w:val="Hiperhivatkozs"/>
            <w:noProof/>
            <w:lang w:bidi="ar-SA"/>
          </w:rPr>
          <w:t>References</w:t>
        </w:r>
        <w:r>
          <w:rPr>
            <w:noProof/>
            <w:webHidden/>
          </w:rPr>
          <w:tab/>
        </w:r>
        <w:r>
          <w:rPr>
            <w:noProof/>
            <w:webHidden/>
          </w:rPr>
          <w:fldChar w:fldCharType="begin"/>
        </w:r>
        <w:r>
          <w:rPr>
            <w:noProof/>
            <w:webHidden/>
          </w:rPr>
          <w:instrText xml:space="preserve"> PAGEREF _Toc243922847 \h </w:instrText>
        </w:r>
        <w:r>
          <w:rPr>
            <w:noProof/>
            <w:webHidden/>
          </w:rPr>
        </w:r>
        <w:r>
          <w:rPr>
            <w:noProof/>
            <w:webHidden/>
          </w:rPr>
          <w:fldChar w:fldCharType="separate"/>
        </w:r>
        <w:r>
          <w:rPr>
            <w:noProof/>
            <w:webHidden/>
          </w:rPr>
          <w:t>213</w:t>
        </w:r>
        <w:r>
          <w:rPr>
            <w:noProof/>
            <w:webHidden/>
          </w:rPr>
          <w:fldChar w:fldCharType="end"/>
        </w:r>
      </w:hyperlink>
    </w:p>
    <w:p w14:paraId="64BEF042" w14:textId="3BBB10B4">
      <w:r>
        <w:rPr>
          <w:rFonts w:ascii="Calibri" w:hAnsi="Calibri"/>
          <w:b/>
        </w:rPr>
        <w:fldChar w:fldCharType="end"/>
      </w:r>
    </w:p>
    <w:p w14:paraId="0C1405DF" w14:textId="77777777">
      <w:pPr>
        <w:pStyle w:val="Cmsor1"/>
      </w:pPr>
      <w:bookmarkStart w:id="6" w:name="_Toc243922577"/>
      <w:r>
        <w:lastRenderedPageBreak/>
        <w:t>Introduction</w:t>
      </w:r>
      <w:bookmarkEnd w:id="6"/>
    </w:p>
    <w:p w14:paraId="7731F315" w14:textId="77777777">
      <w:pPr>
        <w:pStyle w:val="Cmsor2"/>
      </w:pPr>
      <w:bookmarkStart w:id="7" w:name="_ta3bzfnw5348" w:colFirst="0" w:colLast="0"/>
      <w:bookmarkStart w:id="8" w:name="_Toc243922578"/>
      <w:bookmarkEnd w:id="7"/>
      <w:r>
        <w:t>Version history</w:t>
      </w:r>
      <w:bookmarkEnd w:id="8"/>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24"/>
        <w:gridCol w:w="3487"/>
        <w:gridCol w:w="3487"/>
        <w:gridCol w:w="1420"/>
      </w:tblGrid>
      <w:tr w14:paraId="0031A3A5" w14:textId="77777777">
        <w:trPr>
          <w:trHeight w:val="480"/>
        </w:trPr>
        <w:tc>
          <w:tcPr>
            <w:tcW w:w="636" w:type="pct"/>
            <w:shd w:val="clear" w:color="auto" w:fill="EAF1DD"/>
            <w:tcMar>
              <w:top w:w="100" w:type="dxa"/>
              <w:left w:w="100" w:type="dxa"/>
              <w:bottom w:w="100" w:type="dxa"/>
              <w:right w:w="100" w:type="dxa"/>
            </w:tcMar>
          </w:tcPr>
          <w:p w14:paraId="524759E0" w14:textId="77777777">
            <w:pPr>
              <w:pStyle w:val="Tabletext"/>
            </w:pPr>
            <w:r>
              <w:t>Version</w:t>
            </w:r>
          </w:p>
        </w:tc>
        <w:tc>
          <w:tcPr>
            <w:tcW w:w="1812" w:type="pct"/>
            <w:shd w:val="clear" w:color="auto" w:fill="EAF1DD"/>
          </w:tcPr>
          <w:p w14:paraId="164FB9EC" w14:textId="77777777">
            <w:pPr>
              <w:pStyle w:val="Tabletext"/>
            </w:pPr>
            <w:r>
              <w:t>Authors</w:t>
            </w:r>
          </w:p>
        </w:tc>
        <w:tc>
          <w:tcPr>
            <w:tcW w:w="1813" w:type="pct"/>
            <w:shd w:val="clear" w:color="auto" w:fill="EAF1DD"/>
            <w:tcMar>
              <w:top w:w="100" w:type="dxa"/>
              <w:left w:w="100" w:type="dxa"/>
              <w:bottom w:w="100" w:type="dxa"/>
              <w:right w:w="100" w:type="dxa"/>
            </w:tcMar>
          </w:tcPr>
          <w:p w14:paraId="0B9C5A85" w14:textId="77777777">
            <w:pPr>
              <w:pStyle w:val="Tabletext"/>
            </w:pPr>
            <w:r>
              <w:t>Changes</w:t>
            </w:r>
          </w:p>
        </w:tc>
        <w:tc>
          <w:tcPr>
            <w:tcW w:w="738" w:type="pct"/>
            <w:shd w:val="clear" w:color="auto" w:fill="EAF1DD"/>
            <w:tcMar>
              <w:top w:w="100" w:type="dxa"/>
              <w:left w:w="100" w:type="dxa"/>
              <w:bottom w:w="100" w:type="dxa"/>
              <w:right w:w="100" w:type="dxa"/>
            </w:tcMar>
          </w:tcPr>
          <w:p w14:paraId="0849543F" w14:textId="77777777">
            <w:pPr>
              <w:pStyle w:val="Tabletext"/>
            </w:pPr>
            <w:r>
              <w:t>Date</w:t>
            </w:r>
          </w:p>
        </w:tc>
      </w:tr>
      <w:tr w14:paraId="650D11C2" w14:textId="77777777">
        <w:tc>
          <w:tcPr>
            <w:tcW w:w="636" w:type="pct"/>
            <w:tcMar>
              <w:top w:w="100" w:type="dxa"/>
              <w:left w:w="100" w:type="dxa"/>
              <w:bottom w:w="100" w:type="dxa"/>
              <w:right w:w="100" w:type="dxa"/>
            </w:tcMar>
          </w:tcPr>
          <w:p w14:paraId="0B5FB19C" w14:textId="77777777">
            <w:pPr>
              <w:pStyle w:val="Tabletext"/>
            </w:pPr>
            <w:r>
              <w:t>0.1</w:t>
            </w:r>
          </w:p>
        </w:tc>
        <w:tc>
          <w:tcPr>
            <w:tcW w:w="1812" w:type="pct"/>
          </w:tcPr>
          <w:p w14:paraId="712D57C8" w14:textId="77777777">
            <w:pPr>
              <w:pStyle w:val="Tabletext"/>
            </w:pPr>
            <w:r>
              <w:t>Balogh</w:t>
            </w:r>
          </w:p>
        </w:tc>
        <w:tc>
          <w:tcPr>
            <w:tcW w:w="1813" w:type="pct"/>
            <w:tcMar>
              <w:top w:w="100" w:type="dxa"/>
              <w:left w:w="100" w:type="dxa"/>
              <w:bottom w:w="100" w:type="dxa"/>
              <w:right w:w="100" w:type="dxa"/>
            </w:tcMar>
          </w:tcPr>
          <w:p w14:paraId="738D7F04" w14:textId="77777777">
            <w:pPr>
              <w:pStyle w:val="Tabletext"/>
            </w:pPr>
            <w:r>
              <w:t>Redaction of the first draft</w:t>
            </w:r>
          </w:p>
        </w:tc>
        <w:tc>
          <w:tcPr>
            <w:tcW w:w="738" w:type="pct"/>
            <w:tcMar>
              <w:top w:w="100" w:type="dxa"/>
              <w:left w:w="100" w:type="dxa"/>
              <w:bottom w:w="100" w:type="dxa"/>
              <w:right w:w="100" w:type="dxa"/>
            </w:tcMar>
          </w:tcPr>
          <w:p w14:paraId="164EB89D" w14:textId="77777777">
            <w:pPr>
              <w:pStyle w:val="Tabletext"/>
            </w:pPr>
            <w:r>
              <w:t>2019-07</w:t>
            </w:r>
          </w:p>
        </w:tc>
      </w:tr>
      <w:tr w14:paraId="0819AF39" w14:textId="77777777">
        <w:tc>
          <w:tcPr>
            <w:tcW w:w="636" w:type="pct"/>
            <w:tcMar>
              <w:top w:w="100" w:type="dxa"/>
              <w:left w:w="100" w:type="dxa"/>
              <w:bottom w:w="100" w:type="dxa"/>
              <w:right w:w="100" w:type="dxa"/>
            </w:tcMar>
          </w:tcPr>
          <w:p w14:paraId="416F3E8E" w14:textId="77777777">
            <w:pPr>
              <w:pStyle w:val="Tabletext"/>
            </w:pPr>
            <w:r>
              <w:t>0.8</w:t>
            </w:r>
          </w:p>
        </w:tc>
        <w:tc>
          <w:tcPr>
            <w:tcW w:w="1812" w:type="pct"/>
          </w:tcPr>
          <w:p w14:paraId="63BFA9D2" w14:textId="77777777">
            <w:pPr>
              <w:pStyle w:val="Tabletext"/>
            </w:pPr>
            <w:r>
              <w:t>Balogh, Griffiths, with Janiak &amp; Francis</w:t>
            </w:r>
          </w:p>
        </w:tc>
        <w:tc>
          <w:tcPr>
            <w:tcW w:w="1813" w:type="pct"/>
            <w:tcMar>
              <w:top w:w="100" w:type="dxa"/>
              <w:left w:w="100" w:type="dxa"/>
              <w:bottom w:w="100" w:type="dxa"/>
              <w:right w:w="100" w:type="dxa"/>
            </w:tcMar>
          </w:tcPr>
          <w:p w14:paraId="4AE2CE21" w14:textId="77777777">
            <w:pPr>
              <w:pStyle w:val="Tabletext"/>
            </w:pPr>
            <w:r>
              <w:t>Expansion and revision for release</w:t>
            </w:r>
          </w:p>
        </w:tc>
        <w:tc>
          <w:tcPr>
            <w:tcW w:w="738" w:type="pct"/>
            <w:tcMar>
              <w:top w:w="100" w:type="dxa"/>
              <w:left w:w="100" w:type="dxa"/>
              <w:bottom w:w="100" w:type="dxa"/>
              <w:right w:w="100" w:type="dxa"/>
            </w:tcMar>
          </w:tcPr>
          <w:p w14:paraId="7A0AB6F4" w14:textId="77777777">
            <w:pPr>
              <w:pStyle w:val="Tabletext"/>
            </w:pPr>
            <w:r>
              <w:t>to 2019-12</w:t>
            </w:r>
          </w:p>
        </w:tc>
      </w:tr>
      <w:tr w14:paraId="525BA160" w14:textId="77777777">
        <w:tc>
          <w:tcPr>
            <w:tcW w:w="636" w:type="pct"/>
            <w:tcMar>
              <w:top w:w="100" w:type="dxa"/>
              <w:left w:w="100" w:type="dxa"/>
              <w:bottom w:w="100" w:type="dxa"/>
              <w:right w:w="100" w:type="dxa"/>
            </w:tcMar>
          </w:tcPr>
          <w:p w14:paraId="5C63C57E" w14:textId="77777777">
            <w:pPr>
              <w:pStyle w:val="Tabletext"/>
            </w:pPr>
            <w:r>
              <w:t>0.9</w:t>
            </w:r>
          </w:p>
        </w:tc>
        <w:tc>
          <w:tcPr>
            <w:tcW w:w="1812" w:type="pct"/>
          </w:tcPr>
          <w:p w14:paraId="7A9C5DEB" w14:textId="77777777">
            <w:pPr>
              <w:pStyle w:val="Tabletext"/>
            </w:pPr>
            <w:r>
              <w:t>Balogh, Griffiths</w:t>
            </w:r>
          </w:p>
        </w:tc>
        <w:tc>
          <w:tcPr>
            <w:tcW w:w="1813" w:type="pct"/>
            <w:tcMar>
              <w:top w:w="100" w:type="dxa"/>
              <w:left w:w="100" w:type="dxa"/>
              <w:bottom w:w="100" w:type="dxa"/>
              <w:right w:w="100" w:type="dxa"/>
            </w:tcMar>
          </w:tcPr>
          <w:p w14:paraId="5BCBF6D5" w14:textId="77777777">
            <w:pPr>
              <w:pStyle w:val="Tabletext"/>
            </w:pPr>
            <w:r>
              <w:t>Redaction for release</w:t>
            </w:r>
          </w:p>
        </w:tc>
        <w:tc>
          <w:tcPr>
            <w:tcW w:w="738" w:type="pct"/>
            <w:tcMar>
              <w:top w:w="100" w:type="dxa"/>
              <w:left w:w="100" w:type="dxa"/>
              <w:bottom w:w="100" w:type="dxa"/>
              <w:right w:w="100" w:type="dxa"/>
            </w:tcMar>
          </w:tcPr>
          <w:p w14:paraId="3AC929F6" w14:textId="77777777">
            <w:pPr>
              <w:pStyle w:val="Tabletext"/>
            </w:pPr>
            <w:r>
              <w:t>to 2020-03-17</w:t>
            </w:r>
          </w:p>
        </w:tc>
      </w:tr>
      <w:tr w14:paraId="077B667D" w14:textId="77777777">
        <w:tc>
          <w:tcPr>
            <w:tcW w:w="636" w:type="pct"/>
            <w:tcMar>
              <w:top w:w="100" w:type="dxa"/>
              <w:left w:w="100" w:type="dxa"/>
              <w:bottom w:w="100" w:type="dxa"/>
              <w:right w:w="100" w:type="dxa"/>
            </w:tcMar>
          </w:tcPr>
          <w:p w14:paraId="204AC601" w14:textId="77777777">
            <w:pPr>
              <w:pStyle w:val="Tabletext"/>
            </w:pPr>
            <w:r>
              <w:t>1.0</w:t>
            </w:r>
          </w:p>
        </w:tc>
        <w:tc>
          <w:tcPr>
            <w:tcW w:w="1812" w:type="pct"/>
          </w:tcPr>
          <w:p w14:paraId="6F9ADDF1" w14:textId="77777777">
            <w:pPr>
              <w:pStyle w:val="Tabletext"/>
            </w:pPr>
            <w:r>
              <w:t>Balogh, Griffiths</w:t>
            </w:r>
          </w:p>
        </w:tc>
        <w:tc>
          <w:tcPr>
            <w:tcW w:w="1813" w:type="pct"/>
            <w:tcMar>
              <w:top w:w="100" w:type="dxa"/>
              <w:left w:w="100" w:type="dxa"/>
              <w:bottom w:w="100" w:type="dxa"/>
              <w:right w:w="100" w:type="dxa"/>
            </w:tcMar>
          </w:tcPr>
          <w:p w14:paraId="23414EA1" w14:textId="77777777">
            <w:pPr>
              <w:pStyle w:val="Tabletext"/>
            </w:pPr>
            <w:r>
              <w:t>Revision after feedback and discussion</w:t>
            </w:r>
          </w:p>
        </w:tc>
        <w:tc>
          <w:tcPr>
            <w:tcW w:w="738" w:type="pct"/>
            <w:tcMar>
              <w:top w:w="100" w:type="dxa"/>
              <w:left w:w="100" w:type="dxa"/>
              <w:bottom w:w="100" w:type="dxa"/>
              <w:right w:w="100" w:type="dxa"/>
            </w:tcMar>
          </w:tcPr>
          <w:p w14:paraId="1B723581" w14:textId="77777777">
            <w:pPr>
              <w:pStyle w:val="Tabletext"/>
            </w:pPr>
            <w:r>
              <w:t>2020-07-05</w:t>
            </w:r>
          </w:p>
        </w:tc>
      </w:tr>
      <w:tr w14:paraId="47E06927" w14:textId="77777777">
        <w:tc>
          <w:tcPr>
            <w:tcW w:w="636" w:type="pct"/>
            <w:tcMar>
              <w:top w:w="100" w:type="dxa"/>
              <w:left w:w="100" w:type="dxa"/>
              <w:bottom w:w="100" w:type="dxa"/>
              <w:right w:w="100" w:type="dxa"/>
            </w:tcMar>
          </w:tcPr>
          <w:p w14:paraId="24178DF9" w14:textId="77777777">
            <w:pPr>
              <w:pStyle w:val="Tabletext"/>
            </w:pPr>
            <w:r>
              <w:t>(no release)</w:t>
            </w:r>
          </w:p>
        </w:tc>
        <w:tc>
          <w:tcPr>
            <w:tcW w:w="1812" w:type="pct"/>
          </w:tcPr>
          <w:p w14:paraId="36AE44A7" w14:textId="77777777">
            <w:pPr>
              <w:pStyle w:val="Tabletext"/>
            </w:pPr>
            <w:r>
              <w:t>Balogh</w:t>
            </w:r>
          </w:p>
        </w:tc>
        <w:tc>
          <w:tcPr>
            <w:tcW w:w="1813" w:type="pct"/>
            <w:tcMar>
              <w:top w:w="100" w:type="dxa"/>
              <w:left w:w="100" w:type="dxa"/>
              <w:bottom w:w="100" w:type="dxa"/>
              <w:right w:w="100" w:type="dxa"/>
            </w:tcMar>
          </w:tcPr>
          <w:p w14:paraId="568C812D" w14:textId="77777777">
            <w:pPr>
              <w:pStyle w:val="Tabletext"/>
            </w:pPr>
            <w:r>
              <w:t>ongoing revision of online copy</w:t>
            </w:r>
          </w:p>
        </w:tc>
        <w:tc>
          <w:tcPr>
            <w:tcW w:w="738" w:type="pct"/>
            <w:tcMar>
              <w:top w:w="100" w:type="dxa"/>
              <w:left w:w="100" w:type="dxa"/>
              <w:bottom w:w="100" w:type="dxa"/>
              <w:right w:w="100" w:type="dxa"/>
            </w:tcMar>
          </w:tcPr>
          <w:p w14:paraId="67447243" w14:textId="77777777">
            <w:pPr>
              <w:pStyle w:val="Tabletext"/>
            </w:pPr>
            <w:r>
              <w:t>to 2024-07</w:t>
            </w:r>
          </w:p>
        </w:tc>
      </w:tr>
      <w:tr w14:paraId="428033E9" w14:textId="77777777">
        <w:tc>
          <w:tcPr>
            <w:tcW w:w="636" w:type="pct"/>
            <w:tcMar>
              <w:top w:w="100" w:type="dxa"/>
              <w:left w:w="100" w:type="dxa"/>
              <w:bottom w:w="100" w:type="dxa"/>
              <w:right w:w="100" w:type="dxa"/>
            </w:tcMar>
          </w:tcPr>
          <w:p w14:paraId="072EDDD4" w14:textId="77777777">
            <w:pPr>
              <w:pStyle w:val="Tabletext"/>
            </w:pPr>
            <w:r>
              <w:t>2.0</w:t>
            </w:r>
          </w:p>
        </w:tc>
        <w:tc>
          <w:tcPr>
            <w:tcW w:w="1812" w:type="pct"/>
          </w:tcPr>
          <w:p w14:paraId="2C00CDA2" w14:textId="77777777">
            <w:pPr>
              <w:pStyle w:val="Tabletext"/>
            </w:pPr>
            <w:r>
              <w:t>Balogh, with Griffiths, Francis &amp; Meyer</w:t>
            </w:r>
          </w:p>
        </w:tc>
        <w:tc>
          <w:tcPr>
            <w:tcW w:w="1813" w:type="pct"/>
            <w:tcMar>
              <w:top w:w="100" w:type="dxa"/>
              <w:left w:w="100" w:type="dxa"/>
              <w:bottom w:w="100" w:type="dxa"/>
              <w:right w:w="100" w:type="dxa"/>
            </w:tcMar>
          </w:tcPr>
          <w:p w14:paraId="35DD7B7F" w14:textId="77777777">
            <w:pPr>
              <w:pStyle w:val="Tabletext"/>
            </w:pPr>
            <w:r>
              <w:t>major overhaul and finalisation</w:t>
            </w:r>
          </w:p>
        </w:tc>
        <w:tc>
          <w:tcPr>
            <w:tcW w:w="738" w:type="pct"/>
            <w:tcMar>
              <w:top w:w="100" w:type="dxa"/>
              <w:left w:w="100" w:type="dxa"/>
              <w:bottom w:w="100" w:type="dxa"/>
              <w:right w:w="100" w:type="dxa"/>
            </w:tcMar>
          </w:tcPr>
          <w:p w14:paraId="0CD78118" w14:textId="77777777">
            <w:pPr>
              <w:pStyle w:val="Tabletext"/>
            </w:pPr>
            <w:r>
              <w:t>2026-09</w:t>
            </w:r>
          </w:p>
        </w:tc>
      </w:tr>
    </w:tbl>
    <w:p w14:paraId="7A81F57E" w14:textId="77777777">
      <w:bookmarkStart w:id="9" w:name="_ss0fr01ijjvr" w:colFirst="0" w:colLast="0"/>
      <w:bookmarkEnd w:id="9"/>
      <w:r>
        <w:t xml:space="preserve">This is the </w:t>
      </w:r>
      <w:r>
        <w:rPr>
          <w:b/>
          <w:bCs/>
        </w:rPr>
        <w:t>final and definitive public release</w:t>
      </w:r>
      <w:r>
        <w:t xml:space="preserve"> version of the DHARMA Encoding Guide for Documentary Editions, which supersedes the first release version (Balogh and Griffiths 2020b, then called Encoding Guide for Diplomatic Editions).</w:t>
      </w:r>
    </w:p>
    <w:p w14:paraId="66B3E692" w14:textId="77777777">
      <w:pPr>
        <w:pStyle w:val="Normlbehzs"/>
      </w:pPr>
      <w:r>
        <w:t>Practical experience since the first release has shown that project members primarily consult the online soft copy of the Guide.</w:t>
      </w:r>
      <w:r>
        <w:rPr>
          <w:rStyle w:val="Lbjegyzet-hivatkozs"/>
        </w:rPr>
        <w:footnoteReference w:id="1"/>
      </w:r>
      <w:r>
        <w:t xml:space="preserve"> This was useful because ongoing revisions have been discussed and introduced in that copy. With the release of this final version, no further revision is planned, so the online copy shall serve only for quick access. Moreover, the online copy’s layout is sub-par and its cross-references may be occasionally incorrect, so only this archived release can be considered definitive. When citing the Guide in a publication, please refer only to the release version.</w:t>
      </w:r>
    </w:p>
    <w:p w14:paraId="1EA15C5D" w14:textId="77777777">
      <w:pPr>
        <w:pStyle w:val="Normlbehzs"/>
      </w:pPr>
      <w:r>
        <w:t>No detailed changelog is included here, because this version incorporates all changes accumulated over the years since the last public release.</w:t>
      </w:r>
    </w:p>
    <w:p w14:paraId="2F610FC9" w14:textId="77777777">
      <w:pPr>
        <w:pStyle w:val="Cmsor2"/>
      </w:pPr>
      <w:bookmarkStart w:id="10" w:name="_7wlxzerj2b6e" w:colFirst="0" w:colLast="0"/>
      <w:bookmarkStart w:id="11" w:name="_mnn7i9yp8l0l" w:colFirst="0" w:colLast="0"/>
      <w:bookmarkStart w:id="12" w:name="_pxxk68dqnvkk" w:colFirst="0" w:colLast="0"/>
      <w:bookmarkStart w:id="13" w:name="_Toc243922579"/>
      <w:bookmarkEnd w:id="10"/>
      <w:bookmarkEnd w:id="11"/>
      <w:bookmarkEnd w:id="12"/>
      <w:r>
        <w:t>Acknowledgements</w:t>
      </w:r>
      <w:bookmarkEnd w:id="13"/>
    </w:p>
    <w:p w14:paraId="39A76E1B" w14:textId="77777777">
      <w:r>
        <w:t>Many people in addition to the authors noted above have helped in the creation of this guide; the most significant contributors have been Axelle Janiak, Emmanuel Francis, Michaël Meyer and Annette Schmiedchen.</w:t>
      </w:r>
    </w:p>
    <w:p w14:paraId="6737E4B6" w14:textId="77777777">
      <w:pPr>
        <w:pStyle w:val="Cmsor2"/>
      </w:pPr>
      <w:bookmarkStart w:id="14" w:name="_Toc243922580"/>
      <w:r>
        <w:t>Scope</w:t>
      </w:r>
      <w:bookmarkEnd w:id="14"/>
    </w:p>
    <w:p w14:paraId="664E1153" w14:textId="77777777">
      <w:r>
        <w:t>This Guide is for the EpiDoc compliant encoding of original sources for the DHARMA project. The Guide has been composed primarily with epigraphic texts in mind, but is also applicable to the encoding of texts transmitted as manuscripts, when these are edited “as documents” (rather than “as works” in the form of a critical edition). We also hope that the solutions recommended here gain currency beyond the scope of the DHARMA project. All encoders are strongly encouraged at least to skim it from cover to cover, to obtain a general idea of the topics covered in it. This guide presupposes that you are already familiar with version 4 of the DHARMA Transliteration Guide, released together with the present guide.</w:t>
      </w:r>
    </w:p>
    <w:p w14:paraId="5BFB9CFB" w14:textId="77777777">
      <w:pPr>
        <w:pStyle w:val="Cmsor2"/>
      </w:pPr>
      <w:bookmarkStart w:id="15" w:name="_10lqdugq9c0g" w:colFirst="0" w:colLast="0"/>
      <w:bookmarkStart w:id="16" w:name="_Toc243922581"/>
      <w:bookmarkEnd w:id="15"/>
      <w:r>
        <w:lastRenderedPageBreak/>
        <w:t>Further reading</w:t>
      </w:r>
      <w:bookmarkEnd w:id="16"/>
    </w:p>
    <w:p w14:paraId="5EC21E60" w14:textId="77777777">
      <w:r>
        <w:t>This Guide is a constrained and detailed adaptation of the EpiDoc guidelines,</w:t>
      </w:r>
      <w:r>
        <w:rPr>
          <w:rStyle w:val="Lbjegyzet-hivatkozs"/>
        </w:rPr>
        <w:footnoteReference w:id="2"/>
      </w:r>
      <w:r>
        <w:t xml:space="preserve"> which are themselves a constrained and detailed adaptation of the TEI guidelines.</w:t>
      </w:r>
      <w:r>
        <w:rPr>
          <w:rStyle w:val="Lbjegyzet-hivatkozs"/>
        </w:rPr>
        <w:footnoteReference w:id="3"/>
      </w:r>
      <w:r>
        <w:t xml:space="preserve"> A good general introduction to EpiDoc can be found in Bodard 2010. If you are entirely new to XML or the idea of computer markup, we recommend </w:t>
      </w:r>
      <w:r>
        <w:rPr>
          <w:noProof/>
        </w:rPr>
        <w:t>Roueché</w:t>
      </w:r>
      <w:r>
        <w:t xml:space="preserve"> and Flanders (n. d.) and Birnbaum (2015) for an introduction. </w:t>
      </w:r>
    </w:p>
    <w:p w14:paraId="581436DE" w14:textId="77777777">
      <w:pPr>
        <w:pStyle w:val="Cmsor2"/>
      </w:pPr>
      <w:bookmarkStart w:id="17" w:name="_tm2h1v9vrjxa" w:colFirst="0" w:colLast="0"/>
      <w:bookmarkStart w:id="18" w:name="_Toc243922582"/>
      <w:bookmarkEnd w:id="17"/>
      <w:r>
        <w:t>Software</w:t>
      </w:r>
      <w:bookmarkEnd w:id="18"/>
    </w:p>
    <w:p w14:paraId="1A89D55E" w14:textId="77777777">
      <w:r>
        <w:t>The XML editor recommended throughout the project is Oxygen, but you are free to use any editor to produce your marked-up texts. Visual Studio Code is in particular recommended as a powerful free alternative to Oxygen. Editing software will usually be able to colour-code XML and may also be able to check the well-formedness of the markup or even to validate against a schema.</w:t>
      </w:r>
    </w:p>
    <w:p w14:paraId="71B627B7" w14:textId="77777777">
      <w:r>
        <w:t>Working in Oxygen, you will need to set a suitable font for the Editor.</w:t>
      </w:r>
    </w:p>
    <w:p w14:paraId="741E955B" w14:textId="77777777">
      <w:pPr>
        <w:pStyle w:val="Lista"/>
      </w:pPr>
      <w:r>
        <w:t>the setting is found at Options/Preferences/Appearance/Fonts</w:t>
      </w:r>
    </w:p>
    <w:p w14:paraId="5454CA41" w14:textId="77777777">
      <w:pPr>
        <w:pStyle w:val="Lista"/>
      </w:pPr>
      <w:r>
        <w:t>what makes a font suitable?</w:t>
      </w:r>
    </w:p>
    <w:p w14:paraId="53E005BD" w14:textId="77777777">
      <w:pPr>
        <w:pStyle w:val="Lista2"/>
      </w:pPr>
      <w:r>
        <w:t>it can correctly display all the diacritical characters you work with</w:t>
      </w:r>
    </w:p>
    <w:p w14:paraId="5449139A" w14:textId="77777777">
      <w:pPr>
        <w:pStyle w:val="Lista2"/>
      </w:pPr>
      <w:r>
        <w:t>it is easy on the eye</w:t>
      </w:r>
    </w:p>
    <w:p w14:paraId="1281E306" w14:textId="77777777">
      <w:pPr>
        <w:pStyle w:val="Lista2"/>
      </w:pPr>
      <w:r>
        <w:t xml:space="preserve">it is preferably one in which the characters | </w:t>
      </w:r>
      <w:r>
        <w:rPr>
          <w:noProof/>
        </w:rPr>
        <w:t>(</w:t>
      </w:r>
      <w:r>
        <w:t xml:space="preserve">vertical bar), l </w:t>
      </w:r>
      <w:r>
        <w:rPr>
          <w:noProof/>
        </w:rPr>
        <w:t>(</w:t>
      </w:r>
      <w:r>
        <w:t xml:space="preserve">lowercase L) and I </w:t>
      </w:r>
      <w:r>
        <w:rPr>
          <w:noProof/>
        </w:rPr>
        <w:t>(</w:t>
      </w:r>
      <w:r>
        <w:t xml:space="preserve">uppercase </w:t>
      </w:r>
      <w:r>
        <w:rPr>
          <w:noProof/>
        </w:rPr>
        <w:t>i</w:t>
      </w:r>
      <w:r>
        <w:t>) are all easily distinguishable</w:t>
      </w:r>
    </w:p>
    <w:p w14:paraId="1BEF1C1F" w14:textId="77777777">
      <w:pPr>
        <w:pStyle w:val="Lista2"/>
      </w:pPr>
      <w:r>
        <w:t>it is preferably not too wide, so that you can see plenty of text even when not working on a full screen</w:t>
      </w:r>
    </w:p>
    <w:p w14:paraId="3F169AEB" w14:textId="77777777">
      <w:pPr>
        <w:pStyle w:val="Lista"/>
      </w:pPr>
      <w:r>
        <w:t>some fonts we have tested and liked include:</w:t>
      </w:r>
    </w:p>
    <w:p w14:paraId="6141F20D" w14:textId="77777777">
      <w:pPr>
        <w:pStyle w:val="Lista2"/>
      </w:pPr>
      <w:r>
        <w:t xml:space="preserve">Google’s free </w:t>
      </w:r>
      <w:r>
        <w:rPr>
          <w:rFonts w:cs="Noto Serif"/>
        </w:rPr>
        <w:t>Noto Serif</w:t>
      </w:r>
      <w:r>
        <w:t xml:space="preserve"> and </w:t>
      </w:r>
      <w:r>
        <w:rPr>
          <w:rFonts w:cs="Noto Sans"/>
        </w:rPr>
        <w:t>Noto Sans</w:t>
      </w:r>
    </w:p>
    <w:p w14:paraId="39EFBDE8" w14:textId="77777777">
      <w:pPr>
        <w:pStyle w:val="Lista2"/>
      </w:pPr>
      <w:r>
        <w:t xml:space="preserve">Microsoft’s </w:t>
      </w:r>
      <w:r>
        <w:rPr>
          <w:rFonts w:asciiTheme="minorHAnsi" w:hAnsiTheme="minorHAnsi"/>
        </w:rPr>
        <w:t>Cambria</w:t>
      </w:r>
      <w:r>
        <w:t xml:space="preserve"> and </w:t>
      </w:r>
      <w:r>
        <w:rPr>
          <w:rFonts w:ascii="Consolas" w:hAnsi="Consolas"/>
        </w:rPr>
        <w:t>Consolas</w:t>
      </w:r>
    </w:p>
    <w:p w14:paraId="3D553750" w14:textId="77777777">
      <w:pPr>
        <w:pStyle w:val="Lista"/>
      </w:pPr>
      <w:r>
        <w:t>note that fonts continue to develop</w:t>
      </w:r>
    </w:p>
    <w:p w14:paraId="0937BD3A" w14:textId="77777777">
      <w:pPr>
        <w:pStyle w:val="Lista2"/>
      </w:pPr>
      <w:r>
        <w:t>if a font is attractive but causes display problems, check whether you have the latest version and if not, replace your version with that to see if the problems go away</w:t>
      </w:r>
    </w:p>
    <w:p w14:paraId="030EBC6D" w14:textId="77777777">
      <w:r>
        <w:t>Further instructions for XML editing software in the project:</w:t>
      </w:r>
    </w:p>
    <w:p w14:paraId="675F5525" w14:textId="0E6499ED">
      <w:pPr>
        <w:pStyle w:val="Lista"/>
      </w:pPr>
      <w:r>
        <w:t xml:space="preserve">for using Oxygen with the DHARMA XML schema: </w:t>
      </w:r>
      <w:hyperlink r:id="rId10" w:history="1">
        <w:r>
          <w:rPr>
            <w:rStyle w:val="Hiperhivatkozs"/>
          </w:rPr>
          <w:t>https://github.com/erc-dharma/project-documentation/blob/66167c20f4be621256460be1640cb7a727104854/schema/README.md</w:t>
        </w:r>
      </w:hyperlink>
    </w:p>
    <w:p w14:paraId="4F526B72" w14:textId="5B9CC244">
      <w:pPr>
        <w:pStyle w:val="Lista"/>
      </w:pPr>
      <w:r>
        <w:t xml:space="preserve">for setting up Oxygen to create human-readable HTML from an XML edition: </w:t>
      </w:r>
      <w:hyperlink r:id="rId11" w:history="1">
        <w:r>
          <w:rPr>
            <w:rStyle w:val="Hiperhivatkozs"/>
          </w:rPr>
          <w:t>https://github.com/erc-dharma/project-documentation/blob/master/stylesheets/README.md</w:t>
        </w:r>
      </w:hyperlink>
    </w:p>
    <w:p w14:paraId="27F0E0B0" w14:textId="44FA1DCA">
      <w:pPr>
        <w:pStyle w:val="Lista"/>
      </w:pPr>
      <w:r>
        <w:t xml:space="preserve">for using Visual Studio Code: </w:t>
      </w:r>
      <w:hyperlink r:id="rId12" w:history="1">
        <w:r>
          <w:rPr>
            <w:rStyle w:val="Hiperhivatkozs"/>
          </w:rPr>
          <w:t>https://erc-dharma.github.io/project-documentation/visual-code/UsingVS_v01</w:t>
        </w:r>
      </w:hyperlink>
    </w:p>
    <w:p w14:paraId="5EE88578" w14:textId="77777777">
      <w:pPr>
        <w:pStyle w:val="Cmsor2"/>
      </w:pPr>
      <w:bookmarkStart w:id="19" w:name="_h6ld3i1yh73t" w:colFirst="0" w:colLast="0"/>
      <w:bookmarkStart w:id="20" w:name="_Toc243922583"/>
      <w:bookmarkEnd w:id="19"/>
      <w:r>
        <w:t>Note on the examples</w:t>
      </w:r>
      <w:bookmarkEnd w:id="20"/>
    </w:p>
    <w:p w14:paraId="19553C04" w14:textId="77777777">
      <w:r>
        <w:t>We use generic English text to illustrate layout and other details where the meaning of the text is not relevant. The text excerpts used for other examples are mostly Sanskrit from India. Many of the illustrations have been drawn from actual inscriptions, but to eliminate distractions, details irrelevant to the topic at hand are often silently normalised, restored, corrected or altered in such illustrations.</w:t>
      </w:r>
    </w:p>
    <w:p w14:paraId="75EC1CBF" w14:textId="77777777">
      <w:pPr>
        <w:pStyle w:val="Normlbehzs"/>
      </w:pPr>
      <w:r>
        <w:t xml:space="preserve">XML </w:t>
      </w:r>
      <w:r>
        <w:rPr>
          <w:rStyle w:val="Code"/>
        </w:rPr>
        <w:t>&lt;elements&gt;</w:t>
      </w:r>
      <w:r>
        <w:t xml:space="preserve"> mentioned in discussion or used in illustrations are set apart from regular text by typeface, text colour and a shaded background. XML </w:t>
      </w:r>
      <w:r>
        <w:rPr>
          <w:rStyle w:val="Codeattribute"/>
        </w:rPr>
        <w:t>@attributes</w:t>
      </w:r>
      <w:r>
        <w:t xml:space="preserve">, when mentioned on their own, are prefixed with an </w:t>
      </w:r>
      <w:r>
        <w:rPr>
          <w:rStyle w:val="Codeattribute"/>
        </w:rPr>
        <w:t>@</w:t>
      </w:r>
      <w:r>
        <w:t xml:space="preserve"> sign and highlighted with text colour and background shading. To eliminate distractions, encoding details irrelevant to the topic at hand </w:t>
      </w:r>
      <w:r>
        <w:rPr>
          <w:noProof/>
        </w:rPr>
        <w:t>(</w:t>
      </w:r>
      <w:r>
        <w:t xml:space="preserve">such as end-tags, attributes and text content) are often omitted in illustrations even though they may be mandatory in actual practice. </w:t>
      </w:r>
    </w:p>
    <w:p w14:paraId="7E17CD89" w14:textId="77777777">
      <w:pPr>
        <w:pStyle w:val="Cmsor2"/>
      </w:pPr>
      <w:bookmarkStart w:id="21" w:name="_66jpmlsjumit" w:colFirst="0" w:colLast="0"/>
      <w:bookmarkStart w:id="22" w:name="_Toc243922584"/>
      <w:bookmarkEnd w:id="21"/>
      <w:r>
        <w:lastRenderedPageBreak/>
        <w:t>Abbreviations</w:t>
      </w:r>
      <w:bookmarkEnd w:id="22"/>
    </w:p>
    <w:p w14:paraId="7234EE3D" w14:textId="3150A638">
      <w:r>
        <w:t>In addition to some straightforward abbreviations, this Guide uses the following acronyms to refer to other DHARMA guides, always in the version concurrent with this release.</w:t>
      </w:r>
    </w:p>
    <w:p w14:paraId="73A48288" w14:textId="77777777">
      <w:pPr>
        <w:pStyle w:val="Legend"/>
      </w:pPr>
      <w:r>
        <w:tab/>
        <w:t xml:space="preserve">EGC </w:t>
      </w:r>
      <w:r>
        <w:tab/>
        <w:t>the DHARMA Encoding Guide for Critical Editions</w:t>
      </w:r>
    </w:p>
    <w:p w14:paraId="09309CA9" w14:textId="77777777">
      <w:pPr>
        <w:pStyle w:val="Legend"/>
      </w:pPr>
      <w:r>
        <w:tab/>
        <w:t xml:space="preserve">EGD </w:t>
      </w:r>
      <w:r>
        <w:tab/>
        <w:t xml:space="preserve">the DHARMA Encoding Guide for Documentary Editions </w:t>
      </w:r>
      <w:r>
        <w:rPr>
          <w:noProof/>
        </w:rPr>
        <w:t>(</w:t>
      </w:r>
      <w:r>
        <w:t>the present document)</w:t>
      </w:r>
    </w:p>
    <w:p w14:paraId="28F6BF9C" w14:textId="0FC14805">
      <w:pPr>
        <w:pStyle w:val="Legend"/>
      </w:pPr>
      <w:r>
        <w:tab/>
        <w:t xml:space="preserve">TG </w:t>
      </w:r>
      <w:r>
        <w:tab/>
        <w:t>the DHARMA Transliteration Guide</w:t>
      </w:r>
    </w:p>
    <w:p w14:paraId="1D2190B3" w14:textId="77777777">
      <w:pPr>
        <w:pStyle w:val="Legend"/>
      </w:pPr>
      <w:r>
        <w:tab/>
        <w:t>VG</w:t>
      </w:r>
      <w:r>
        <w:tab/>
        <w:t>the DHARMA Versification Guide</w:t>
      </w:r>
    </w:p>
    <w:p w14:paraId="2BB8F261" w14:textId="77777777">
      <w:pPr>
        <w:pStyle w:val="Legend"/>
      </w:pPr>
      <w:r>
        <w:tab/>
        <w:t>ZG</w:t>
      </w:r>
      <w:r>
        <w:tab/>
        <w:t>the DHARMA Zotero Guide</w:t>
      </w:r>
    </w:p>
    <w:p w14:paraId="7137346C" w14:textId="77777777">
      <w:pPr>
        <w:pStyle w:val="Cmsor1"/>
      </w:pPr>
      <w:bookmarkStart w:id="23" w:name="_Toc243922585"/>
      <w:r>
        <w:lastRenderedPageBreak/>
        <w:t>Theoretical framework</w:t>
      </w:r>
      <w:bookmarkEnd w:id="23"/>
    </w:p>
    <w:p w14:paraId="6DE3147C" w14:textId="2B045388">
      <w:pPr>
        <w:rPr>
          <w:lang w:eastAsia="en-US" w:bidi="ar-SA"/>
        </w:rPr>
      </w:pPr>
      <w:r>
        <w:t>Familiarity with terminology pertaining to epigraphy and textual studies is generally taken for granted, but some definitions and explanations are given in the body of the Guide when deemed necessary. Terms and concepts relevant to versification are defined in VG §1.2.</w:t>
      </w:r>
    </w:p>
    <w:p w14:paraId="3B95BFA0" w14:textId="77777777">
      <w:pPr>
        <w:pStyle w:val="Cmsor2"/>
      </w:pPr>
      <w:bookmarkStart w:id="24" w:name="_ktq4gtyoojde" w:colFirst="0" w:colLast="0"/>
      <w:bookmarkStart w:id="25" w:name="_u31qo517lzme" w:colFirst="0" w:colLast="0"/>
      <w:bookmarkStart w:id="26" w:name="_2jkucuulj067" w:colFirst="0" w:colLast="0"/>
      <w:bookmarkStart w:id="27" w:name="_Ref242695968"/>
      <w:bookmarkStart w:id="28" w:name="_Toc243922586"/>
      <w:bookmarkEnd w:id="24"/>
      <w:bookmarkEnd w:id="25"/>
      <w:bookmarkEnd w:id="26"/>
      <w:r>
        <w:t>Terminology for the analysis of writing</w:t>
      </w:r>
      <w:bookmarkEnd w:id="27"/>
      <w:bookmarkEnd w:id="28"/>
    </w:p>
    <w:p w14:paraId="7AE52A39" w14:textId="531DA4A3">
      <w:r>
        <w:rPr>
          <w:lang w:eastAsia="en-US" w:bidi="ar-SA"/>
        </w:rPr>
        <w:t xml:space="preserve">The grapholinguistic terms used in this section are </w:t>
      </w:r>
      <w:r>
        <w:t>defined more fully in TG §1.6 and elaborated in TG §2; the present document’s §</w:t>
      </w:r>
      <w:r>
        <w:fldChar w:fldCharType="begin"/>
      </w:r>
      <w:r>
        <w:instrText xml:space="preserve"> REF _Ref227844670 \r \h </w:instrText>
      </w:r>
      <w:r>
        <w:fldChar w:fldCharType="separate"/>
      </w:r>
      <w:r>
        <w:t>16.3</w:t>
      </w:r>
      <w:r>
        <w:fldChar w:fldCharType="end"/>
      </w:r>
      <w:r>
        <w:t xml:space="preserve"> summarises the implications of these definitions as regards work on Indic texts in Romanised transliteration.</w:t>
      </w:r>
    </w:p>
    <w:p w14:paraId="4491C963" w14:textId="77777777">
      <w:pPr>
        <w:pStyle w:val="Lista"/>
      </w:pPr>
      <w:r>
        <w:rPr>
          <w:b/>
          <w:bCs/>
        </w:rPr>
        <w:t>graphemes</w:t>
      </w:r>
      <w:r>
        <w:t xml:space="preserve"> are a finite set of signs belonging to a writing system, comprised of a signifier that is a graphic feature and a signified that is a minimal unit of abstract linguistic information pertinent to analytic interest</w:t>
      </w:r>
    </w:p>
    <w:p w14:paraId="27E7BE65" w14:textId="77777777">
      <w:pPr>
        <w:pStyle w:val="Lista"/>
      </w:pPr>
      <w:r>
        <w:rPr>
          <w:b/>
          <w:bCs/>
        </w:rPr>
        <w:t>graphs</w:t>
      </w:r>
      <w:r>
        <w:t xml:space="preserve"> are an infinite set of graphic signs belonging to a script, which are the concrete graphic instantiations of graphemes, such as |A|, |</w:t>
      </w:r>
      <w:r>
        <w:rPr>
          <w:rFonts w:ascii="Old English Text MT" w:hAnsi="Old English Text MT"/>
        </w:rPr>
        <w:t>A</w:t>
      </w:r>
      <w:r>
        <w:t>|, |</w:t>
      </w:r>
      <w:r>
        <w:rPr>
          <w:rStyle w:val="ForeignDevanagariScript0"/>
          <w:rFonts w:hint="cs"/>
          <w:cs/>
        </w:rPr>
        <w:t>अ</w:t>
      </w:r>
      <w:r>
        <w:t>|, |</w:t>
      </w:r>
      <w:r>
        <w:rPr>
          <w:rStyle w:val="ForeignDevanagariAlt"/>
          <w:cs/>
        </w:rPr>
        <w:t>अ</w:t>
      </w:r>
      <w:r>
        <w:t>|</w:t>
      </w:r>
    </w:p>
    <w:p w14:paraId="008003F5" w14:textId="77777777">
      <w:pPr>
        <w:pStyle w:val="Lista"/>
      </w:pPr>
      <w:r>
        <w:rPr>
          <w:b/>
          <w:bCs/>
        </w:rPr>
        <w:t>graphotactics</w:t>
      </w:r>
      <w:r>
        <w:t xml:space="preserve"> is </w:t>
      </w:r>
      <w:r>
        <w:rPr>
          <w:noProof/>
        </w:rPr>
        <w:t>(</w:t>
      </w:r>
      <w:r>
        <w:t>the study of) the ways in which graphemes and graphs combine into sequences</w:t>
      </w:r>
    </w:p>
    <w:p w14:paraId="4A248A9F" w14:textId="77777777">
      <w:pPr>
        <w:pStyle w:val="Lista"/>
      </w:pPr>
      <w:r>
        <w:rPr>
          <w:b/>
          <w:bCs/>
        </w:rPr>
        <w:t>allographs</w:t>
      </w:r>
      <w:r>
        <w:t xml:space="preserve"> are graphs which instantiate the same grapheme</w:t>
      </w:r>
    </w:p>
    <w:p w14:paraId="76E6CD93" w14:textId="77777777">
      <w:pPr>
        <w:pStyle w:val="Lista2"/>
      </w:pPr>
      <w:r>
        <w:rPr>
          <w:b/>
          <w:bCs/>
        </w:rPr>
        <w:t>graphetic allographs</w:t>
      </w:r>
      <w:r>
        <w:t xml:space="preserve"> are allographs which do not signify any linguistic information other than that contained in the grapheme, such as Devanagari |</w:t>
      </w:r>
      <w:r>
        <w:rPr>
          <w:rStyle w:val="ForeignDevanagariScript0"/>
          <w:cs/>
        </w:rPr>
        <w:t>अ</w:t>
      </w:r>
      <w:r>
        <w:t>|, |</w:t>
      </w:r>
      <w:r>
        <w:rPr>
          <w:rStyle w:val="ForeignDevanagariAlt"/>
          <w:rFonts w:asciiTheme="majorBidi" w:hAnsiTheme="majorBidi" w:cstheme="majorBidi"/>
          <w:cs/>
        </w:rPr>
        <w:t>अ</w:t>
      </w:r>
      <w:r>
        <w:t>| and |</w:t>
      </w:r>
      <w:r>
        <w:rPr>
          <w:rStyle w:val="ForeignDevanagariAlt"/>
          <w:cs/>
        </w:rPr>
        <w:t>अ</w:t>
      </w:r>
      <w:r>
        <w:t>|</w:t>
      </w:r>
    </w:p>
    <w:p w14:paraId="0F698794" w14:textId="77777777">
      <w:pPr>
        <w:pStyle w:val="Lista2"/>
      </w:pPr>
      <w:r>
        <w:rPr>
          <w:b/>
          <w:bCs/>
        </w:rPr>
        <w:t>graphotactic allographs</w:t>
      </w:r>
      <w:r>
        <w:t xml:space="preserve"> are allographs of which only one is permitted in a given graphotactic context </w:t>
      </w:r>
      <w:r>
        <w:rPr>
          <w:noProof/>
        </w:rPr>
        <w:t>(</w:t>
      </w:r>
      <w:r>
        <w:t xml:space="preserve">in a given sequence of graphemes), such as the graphs corresponding to the grapheme </w:t>
      </w:r>
      <w:r>
        <w:rPr>
          <w:rStyle w:val="ForeignIndic"/>
        </w:rPr>
        <w:t>&lt;r&gt;</w:t>
      </w:r>
      <w:r>
        <w:t xml:space="preserve"> in Devanagari </w:t>
      </w:r>
      <w:r>
        <w:rPr>
          <w:noProof/>
          <w:lang w:bidi="sa-IN"/>
        </w:rPr>
        <w:t>|</w:t>
      </w:r>
      <w:r>
        <w:rPr>
          <w:rStyle w:val="ForeignDevanagariScript0"/>
          <w:rFonts w:hint="cs"/>
          <w:cs/>
        </w:rPr>
        <w:t>र्क</w:t>
      </w:r>
      <w:r>
        <w:rPr>
          <w:noProof/>
          <w:lang w:bidi="sa-IN"/>
        </w:rPr>
        <w:t>|</w:t>
      </w:r>
      <w:r>
        <w:rPr>
          <w:rStyle w:val="ForeignIndic"/>
        </w:rPr>
        <w:t>=</w:t>
      </w:r>
      <w:r>
        <w:rPr>
          <w:noProof/>
          <w:lang w:bidi="sa-IN"/>
        </w:rPr>
        <w:t>|rka|</w:t>
      </w:r>
      <w:r>
        <w:rPr>
          <w:lang w:bidi="sa-IN"/>
        </w:rPr>
        <w:t xml:space="preserve"> and </w:t>
      </w:r>
      <w:r>
        <w:rPr>
          <w:noProof/>
          <w:lang w:bidi="sa-IN"/>
        </w:rPr>
        <w:t>|</w:t>
      </w:r>
      <w:r>
        <w:rPr>
          <w:rStyle w:val="ForeignDevanagariScript0"/>
          <w:rFonts w:hint="cs"/>
          <w:cs/>
        </w:rPr>
        <w:t>क्र</w:t>
      </w:r>
      <w:r>
        <w:rPr>
          <w:noProof/>
          <w:lang w:bidi="sa-IN"/>
        </w:rPr>
        <w:t>|</w:t>
      </w:r>
      <w:r>
        <w:rPr>
          <w:rStyle w:val="ForeignIndic"/>
        </w:rPr>
        <w:t>=|kra|</w:t>
      </w:r>
    </w:p>
    <w:p w14:paraId="5E82DFF4" w14:textId="77777777">
      <w:pPr>
        <w:pStyle w:val="Lista2"/>
      </w:pPr>
      <w:r>
        <w:rPr>
          <w:b/>
          <w:bCs/>
        </w:rPr>
        <w:t>graphemic allographs</w:t>
      </w:r>
      <w:r>
        <w:t xml:space="preserve"> are allographs which potentially signify linguistic information in addition to, and at a different level than, that inherent in the grapheme, such as Devanagari |</w:t>
      </w:r>
      <w:r>
        <w:rPr>
          <w:rStyle w:val="ForeignDevanagariScript0"/>
          <w:cs/>
        </w:rPr>
        <w:t>उ</w:t>
      </w:r>
      <w:r>
        <w:t>| | versus |</w:t>
      </w:r>
      <w:r>
        <w:rPr>
          <w:rStyle w:val="ForeignDevanagariScript0"/>
          <w:rFonts w:hint="cs"/>
          <w:cs/>
        </w:rPr>
        <w:t>ु</w:t>
      </w:r>
      <w:r>
        <w:t>|</w:t>
      </w:r>
    </w:p>
    <w:p w14:paraId="5DD66D67" w14:textId="77777777">
      <w:pPr>
        <w:pStyle w:val="Lista"/>
      </w:pPr>
      <w:r>
        <w:rPr>
          <w:b/>
          <w:bCs/>
        </w:rPr>
        <w:t>homographs</w:t>
      </w:r>
      <w:r>
        <w:t xml:space="preserve"> are identical or nearly identical graphs which instantiate different graphemes</w:t>
      </w:r>
    </w:p>
    <w:p w14:paraId="062FF97D" w14:textId="77777777">
      <w:pPr>
        <w:pStyle w:val="Lista"/>
      </w:pPr>
      <w:r>
        <w:t xml:space="preserve">a </w:t>
      </w:r>
      <w:r>
        <w:rPr>
          <w:b/>
          <w:bCs/>
        </w:rPr>
        <w:t>character</w:t>
      </w:r>
      <w:r>
        <w:t xml:space="preserve"> is the minimal graphetically autonomous unit of a writing system, for example, </w:t>
      </w:r>
      <w:r>
        <w:rPr>
          <w:rStyle w:val="ForeignIndic"/>
        </w:rPr>
        <w:t>&lt;A&gt;</w:t>
      </w:r>
      <w:r>
        <w:t xml:space="preserve">, </w:t>
      </w:r>
      <w:r>
        <w:rPr>
          <w:rStyle w:val="ForeignIndic"/>
        </w:rPr>
        <w:t>&lt;T&gt;</w:t>
      </w:r>
      <w:r>
        <w:t xml:space="preserve">, </w:t>
      </w:r>
      <w:r>
        <w:rPr>
          <w:rStyle w:val="ForeignIndic"/>
        </w:rPr>
        <w:t>&lt;t·&gt;</w:t>
      </w:r>
      <w:r>
        <w:t xml:space="preserve">, </w:t>
      </w:r>
      <w:r>
        <w:rPr>
          <w:rStyle w:val="ForeignIndic"/>
        </w:rPr>
        <w:t>&lt;ka&gt;</w:t>
      </w:r>
      <w:r>
        <w:t xml:space="preserve"> and </w:t>
      </w:r>
      <w:r>
        <w:rPr>
          <w:rStyle w:val="ForeignIndic"/>
        </w:rPr>
        <w:t>&lt;rtsnyai&gt;</w:t>
      </w:r>
      <w:r>
        <w:t xml:space="preserve"> are characters of the Indic writing system</w:t>
      </w:r>
    </w:p>
    <w:p w14:paraId="7982E78E" w14:textId="77777777">
      <w:pPr>
        <w:pStyle w:val="Lista"/>
      </w:pPr>
      <w:r>
        <w:t xml:space="preserve">a </w:t>
      </w:r>
      <w:r>
        <w:rPr>
          <w:b/>
          <w:bCs/>
        </w:rPr>
        <w:t>glyph</w:t>
      </w:r>
      <w:r>
        <w:t xml:space="preserve"> is the concrete manifestation of a character, for example, |</w:t>
      </w:r>
      <w:r>
        <w:rPr>
          <w:rStyle w:val="ForeignDevanagariScript0"/>
          <w:rFonts w:hint="cs"/>
          <w:cs/>
        </w:rPr>
        <w:t>अ</w:t>
      </w:r>
      <w:r>
        <w:t>|, |</w:t>
      </w:r>
      <w:r>
        <w:rPr>
          <w:rStyle w:val="ForeignDevanagariScript0"/>
          <w:rFonts w:hint="cs"/>
          <w:cs/>
        </w:rPr>
        <w:t>त्</w:t>
      </w:r>
      <w:r>
        <w:t>|, |</w:t>
      </w:r>
      <w:r>
        <w:rPr>
          <w:rStyle w:val="ForeignDevanagariScript0"/>
          <w:rFonts w:hint="cs"/>
          <w:cs/>
        </w:rPr>
        <w:t>क</w:t>
      </w:r>
      <w:r>
        <w:t>| and |</w:t>
      </w:r>
      <w:r>
        <w:rPr>
          <w:rStyle w:val="ForeignDevanagariScript0"/>
          <w:rFonts w:hint="cs"/>
          <w:cs/>
        </w:rPr>
        <w:t>र्त्स्न्यै</w:t>
      </w:r>
      <w:r>
        <w:t>| are glyphs of the Devanagari script</w:t>
      </w:r>
    </w:p>
    <w:p w14:paraId="2DFA26CD" w14:textId="77777777">
      <w:pPr>
        <w:pStyle w:val="Lista"/>
      </w:pPr>
      <w:r>
        <w:t xml:space="preserve">the term </w:t>
      </w:r>
      <w:r>
        <w:rPr>
          <w:rStyle w:val="Foreign"/>
          <w:b/>
          <w:bCs/>
        </w:rPr>
        <w:t>akṣara</w:t>
      </w:r>
      <w:r>
        <w:t xml:space="preserve"> can refer to either the characters or the glyphs of an aksharic writing system</w:t>
      </w:r>
    </w:p>
    <w:p w14:paraId="70AF55D2" w14:textId="77777777">
      <w:pPr>
        <w:pStyle w:val="Lista"/>
      </w:pPr>
      <w:r>
        <w:t xml:space="preserve">a </w:t>
      </w:r>
      <w:r>
        <w:rPr>
          <w:b/>
          <w:bCs/>
        </w:rPr>
        <w:t>component</w:t>
      </w:r>
      <w:r>
        <w:t xml:space="preserve"> is a visually discernible graph in a complex glyph, such as the graphs </w:t>
      </w:r>
      <w:r>
        <w:rPr>
          <w:noProof/>
        </w:rPr>
        <w:t>|t|</w:t>
      </w:r>
      <w:r>
        <w:t xml:space="preserve"> and </w:t>
      </w:r>
      <w:r>
        <w:rPr>
          <w:noProof/>
        </w:rPr>
        <w:t>|e|</w:t>
      </w:r>
      <w:r>
        <w:t xml:space="preserve"> in |</w:t>
      </w:r>
      <w:r>
        <w:rPr>
          <w:rStyle w:val="ForeignDevanagariScript0"/>
          <w:rFonts w:hint="cs"/>
          <w:cs/>
        </w:rPr>
        <w:t>ते</w:t>
      </w:r>
      <w:r>
        <w:t>|</w:t>
      </w:r>
    </w:p>
    <w:p w14:paraId="117C40D8" w14:textId="77777777">
      <w:pPr>
        <w:pStyle w:val="Lista2"/>
      </w:pPr>
      <w:r>
        <w:t xml:space="preserve">a </w:t>
      </w:r>
      <w:r>
        <w:rPr>
          <w:b/>
          <w:bCs/>
        </w:rPr>
        <w:t>marker</w:t>
      </w:r>
      <w:r>
        <w:t xml:space="preserve"> is a graph which can only manifest as a component, and never as an independent glyph, such as the </w:t>
      </w:r>
      <w:r>
        <w:rPr>
          <w:noProof/>
        </w:rPr>
        <w:t>|e|</w:t>
      </w:r>
      <w:r>
        <w:t xml:space="preserve"> in |</w:t>
      </w:r>
      <w:r>
        <w:rPr>
          <w:rStyle w:val="ForeignDevanagariScript0"/>
          <w:rFonts w:hint="cs"/>
          <w:cs/>
        </w:rPr>
        <w:t>ते</w:t>
      </w:r>
      <w:r>
        <w:t>|</w:t>
      </w:r>
    </w:p>
    <w:p w14:paraId="66D05324" w14:textId="77777777">
      <w:pPr>
        <w:pStyle w:val="Lista"/>
      </w:pPr>
      <w:r>
        <w:t xml:space="preserve">a </w:t>
      </w:r>
      <w:r>
        <w:rPr>
          <w:noProof/>
        </w:rPr>
        <w:t>(</w:t>
      </w:r>
      <w:r>
        <w:t xml:space="preserve">graphic) </w:t>
      </w:r>
      <w:r>
        <w:rPr>
          <w:b/>
          <w:bCs/>
        </w:rPr>
        <w:t>element</w:t>
      </w:r>
      <w:r>
        <w:t xml:space="preserve"> is any salient part of a graph or glyph that is not itself a graph, i.e. which has no graphemic signification of its own</w:t>
      </w:r>
    </w:p>
    <w:p w14:paraId="61128084" w14:textId="77777777">
      <w:pPr>
        <w:pStyle w:val="Lista2"/>
      </w:pPr>
      <w:r>
        <w:t xml:space="preserve">a </w:t>
      </w:r>
      <w:r>
        <w:rPr>
          <w:b/>
          <w:bCs/>
        </w:rPr>
        <w:t>stroke</w:t>
      </w:r>
      <w:r>
        <w:t xml:space="preserve"> is a graphic element which can be written as a single stroke of the writing instrument</w:t>
      </w:r>
    </w:p>
    <w:p w14:paraId="1DD92C22" w14:textId="77777777">
      <w:pPr>
        <w:pStyle w:val="Lista"/>
      </w:pPr>
      <w:r>
        <w:rPr>
          <w:b/>
          <w:bCs/>
        </w:rPr>
        <w:t>core graphemes</w:t>
      </w:r>
      <w:r>
        <w:t xml:space="preserve"> are those to which we dedicate a unique transliteration equivalent, and this identifies the grapheme precisely enough for our purposes</w:t>
      </w:r>
    </w:p>
    <w:p w14:paraId="2F7EE893" w14:textId="77777777">
      <w:pPr>
        <w:pStyle w:val="Lista2"/>
      </w:pPr>
      <w:r>
        <w:t xml:space="preserve">our core graphemes are the Indic writing system’s phonographic graphemes </w:t>
      </w:r>
      <w:r>
        <w:rPr>
          <w:noProof/>
        </w:rPr>
        <w:t>(</w:t>
      </w:r>
      <w:r>
        <w:t xml:space="preserve">including the inherent vowel and the </w:t>
      </w:r>
      <w:r>
        <w:rPr>
          <w:rStyle w:val="Foreign"/>
        </w:rPr>
        <w:t>virāma</w:t>
      </w:r>
      <w:r>
        <w:t xml:space="preserve">) and its numeral signs, along with a small number of miscellaneous graphemes such as the </w:t>
      </w:r>
      <w:r>
        <w:rPr>
          <w:rStyle w:val="Foreign"/>
        </w:rPr>
        <w:t>avagraha</w:t>
      </w:r>
      <w:r>
        <w:t xml:space="preserve"> and the abbreviation mark</w:t>
      </w:r>
    </w:p>
    <w:p w14:paraId="32AD092C" w14:textId="77777777">
      <w:pPr>
        <w:pStyle w:val="Lista"/>
        <w:rPr>
          <w:b/>
          <w:bCs/>
        </w:rPr>
      </w:pPr>
      <w:r>
        <w:rPr>
          <w:b/>
          <w:bCs/>
        </w:rPr>
        <w:t>peripheral graphemes</w:t>
      </w:r>
      <w:r>
        <w:t xml:space="preserve">, also called simply </w:t>
      </w:r>
      <w:r>
        <w:rPr>
          <w:b/>
          <w:bCs/>
        </w:rPr>
        <w:t>symbols</w:t>
      </w:r>
      <w:r>
        <w:t>, are those which we transliterate by means of a placeholder, which identifies the grapheme in a vague manner, while more precise identification may be added through encoding</w:t>
      </w:r>
    </w:p>
    <w:p w14:paraId="3345B88C" w14:textId="77777777">
      <w:pPr>
        <w:pStyle w:val="Lista2"/>
      </w:pPr>
      <w:r>
        <w:t xml:space="preserve">our peripheral graphemes include the Indic writing system’s non-numeral ideograms, its marks other than the </w:t>
      </w:r>
      <w:r>
        <w:rPr>
          <w:rStyle w:val="Foreign"/>
        </w:rPr>
        <w:t>avagraha</w:t>
      </w:r>
      <w:r>
        <w:t xml:space="preserve"> and the abbreviation mark, and its abstract symbols</w:t>
      </w:r>
    </w:p>
    <w:p w14:paraId="14C5AB5A" w14:textId="77777777">
      <w:pPr>
        <w:pStyle w:val="Cmsor2"/>
      </w:pPr>
      <w:bookmarkStart w:id="29" w:name="_Toc243922587"/>
      <w:r>
        <w:lastRenderedPageBreak/>
        <w:t>Terminology for encoding</w:t>
      </w:r>
      <w:bookmarkEnd w:id="29"/>
    </w:p>
    <w:p w14:paraId="7E4B6306" w14:textId="77777777">
      <w:r>
        <w:t xml:space="preserve">This section clarifies terms and concepts essential for encoding texts in XML. </w:t>
      </w:r>
    </w:p>
    <w:p w14:paraId="2D22DA63" w14:textId="77777777">
      <w:pPr>
        <w:pStyle w:val="Cmsor3"/>
      </w:pPr>
      <w:bookmarkStart w:id="30" w:name="_Ref233641527"/>
      <w:bookmarkStart w:id="31" w:name="_Toc243922588"/>
      <w:r>
        <w:t>Markup</w:t>
      </w:r>
      <w:bookmarkEnd w:id="30"/>
      <w:bookmarkEnd w:id="31"/>
    </w:p>
    <w:p w14:paraId="2D20CF86" w14:textId="77777777">
      <w:pPr>
        <w:pStyle w:val="Lista"/>
      </w:pPr>
      <w:r>
        <w:rPr>
          <w:b/>
          <w:bCs/>
        </w:rPr>
        <w:t>markup</w:t>
      </w:r>
      <w:r>
        <w:t xml:space="preserve"> traditionally means annotation within a text to convey information about the presentation of the text, including among others</w:t>
      </w:r>
    </w:p>
    <w:p w14:paraId="5EC60D10" w14:textId="77777777">
      <w:pPr>
        <w:pStyle w:val="Lista2"/>
      </w:pPr>
      <w:r>
        <w:t xml:space="preserve">markings in a modern manuscript to instruct a typesetter, for instance </w:t>
      </w:r>
      <w:r>
        <w:rPr>
          <w:u w:val="single"/>
        </w:rPr>
        <w:t>underline</w:t>
      </w:r>
      <w:r>
        <w:t xml:space="preserve"> to indicate conversion to italics</w:t>
      </w:r>
    </w:p>
    <w:p w14:paraId="6EF0004B" w14:textId="77777777">
      <w:pPr>
        <w:pStyle w:val="Lista2"/>
      </w:pPr>
      <w:r>
        <w:t>various brackets and other signs used in philology and epigraphy, for instance to indicate that certain parts of a text are tentatively read or supplied by the editor</w:t>
      </w:r>
    </w:p>
    <w:p w14:paraId="08482327" w14:textId="77777777">
      <w:pPr>
        <w:pStyle w:val="Lista2"/>
      </w:pPr>
      <w:r>
        <w:t>machine-readable markup, i.e. encoding</w:t>
      </w:r>
    </w:p>
    <w:p w14:paraId="527943D7" w14:textId="77777777">
      <w:pPr>
        <w:pStyle w:val="Lista"/>
      </w:pPr>
      <w:r>
        <w:t xml:space="preserve">the TEI guidelines define </w:t>
      </w:r>
      <w:r>
        <w:rPr>
          <w:b/>
          <w:bCs/>
        </w:rPr>
        <w:t>encoding</w:t>
      </w:r>
      <w:r>
        <w:t xml:space="preserve"> and </w:t>
      </w:r>
      <w:r>
        <w:rPr>
          <w:b/>
          <w:bCs/>
        </w:rPr>
        <w:t>markup</w:t>
      </w:r>
      <w:r>
        <w:t xml:space="preserve"> as synonymous and applicable in a widely generalised sense to “any means of making explicit an interpretation of a text”</w:t>
      </w:r>
      <w:r>
        <w:rPr>
          <w:rStyle w:val="Lbjegyzet-hivatkozs"/>
        </w:rPr>
        <w:footnoteReference w:id="4"/>
      </w:r>
      <w:r>
        <w:t xml:space="preserve"> and including typographic devices, punctuation marks and even spaces</w:t>
      </w:r>
    </w:p>
    <w:p w14:paraId="112C838C" w14:textId="77777777">
      <w:pPr>
        <w:pStyle w:val="Lista"/>
      </w:pPr>
      <w:r>
        <w:t>in the more circumscribed usage of this guide,</w:t>
      </w:r>
    </w:p>
    <w:p w14:paraId="73BF4FAC" w14:textId="77777777">
      <w:pPr>
        <w:pStyle w:val="Lista2"/>
      </w:pPr>
      <w:r>
        <w:rPr>
          <w:b/>
          <w:bCs/>
        </w:rPr>
        <w:t>markup</w:t>
      </w:r>
      <w:r>
        <w:t xml:space="preserve"> may refer to shorthand used in the transliteration (TG §3.3), to editorial signs used in a printed edition, or to XML encoding</w:t>
      </w:r>
    </w:p>
    <w:p w14:paraId="0D607412" w14:textId="77777777">
      <w:pPr>
        <w:pStyle w:val="Lista2"/>
      </w:pPr>
      <w:r>
        <w:rPr>
          <w:b/>
          <w:bCs/>
        </w:rPr>
        <w:t>encoding</w:t>
      </w:r>
      <w:r>
        <w:t xml:space="preserve"> refers specifically to the method of encoding texts in XML</w:t>
      </w:r>
    </w:p>
    <w:p w14:paraId="4851904F" w14:textId="77777777">
      <w:pPr>
        <w:pStyle w:val="Lista"/>
      </w:pPr>
      <w:r>
        <w:rPr>
          <w:b/>
          <w:bCs/>
        </w:rPr>
        <w:t>conceptual markup</w:t>
      </w:r>
      <w:r>
        <w:t xml:space="preserve"> </w:t>
      </w:r>
      <w:r>
        <w:rPr>
          <w:noProof/>
        </w:rPr>
        <w:t>(</w:t>
      </w:r>
      <w:r>
        <w:t xml:space="preserve">also called descriptive markup and semantic markup) essentially means tagging content for </w:t>
      </w:r>
      <w:r>
        <w:rPr>
          <w:rStyle w:val="Foreign"/>
        </w:rPr>
        <w:t>what it is</w:t>
      </w:r>
      <w:r>
        <w:t xml:space="preserve">, as opposed to other types of markup </w:t>
      </w:r>
      <w:r>
        <w:rPr>
          <w:noProof/>
        </w:rPr>
        <w:t>(</w:t>
      </w:r>
      <w:r>
        <w:t>which are only mentioned here for contrast, but which you need not worry about), namely</w:t>
      </w:r>
    </w:p>
    <w:p w14:paraId="7C1A0242" w14:textId="77777777">
      <w:pPr>
        <w:pStyle w:val="Lista2"/>
      </w:pPr>
      <w:r>
        <w:t xml:space="preserve">presentational markup, which tags content for </w:t>
      </w:r>
      <w:r>
        <w:rPr>
          <w:rStyle w:val="Foreign"/>
        </w:rPr>
        <w:t>what it should look like</w:t>
      </w:r>
      <w:r>
        <w:t>, as in simple WYSIWYG word processing where you can apply bold, italic, font choice, colour, etc. to bits of text</w:t>
      </w:r>
    </w:p>
    <w:p w14:paraId="0CD59CD5" w14:textId="77777777">
      <w:pPr>
        <w:pStyle w:val="Lista2"/>
      </w:pPr>
      <w:r>
        <w:t xml:space="preserve">procedural markup, which tags content for </w:t>
      </w:r>
      <w:r>
        <w:rPr>
          <w:rStyle w:val="Foreign"/>
        </w:rPr>
        <w:t>what an algorithm should do with it</w:t>
      </w:r>
      <w:r>
        <w:t xml:space="preserve">, as for instance in TeX </w:t>
      </w:r>
      <w:r>
        <w:rPr>
          <w:noProof/>
        </w:rPr>
        <w:t>(</w:t>
      </w:r>
      <w:r>
        <w:t>as opposed to LaTeX, which mostly uses conceptual markup)</w:t>
      </w:r>
    </w:p>
    <w:p w14:paraId="79EE5EC8" w14:textId="77777777">
      <w:pPr>
        <w:pStyle w:val="Lista"/>
      </w:pPr>
      <w:r>
        <w:t xml:space="preserve">conceptual markup allows a </w:t>
      </w:r>
      <w:r>
        <w:rPr>
          <w:i/>
          <w:iCs/>
        </w:rPr>
        <w:t>separation of concerns</w:t>
      </w:r>
      <w:r>
        <w:t>: instructions for what a processing algorithm should do to items tagged in a particular way, as well as instructions for how these items should be rendered on screen or in print, are kept separate from the actual text</w:t>
      </w:r>
    </w:p>
    <w:p w14:paraId="48B722D4" w14:textId="77777777">
      <w:pPr>
        <w:pStyle w:val="Lista"/>
      </w:pPr>
      <w:r>
        <w:t xml:space="preserve">a </w:t>
      </w:r>
      <w:r>
        <w:rPr>
          <w:b/>
          <w:bCs/>
        </w:rPr>
        <w:t>markup language</w:t>
      </w:r>
      <w:r>
        <w:t xml:space="preserve"> is a coherent set of markup conventions </w:t>
      </w:r>
    </w:p>
    <w:p w14:paraId="34C008BE" w14:textId="77777777">
      <w:pPr>
        <w:pStyle w:val="Lista"/>
      </w:pPr>
      <w:r>
        <w:rPr>
          <w:b/>
          <w:bCs/>
        </w:rPr>
        <w:t>XML</w:t>
      </w:r>
      <w:r>
        <w:t xml:space="preserve"> </w:t>
      </w:r>
      <w:r>
        <w:rPr>
          <w:noProof/>
        </w:rPr>
        <w:t>(eXtensible</w:t>
      </w:r>
      <w:r>
        <w:t xml:space="preserve"> Markup Language) is a machine-readable markup language used for a wide variety of purposes and independent of hardware or software platform</w:t>
      </w:r>
    </w:p>
    <w:p w14:paraId="461C1FD0" w14:textId="77777777">
      <w:pPr>
        <w:pStyle w:val="Lista"/>
      </w:pPr>
      <w:r>
        <w:t xml:space="preserve">the </w:t>
      </w:r>
      <w:r>
        <w:rPr>
          <w:b/>
          <w:bCs/>
        </w:rPr>
        <w:t>TEI</w:t>
      </w:r>
      <w:r>
        <w:t xml:space="preserve"> </w:t>
      </w:r>
      <w:r>
        <w:rPr>
          <w:noProof/>
        </w:rPr>
        <w:t>(</w:t>
      </w:r>
      <w:r>
        <w:t xml:space="preserve">Text Encoding Initiative) is a standard for the machine-readable encoding of texts </w:t>
      </w:r>
      <w:r>
        <w:rPr>
          <w:noProof/>
        </w:rPr>
        <w:t>(</w:t>
      </w:r>
      <w:r>
        <w:t>understood in a very broad sense) to facilitate text documentation, text representation, text analysis and interpretation</w:t>
      </w:r>
    </w:p>
    <w:p w14:paraId="3FFD50A5" w14:textId="77777777">
      <w:pPr>
        <w:pStyle w:val="Lista2"/>
      </w:pPr>
      <w:r>
        <w:t>TEI has been developed and is maintained by the eponymous Text Encoding Initiative Consortium</w:t>
      </w:r>
    </w:p>
    <w:p w14:paraId="740B9ADC" w14:textId="77777777">
      <w:pPr>
        <w:pStyle w:val="Lista2"/>
      </w:pPr>
      <w:r>
        <w:t>TEI defines a versatile and massive set of XML conventions for marking up texts</w:t>
      </w:r>
    </w:p>
    <w:p w14:paraId="7C40F0B7" w14:textId="77777777">
      <w:pPr>
        <w:pStyle w:val="Lista"/>
      </w:pPr>
      <w:r>
        <w:rPr>
          <w:b/>
          <w:bCs/>
        </w:rPr>
        <w:t>EpiDoc</w:t>
      </w:r>
      <w:r>
        <w:t xml:space="preserve"> is a subset of TEI-compliant markup rules specifically devised for marking up epigraphic documents</w:t>
      </w:r>
    </w:p>
    <w:p w14:paraId="625F93FD" w14:textId="77777777">
      <w:pPr>
        <w:pStyle w:val="Cmsor3"/>
      </w:pPr>
      <w:bookmarkStart w:id="32" w:name="_Ref224893557"/>
      <w:bookmarkStart w:id="33" w:name="_Toc243922589"/>
      <w:r>
        <w:t>XML elements</w:t>
      </w:r>
      <w:bookmarkEnd w:id="32"/>
      <w:bookmarkEnd w:id="33"/>
    </w:p>
    <w:p w14:paraId="07BD4654" w14:textId="77777777">
      <w:pPr>
        <w:pStyle w:val="Lista"/>
      </w:pPr>
      <w:r>
        <w:t xml:space="preserve">the structural units of XML are known as </w:t>
      </w:r>
      <w:r>
        <w:rPr>
          <w:b/>
          <w:bCs/>
        </w:rPr>
        <w:t>elements</w:t>
      </w:r>
    </w:p>
    <w:p w14:paraId="033FA9D5" w14:textId="77777777">
      <w:pPr>
        <w:pStyle w:val="Lista"/>
      </w:pPr>
      <w:r>
        <w:t xml:space="preserve">within an XML document, elements take the form of </w:t>
      </w:r>
      <w:r>
        <w:rPr>
          <w:b/>
          <w:bCs/>
        </w:rPr>
        <w:t>tags</w:t>
      </w:r>
      <w:r>
        <w:t xml:space="preserve">: words of code distinguished from the textual content by being always wrapped in angle brackets </w:t>
      </w:r>
      <w:r>
        <w:rPr>
          <w:rStyle w:val="Code"/>
        </w:rPr>
        <w:t>&lt;&gt;</w:t>
      </w:r>
    </w:p>
    <w:p w14:paraId="3C631563" w14:textId="77777777">
      <w:pPr>
        <w:pStyle w:val="Lista"/>
      </w:pPr>
      <w:r>
        <w:t>an XML element may be either</w:t>
      </w:r>
    </w:p>
    <w:p w14:paraId="40385BF9" w14:textId="77777777">
      <w:pPr>
        <w:pStyle w:val="Lista2"/>
      </w:pPr>
      <w:r>
        <w:rPr>
          <w:b/>
          <w:bCs/>
        </w:rPr>
        <w:t>empty</w:t>
      </w:r>
      <w:r>
        <w:t>, containing neither text nor further elements</w:t>
      </w:r>
    </w:p>
    <w:p w14:paraId="4D2D243E" w14:textId="77777777">
      <w:pPr>
        <w:pStyle w:val="Lista3"/>
      </w:pPr>
      <w:r>
        <w:t>taking the form of a single tag ending with a slash to show that the element ends with the tag</w:t>
      </w:r>
    </w:p>
    <w:p w14:paraId="57D42E9F" w14:textId="77777777">
      <w:pPr>
        <w:pStyle w:val="Lista4"/>
      </w:pPr>
      <w:r>
        <w:t xml:space="preserve">e.g. </w:t>
      </w:r>
      <w:r>
        <w:rPr>
          <w:rStyle w:val="Code"/>
        </w:rPr>
        <w:t>&lt;lb/&gt;</w:t>
      </w:r>
    </w:p>
    <w:p w14:paraId="020D6A46" w14:textId="77777777">
      <w:pPr>
        <w:pStyle w:val="Lista2"/>
      </w:pPr>
      <w:r>
        <w:t xml:space="preserve">or </w:t>
      </w:r>
      <w:r>
        <w:rPr>
          <w:b/>
          <w:bCs/>
        </w:rPr>
        <w:t>non-empty</w:t>
      </w:r>
      <w:r>
        <w:t xml:space="preserve">, containing any mixture of text and/or further </w:t>
      </w:r>
      <w:r>
        <w:rPr>
          <w:noProof/>
        </w:rPr>
        <w:t>(</w:t>
      </w:r>
      <w:r>
        <w:t>empty or non-empty) XML elements</w:t>
      </w:r>
    </w:p>
    <w:p w14:paraId="57B2B11B" w14:textId="77777777">
      <w:pPr>
        <w:pStyle w:val="Lista3"/>
      </w:pPr>
      <w:r>
        <w:lastRenderedPageBreak/>
        <w:t>taking the form of a pair of tags</w:t>
      </w:r>
    </w:p>
    <w:p w14:paraId="7D41430E" w14:textId="77777777">
      <w:pPr>
        <w:pStyle w:val="Lista4"/>
      </w:pPr>
      <w:r>
        <w:t xml:space="preserve">a start-tag which identifies the element, e.g. </w:t>
      </w:r>
      <w:r>
        <w:rPr>
          <w:rStyle w:val="Code"/>
        </w:rPr>
        <w:t>&lt;unclear&gt;</w:t>
      </w:r>
    </w:p>
    <w:p w14:paraId="4BB676A8" w14:textId="77777777">
      <w:pPr>
        <w:pStyle w:val="Lista4"/>
      </w:pPr>
      <w:r>
        <w:t xml:space="preserve">and an end-tag which includes the slash and repeats the element name, e.g. </w:t>
      </w:r>
      <w:r>
        <w:rPr>
          <w:rStyle w:val="Code"/>
        </w:rPr>
        <w:t>&lt;/unclear&gt;</w:t>
      </w:r>
    </w:p>
    <w:p w14:paraId="31F2ED90" w14:textId="77777777">
      <w:pPr>
        <w:pStyle w:val="Lista2"/>
      </w:pPr>
      <w:r>
        <w:t>optionally, empty elements can also be represented by a pair of tags with nothing in between</w:t>
      </w:r>
    </w:p>
    <w:p w14:paraId="4F9081AE" w14:textId="77777777">
      <w:pPr>
        <w:pStyle w:val="Lista3"/>
      </w:pPr>
      <w:r>
        <w:t xml:space="preserve">e.g. </w:t>
      </w:r>
      <w:r>
        <w:rPr>
          <w:rStyle w:val="Code"/>
        </w:rPr>
        <w:t>&lt;lb&gt;&lt;/lb&gt;</w:t>
      </w:r>
    </w:p>
    <w:p w14:paraId="75CBDE47" w14:textId="77777777">
      <w:pPr>
        <w:pStyle w:val="Lista"/>
      </w:pPr>
      <w:r>
        <w:t>for our purposes, non-empty elements are distinguished into two basic types:</w:t>
      </w:r>
    </w:p>
    <w:p w14:paraId="291B437A" w14:textId="77777777">
      <w:pPr>
        <w:pStyle w:val="Lista2"/>
      </w:pPr>
      <w:r>
        <w:rPr>
          <w:b/>
          <w:bCs/>
        </w:rPr>
        <w:t>block-level elements</w:t>
      </w:r>
      <w:r>
        <w:t xml:space="preserve"> or chunks, which, together, must contain all text within an edition</w:t>
      </w:r>
    </w:p>
    <w:p w14:paraId="15F87890" w14:textId="01A86C50">
      <w:pPr>
        <w:pStyle w:val="Lista3"/>
      </w:pPr>
      <w:r>
        <w:t xml:space="preserve">these serve in TEI to encode the intrinsic structure of a text </w:t>
      </w:r>
      <w:r>
        <w:rPr>
          <w:noProof/>
        </w:rPr>
        <w:t>(</w:t>
      </w:r>
      <w:r>
        <w:t>§</w:t>
      </w:r>
      <w:r>
        <w:fldChar w:fldCharType="begin"/>
      </w:r>
      <w:r>
        <w:instrText xml:space="preserve"> REF _Ref43978632 \r \h  \* MERGEFORMAT </w:instrText>
      </w:r>
      <w:r>
        <w:fldChar w:fldCharType="separate"/>
      </w:r>
      <w:r>
        <w:t>3</w:t>
      </w:r>
      <w:r>
        <w:fldChar w:fldCharType="end"/>
      </w:r>
      <w:r>
        <w:t>)</w:t>
      </w:r>
    </w:p>
    <w:p w14:paraId="7835EC99" w14:textId="77777777">
      <w:pPr>
        <w:pStyle w:val="Lista2"/>
      </w:pPr>
      <w:r>
        <w:rPr>
          <w:b/>
          <w:bCs/>
        </w:rPr>
        <w:t>phrase-level</w:t>
      </w:r>
      <w:r>
        <w:t xml:space="preserve"> elements, which must be entirely contained within a block-level element</w:t>
      </w:r>
    </w:p>
    <w:p w14:paraId="47C2A3F1" w14:textId="77777777">
      <w:pPr>
        <w:pStyle w:val="Lista3"/>
      </w:pPr>
      <w:r>
        <w:t>these serve to mark up local features of the text, for example uncertain readings, editorial alterations, segments in a different script and numerals</w:t>
      </w:r>
    </w:p>
    <w:p w14:paraId="11181FDB" w14:textId="77777777">
      <w:pPr>
        <w:pStyle w:val="Lista"/>
      </w:pPr>
      <w:r>
        <w:rPr>
          <w:b/>
          <w:bCs/>
        </w:rPr>
        <w:t>XML element names</w:t>
      </w:r>
      <w:r>
        <w:t xml:space="preserve"> are case-sensitive: e.g. </w:t>
      </w:r>
      <w:r>
        <w:rPr>
          <w:rStyle w:val="Code"/>
        </w:rPr>
        <w:t>&lt;unclear&gt;</w:t>
      </w:r>
      <w:r>
        <w:t xml:space="preserve"> cannot be substituted with </w:t>
      </w:r>
      <w:r>
        <w:rPr>
          <w:rStyle w:val="Code"/>
        </w:rPr>
        <w:t>&lt;Unclear&gt;</w:t>
      </w:r>
      <w:r>
        <w:t xml:space="preserve"> or </w:t>
      </w:r>
      <w:r>
        <w:rPr>
          <w:rStyle w:val="Code"/>
        </w:rPr>
        <w:t>&lt;UNCLEAR&gt;</w:t>
      </w:r>
    </w:p>
    <w:p w14:paraId="658ADD16" w14:textId="77777777">
      <w:pPr>
        <w:pStyle w:val="Lista"/>
      </w:pPr>
      <w:r>
        <w:t xml:space="preserve">XML elements can have </w:t>
      </w:r>
      <w:r>
        <w:rPr>
          <w:b/>
          <w:bCs/>
        </w:rPr>
        <w:t>attributes</w:t>
      </w:r>
      <w:r>
        <w:t>, whose function is to record additional information about an element</w:t>
      </w:r>
    </w:p>
    <w:p w14:paraId="1B508E9A" w14:textId="77777777">
      <w:pPr>
        <w:pStyle w:val="Lista3"/>
      </w:pPr>
      <w:r>
        <w:t>attributes have a name and a value, which are incorporated into the tag for an empty element, or into the start-tag of a non-empty element, e.g.</w:t>
      </w:r>
    </w:p>
    <w:p w14:paraId="7C7B7C37" w14:textId="77777777">
      <w:pPr>
        <w:pStyle w:val="Lista4"/>
      </w:pPr>
      <w:r>
        <w:rPr>
          <w:rStyle w:val="Code"/>
        </w:rPr>
        <w:t xml:space="preserve">&lt;space </w:t>
      </w:r>
      <w:r>
        <w:rPr>
          <w:rStyle w:val="Codeattribute"/>
        </w:rPr>
        <w:t>quantity</w:t>
      </w:r>
      <w:r>
        <w:rPr>
          <w:rStyle w:val="Code"/>
        </w:rPr>
        <w:t>=</w:t>
      </w:r>
      <w:r>
        <w:rPr>
          <w:rStyle w:val="Codevalue"/>
        </w:rPr>
        <w:t>"3"</w:t>
      </w:r>
      <w:r>
        <w:rPr>
          <w:rStyle w:val="Code"/>
        </w:rPr>
        <w:t xml:space="preserve"> </w:t>
      </w:r>
      <w:r>
        <w:rPr>
          <w:rStyle w:val="Codeattribute"/>
        </w:rPr>
        <w:t>unit</w:t>
      </w:r>
      <w:r>
        <w:rPr>
          <w:rStyle w:val="Code"/>
        </w:rPr>
        <w:t>=</w:t>
      </w:r>
      <w:r>
        <w:rPr>
          <w:rStyle w:val="Codevalue"/>
        </w:rPr>
        <w:t>"character"</w:t>
      </w:r>
      <w:r>
        <w:rPr>
          <w:rStyle w:val="Code"/>
        </w:rPr>
        <w:t>/&gt;</w:t>
      </w:r>
    </w:p>
    <w:p w14:paraId="285934C1" w14:textId="77777777">
      <w:pPr>
        <w:pStyle w:val="Lista4"/>
      </w:pPr>
      <w:r>
        <w:rPr>
          <w:rStyle w:val="Code"/>
        </w:rPr>
        <w:t xml:space="preserve">&lt;unclear </w:t>
      </w:r>
      <w:r>
        <w:rPr>
          <w:rStyle w:val="Codeattribute"/>
        </w:rPr>
        <w:t>cert</w:t>
      </w:r>
      <w:r>
        <w:rPr>
          <w:rStyle w:val="Code"/>
        </w:rPr>
        <w:t>=</w:t>
      </w:r>
      <w:r>
        <w:rPr>
          <w:rStyle w:val="Codevalue"/>
        </w:rPr>
        <w:t>"low"</w:t>
      </w:r>
      <w:r>
        <w:rPr>
          <w:rStyle w:val="Code"/>
        </w:rPr>
        <w:t>&gt;</w:t>
      </w:r>
      <w:r>
        <w:rPr>
          <w:rStyle w:val="Codetext"/>
        </w:rPr>
        <w:t>...</w:t>
      </w:r>
      <w:r>
        <w:rPr>
          <w:rStyle w:val="Code"/>
        </w:rPr>
        <w:t>&lt;/unclear&gt;</w:t>
      </w:r>
    </w:p>
    <w:p w14:paraId="0149A3D0" w14:textId="77777777">
      <w:pPr>
        <w:pStyle w:val="Lista3"/>
      </w:pPr>
      <w:r>
        <w:t>one element may have any number of attributes</w:t>
      </w:r>
    </w:p>
    <w:p w14:paraId="011E11EC" w14:textId="77777777">
      <w:pPr>
        <w:pStyle w:val="Lista3"/>
      </w:pPr>
      <w:r>
        <w:t>attributes must be separated by spaces from each other and from the element name</w:t>
      </w:r>
    </w:p>
    <w:p w14:paraId="79A2366A" w14:textId="77777777">
      <w:pPr>
        <w:pStyle w:val="Lista3"/>
      </w:pPr>
      <w:r>
        <w:t>attributes may appear in any order within an element</w:t>
      </w:r>
    </w:p>
    <w:p w14:paraId="5F0E883D" w14:textId="77777777">
      <w:pPr>
        <w:pStyle w:val="Lista4"/>
      </w:pPr>
      <w:r>
        <w:t xml:space="preserve">e.g. </w:t>
      </w:r>
      <w:r>
        <w:rPr>
          <w:rStyle w:val="Code"/>
        </w:rPr>
        <w:t xml:space="preserve">&lt;space </w:t>
      </w:r>
      <w:r>
        <w:rPr>
          <w:rStyle w:val="Codeattribute"/>
        </w:rPr>
        <w:t>unit</w:t>
      </w:r>
      <w:r>
        <w:rPr>
          <w:rStyle w:val="Code"/>
        </w:rPr>
        <w:t>=</w:t>
      </w:r>
      <w:r>
        <w:rPr>
          <w:rStyle w:val="Codevalue"/>
        </w:rPr>
        <w:t>"character"</w:t>
      </w:r>
      <w:r>
        <w:rPr>
          <w:rStyle w:val="Code"/>
        </w:rPr>
        <w:t xml:space="preserve"> </w:t>
      </w:r>
      <w:r>
        <w:rPr>
          <w:rStyle w:val="Codeattribute"/>
        </w:rPr>
        <w:t>quantity</w:t>
      </w:r>
      <w:r>
        <w:rPr>
          <w:rStyle w:val="Code"/>
        </w:rPr>
        <w:t>=</w:t>
      </w:r>
      <w:r>
        <w:rPr>
          <w:rStyle w:val="Codevalue"/>
        </w:rPr>
        <w:t>"3"</w:t>
      </w:r>
      <w:r>
        <w:rPr>
          <w:rStyle w:val="Code"/>
        </w:rPr>
        <w:t>/&gt;</w:t>
      </w:r>
      <w:r>
        <w:t xml:space="preserve"> is entirely identical in meaning to the above example with the same attributes in an inverted order</w:t>
      </w:r>
    </w:p>
    <w:p w14:paraId="4B8D63E7" w14:textId="77777777">
      <w:pPr>
        <w:pStyle w:val="Lista3"/>
      </w:pPr>
      <w:r>
        <w:t>the attribute name is followed by an equals sign and the value in double quote marks</w:t>
      </w:r>
      <w:r>
        <w:rPr>
          <w:rStyle w:val="Lbjegyzet-hivatkozs"/>
        </w:rPr>
        <w:footnoteReference w:id="5"/>
      </w:r>
    </w:p>
    <w:p w14:paraId="0A3E634C" w14:textId="77777777">
      <w:pPr>
        <w:pStyle w:val="Lista4"/>
      </w:pPr>
      <w:r>
        <w:t xml:space="preserve">note that these must be plain typewriter-style quote marks </w:t>
      </w:r>
      <w:r>
        <w:rPr>
          <w:noProof/>
        </w:rPr>
        <w:t>(</w:t>
      </w:r>
      <w:r>
        <w:t xml:space="preserve">i.e. " "), not printer’s quote marks </w:t>
      </w:r>
      <w:r>
        <w:rPr>
          <w:noProof/>
        </w:rPr>
        <w:t>(</w:t>
      </w:r>
      <w:r>
        <w:t>“ ”)</w:t>
      </w:r>
    </w:p>
    <w:p w14:paraId="16740DF0" w14:textId="77777777">
      <w:pPr>
        <w:pStyle w:val="Lista3"/>
      </w:pPr>
      <w:r>
        <w:t>attributes always qualify only the element to which they belong and have no influence on any other elements such as neighbouring ones or elements of the same type elsewhere in the XML structure</w:t>
      </w:r>
    </w:p>
    <w:p w14:paraId="7D4773EB" w14:textId="77777777">
      <w:pPr>
        <w:pStyle w:val="Lista4"/>
      </w:pPr>
      <w:r>
        <w:t>however, attributes may be inherited by elements further down in the hierarchy, so that if an attribute is used in an element that contains further elements to which that attribute can apply, then the attribute and value encoded in the ancestor element will also pertain to the descendant elements</w:t>
      </w:r>
    </w:p>
    <w:p w14:paraId="3937065E" w14:textId="77777777">
      <w:pPr>
        <w:pStyle w:val="Lista3"/>
      </w:pPr>
      <w:r>
        <w:t xml:space="preserve">when attributes are discussed in human-readable text without being cited as full XML tags, they are conventionally prefixed with an </w:t>
      </w:r>
      <w:r>
        <w:rPr>
          <w:rStyle w:val="Codeattribute"/>
        </w:rPr>
        <w:t>@</w:t>
      </w:r>
      <w:r>
        <w:t xml:space="preserve"> </w:t>
      </w:r>
      <w:r>
        <w:rPr>
          <w:noProof/>
        </w:rPr>
        <w:t>(</w:t>
      </w:r>
      <w:r>
        <w:t>“at”, implying “attribute”) sign; thus, in the above examples</w:t>
      </w:r>
    </w:p>
    <w:p w14:paraId="0EFC11B4" w14:textId="77777777">
      <w:pPr>
        <w:pStyle w:val="Lista4"/>
        <w:rPr>
          <w:rStyle w:val="Codeattribute"/>
          <w:rFonts w:ascii="Gentium" w:hAnsi="Gentium" w:cs="Tiro Devanagari Sanskrit"/>
          <w:noProof w:val="0"/>
          <w:color w:val="auto"/>
          <w:shd w:val="clear" w:color="auto" w:fill="auto"/>
        </w:rPr>
      </w:pPr>
      <w:r>
        <w:t xml:space="preserve">the element </w:t>
      </w:r>
      <w:r>
        <w:rPr>
          <w:rStyle w:val="Code"/>
        </w:rPr>
        <w:t>&lt;space&gt;</w:t>
      </w:r>
      <w:r>
        <w:t xml:space="preserve"> has the attributes </w:t>
      </w:r>
      <w:r>
        <w:rPr>
          <w:rStyle w:val="Codeattribute"/>
        </w:rPr>
        <w:t>@quantity</w:t>
      </w:r>
      <w:r>
        <w:t xml:space="preserve"> and </w:t>
      </w:r>
      <w:r>
        <w:rPr>
          <w:rStyle w:val="Codeattribute"/>
        </w:rPr>
        <w:t>@unit</w:t>
      </w:r>
      <w:r>
        <w:t xml:space="preserve">, while the element </w:t>
      </w:r>
      <w:r>
        <w:rPr>
          <w:rStyle w:val="Code"/>
        </w:rPr>
        <w:t>&lt;unclear&gt;</w:t>
      </w:r>
      <w:r>
        <w:t xml:space="preserve"> has the attribute </w:t>
      </w:r>
      <w:r>
        <w:rPr>
          <w:rStyle w:val="Codeattribute"/>
        </w:rPr>
        <w:t>@cert</w:t>
      </w:r>
    </w:p>
    <w:p w14:paraId="773FD9CA" w14:textId="77777777">
      <w:pPr>
        <w:pStyle w:val="Lista"/>
      </w:pPr>
      <w:r>
        <w:t>in addition to text and elements proper, XML documents may contain some other items, of which one is relevant to us:</w:t>
      </w:r>
    </w:p>
    <w:p w14:paraId="67930B73" w14:textId="77777777">
      <w:pPr>
        <w:pStyle w:val="Lista2"/>
      </w:pPr>
      <w:r>
        <w:t xml:space="preserve">an </w:t>
      </w:r>
      <w:r>
        <w:rPr>
          <w:b/>
          <w:bCs/>
        </w:rPr>
        <w:t>XML comment</w:t>
      </w:r>
      <w:r>
        <w:t xml:space="preserve"> is anything that is not considered to be part of the document and will be ignored by computers processing an XML file</w:t>
      </w:r>
    </w:p>
    <w:p w14:paraId="0F2B185E" w14:textId="77777777">
      <w:pPr>
        <w:pStyle w:val="Lista3"/>
      </w:pPr>
      <w:r>
        <w:t xml:space="preserve">an XML comment must begin with the characters </w:t>
      </w:r>
      <w:r>
        <w:rPr>
          <w:rStyle w:val="Codetext"/>
        </w:rPr>
        <w:t>&lt;!--</w:t>
      </w:r>
      <w:r>
        <w:t xml:space="preserve"> and end with the characters </w:t>
      </w:r>
      <w:r>
        <w:rPr>
          <w:rStyle w:val="Codetext"/>
        </w:rPr>
        <w:t>--&gt;</w:t>
      </w:r>
    </w:p>
    <w:p w14:paraId="03527C9C" w14:textId="77777777">
      <w:pPr>
        <w:pStyle w:val="Lista3"/>
      </w:pPr>
      <w:r>
        <w:t xml:space="preserve">comments may be added by editors as notes to other team members to explain their choice of code or to discuss problems in the edition, e.g. </w:t>
      </w:r>
      <w:r>
        <w:rPr>
          <w:rStyle w:val="Codecomment"/>
        </w:rPr>
        <w:t>&lt;!--I'm not sure how to mark this up--&gt;</w:t>
      </w:r>
    </w:p>
    <w:p w14:paraId="0E831177" w14:textId="77777777">
      <w:pPr>
        <w:pStyle w:val="Lista3"/>
      </w:pPr>
      <w:r>
        <w:t>comments may also be used to “switch off” parts of an XML document without deleting them: any XML code placed within the comment opening and closing sequence will become invisible to computer processing</w:t>
      </w:r>
      <w:r>
        <w:rPr>
          <w:rStyle w:val="Lbjegyzet-hivatkozs"/>
        </w:rPr>
        <w:footnoteReference w:id="6"/>
      </w:r>
    </w:p>
    <w:p w14:paraId="5541BCD3" w14:textId="77777777">
      <w:pPr>
        <w:pStyle w:val="Cmsor3"/>
      </w:pPr>
      <w:bookmarkStart w:id="34" w:name="_Toc243922590"/>
      <w:r>
        <w:lastRenderedPageBreak/>
        <w:t>Character entity references</w:t>
      </w:r>
      <w:bookmarkEnd w:id="34"/>
    </w:p>
    <w:p w14:paraId="55F5DD24" w14:textId="77777777">
      <w:r>
        <w:t xml:space="preserve">In addition to elements and text, XML documents may contain a few other items which need not concern you generally, except for one item type that you should be aware of: XML allows the use of character entity references. These are short code words preceded by an </w:t>
      </w:r>
      <w:r>
        <w:rPr>
          <w:rStyle w:val="Code"/>
        </w:rPr>
        <w:t>&amp;</w:t>
      </w:r>
      <w:r>
        <w:t xml:space="preserve"> </w:t>
      </w:r>
      <w:r>
        <w:rPr>
          <w:noProof/>
        </w:rPr>
        <w:t>(</w:t>
      </w:r>
      <w:r>
        <w:t xml:space="preserve">ampersand) and followed by a </w:t>
      </w:r>
      <w:r>
        <w:rPr>
          <w:rStyle w:val="Code"/>
        </w:rPr>
        <w:t>;</w:t>
      </w:r>
      <w:r>
        <w:t xml:space="preserve"> </w:t>
      </w:r>
      <w:r>
        <w:rPr>
          <w:noProof/>
        </w:rPr>
        <w:t>(</w:t>
      </w:r>
      <w:r>
        <w:t xml:space="preserve">semicolon). The purpose of character entity references is to allow the typing, display and processing of characters which are either not supported on certain platforms </w:t>
      </w:r>
      <w:r>
        <w:rPr>
          <w:noProof/>
        </w:rPr>
        <w:t>(</w:t>
      </w:r>
      <w:r>
        <w:t xml:space="preserve">such as accented characters, but this case need not bother you) or reserved for a special function in XML </w:t>
      </w:r>
      <w:r>
        <w:rPr>
          <w:noProof/>
        </w:rPr>
        <w:t>(</w:t>
      </w:r>
      <w:r>
        <w:t>which is what matters to us). As a consequence,</w:t>
      </w:r>
    </w:p>
    <w:p w14:paraId="54319CE5" w14:textId="77777777">
      <w:pPr>
        <w:pStyle w:val="Lista"/>
      </w:pPr>
      <w:r>
        <w:t xml:space="preserve">should you need to use the </w:t>
      </w:r>
      <w:r>
        <w:rPr>
          <w:rStyle w:val="Code"/>
        </w:rPr>
        <w:t>&lt;</w:t>
      </w:r>
      <w:r>
        <w:t xml:space="preserve"> character </w:t>
      </w:r>
      <w:r>
        <w:rPr>
          <w:noProof/>
        </w:rPr>
        <w:t>(</w:t>
      </w:r>
      <w:r>
        <w:t xml:space="preserve">which an XML processing engine would interpret as the beginning of an XML tag), you must instead use the entity reference </w:t>
      </w:r>
      <w:r>
        <w:rPr>
          <w:rStyle w:val="Code"/>
        </w:rPr>
        <w:t>&amp;lt;</w:t>
      </w:r>
      <w:r>
        <w:t xml:space="preserve"> </w:t>
      </w:r>
      <w:r>
        <w:rPr>
          <w:noProof/>
        </w:rPr>
        <w:t>(</w:t>
      </w:r>
      <w:r>
        <w:t xml:space="preserve">where </w:t>
      </w:r>
      <w:r>
        <w:rPr>
          <w:noProof/>
        </w:rPr>
        <w:t>“lt”</w:t>
      </w:r>
      <w:r>
        <w:t xml:space="preserve"> stands for “less than”)</w:t>
      </w:r>
    </w:p>
    <w:p w14:paraId="0E5CEFD6" w14:textId="77777777">
      <w:pPr>
        <w:pStyle w:val="Lista"/>
      </w:pPr>
      <w:r>
        <w:t xml:space="preserve">should you need to use the </w:t>
      </w:r>
      <w:r>
        <w:rPr>
          <w:rStyle w:val="Code"/>
        </w:rPr>
        <w:t>&amp;</w:t>
      </w:r>
      <w:r>
        <w:t xml:space="preserve"> character </w:t>
      </w:r>
      <w:r>
        <w:rPr>
          <w:noProof/>
        </w:rPr>
        <w:t>(</w:t>
      </w:r>
      <w:r>
        <w:t xml:space="preserve">which an XML processing engine would interpret as the beginning of an entity reference), you must instead use the entity reference </w:t>
      </w:r>
      <w:r>
        <w:rPr>
          <w:rStyle w:val="Code"/>
        </w:rPr>
        <w:t>&amp;amp;</w:t>
      </w:r>
      <w:r>
        <w:t xml:space="preserve"> </w:t>
      </w:r>
      <w:r>
        <w:rPr>
          <w:noProof/>
        </w:rPr>
        <w:t>(</w:t>
      </w:r>
      <w:r>
        <w:t>where “amp” stands for “ampersand”)</w:t>
      </w:r>
    </w:p>
    <w:p w14:paraId="1E6994C6" w14:textId="77777777">
      <w:pPr>
        <w:pStyle w:val="Lista"/>
      </w:pPr>
      <w:r>
        <w:t xml:space="preserve">in Oxygen, whenever you enter an </w:t>
      </w:r>
      <w:r>
        <w:rPr>
          <w:rStyle w:val="Code"/>
        </w:rPr>
        <w:t>&amp;</w:t>
      </w:r>
      <w:r>
        <w:t xml:space="preserve">, the software will automatically suggest a list of pre-defined entity references </w:t>
      </w:r>
      <w:r>
        <w:rPr>
          <w:noProof/>
        </w:rPr>
        <w:t>(</w:t>
      </w:r>
      <w:r>
        <w:t xml:space="preserve">starting with </w:t>
      </w:r>
      <w:r>
        <w:rPr>
          <w:rStyle w:val="Code"/>
        </w:rPr>
        <w:t>&amp;amp;</w:t>
      </w:r>
      <w:r>
        <w:t>) so all you need do is select and accept the suggestion for the character you need</w:t>
      </w:r>
    </w:p>
    <w:p w14:paraId="537D33F7" w14:textId="77777777">
      <w:pPr>
        <w:pStyle w:val="Lista"/>
      </w:pPr>
      <w:r>
        <w:t xml:space="preserve">if during validation you encounter unexpected errors, consider if you may have used the characters </w:t>
      </w:r>
      <w:r>
        <w:rPr>
          <w:rStyle w:val="Code"/>
        </w:rPr>
        <w:t>&amp;</w:t>
      </w:r>
      <w:r>
        <w:t xml:space="preserve">, </w:t>
      </w:r>
      <w:r>
        <w:rPr>
          <w:rStyle w:val="Code"/>
        </w:rPr>
        <w:t>&lt;</w:t>
      </w:r>
      <w:r>
        <w:t xml:space="preserve"> or </w:t>
      </w:r>
      <w:r>
        <w:rPr>
          <w:rStyle w:val="Code"/>
        </w:rPr>
        <w:t>&gt;</w:t>
      </w:r>
      <w:r>
        <w:t xml:space="preserve"> inadvertently, for example because you have copy-pasted text from a word processor</w:t>
      </w:r>
    </w:p>
    <w:p w14:paraId="053F61E0" w14:textId="77777777">
      <w:pPr>
        <w:pStyle w:val="Cmsor3"/>
      </w:pPr>
      <w:bookmarkStart w:id="35" w:name="_Ref224893456"/>
      <w:bookmarkStart w:id="36" w:name="_Toc243922591"/>
      <w:r>
        <w:t>XML hierarchy</w:t>
      </w:r>
      <w:bookmarkEnd w:id="35"/>
      <w:bookmarkEnd w:id="36"/>
    </w:p>
    <w:p w14:paraId="6B9A8B5D" w14:textId="77777777">
      <w:pPr>
        <w:pStyle w:val="Lista"/>
      </w:pPr>
      <w:r>
        <w:t xml:space="preserve">the structure of an XML document </w:t>
      </w:r>
      <w:r>
        <w:rPr>
          <w:b/>
          <w:bCs/>
        </w:rPr>
        <w:t>hierarchical</w:t>
      </w:r>
      <w:r>
        <w:t xml:space="preserve">, consisting of “boxes within boxes within boxes” or more accurately an </w:t>
      </w:r>
      <w:r>
        <w:rPr>
          <w:rStyle w:val="Foreign"/>
        </w:rPr>
        <w:t>ordered hierarchy of content objects</w:t>
      </w:r>
    </w:p>
    <w:p w14:paraId="22E16972" w14:textId="77777777">
      <w:pPr>
        <w:pStyle w:val="Lista"/>
        <w:ind w:left="340"/>
      </w:pPr>
      <w:r>
        <w:t xml:space="preserve">every XML document must be wrapped in a </w:t>
      </w:r>
      <w:r>
        <w:rPr>
          <w:b/>
          <w:bCs/>
        </w:rPr>
        <w:t>root element</w:t>
      </w:r>
      <w:r>
        <w:t xml:space="preserve"> which serves as a container for the document as a whole</w:t>
      </w:r>
    </w:p>
    <w:p w14:paraId="3C96FB3A" w14:textId="77777777">
      <w:pPr>
        <w:pStyle w:val="Lista2"/>
        <w:ind w:left="510"/>
      </w:pPr>
      <w:r>
        <w:t xml:space="preserve">all other elements (except for some instructions at the beginning of the document) are </w:t>
      </w:r>
      <w:r>
        <w:rPr>
          <w:b/>
          <w:bCs/>
        </w:rPr>
        <w:t>nested</w:t>
      </w:r>
      <w:r>
        <w:t xml:space="preserve"> either directly within the root element, or at a lower level of the hierarchy</w:t>
      </w:r>
    </w:p>
    <w:p w14:paraId="0730BE7C" w14:textId="77777777">
      <w:pPr>
        <w:pStyle w:val="Lista"/>
        <w:ind w:left="340"/>
      </w:pPr>
      <w:r>
        <w:t xml:space="preserve">if an element is embedded directly within another element, then the former is referred to as a </w:t>
      </w:r>
      <w:r>
        <w:rPr>
          <w:b/>
          <w:bCs/>
        </w:rPr>
        <w:t>child</w:t>
      </w:r>
      <w:r>
        <w:t xml:space="preserve"> of the latter, and the latter as the </w:t>
      </w:r>
      <w:r>
        <w:rPr>
          <w:b/>
          <w:bCs/>
        </w:rPr>
        <w:t>parent</w:t>
      </w:r>
      <w:r>
        <w:t xml:space="preserve"> of the former</w:t>
      </w:r>
    </w:p>
    <w:p w14:paraId="7408496D" w14:textId="77777777">
      <w:pPr>
        <w:pStyle w:val="Lista"/>
        <w:ind w:left="340"/>
      </w:pPr>
      <w:r>
        <w:t xml:space="preserve">if an element is embedded at any depth within another element, then the former is a </w:t>
      </w:r>
      <w:r>
        <w:rPr>
          <w:b/>
          <w:bCs/>
        </w:rPr>
        <w:t>descendant</w:t>
      </w:r>
      <w:r>
        <w:t xml:space="preserve"> of the latter, and the latter is the </w:t>
      </w:r>
      <w:r>
        <w:rPr>
          <w:b/>
          <w:bCs/>
        </w:rPr>
        <w:t>ancestor</w:t>
      </w:r>
      <w:r>
        <w:t xml:space="preserve"> of the former</w:t>
      </w:r>
    </w:p>
    <w:tbl>
      <w:tblPr>
        <w:tblStyle w:val="CodeSampleTable"/>
        <w:tblpPr w:leftFromText="180" w:rightFromText="180" w:vertAnchor="text" w:tblpXSpec="right" w:tblpY="4"/>
        <w:tblW w:w="0" w:type="auto"/>
        <w:tblLook w:val="04A0" w:firstRow="1" w:lastRow="0" w:firstColumn="1" w:lastColumn="0" w:noHBand="0" w:noVBand="1"/>
      </w:tblPr>
      <w:tblGrid>
        <w:gridCol w:w="1848"/>
      </w:tblGrid>
      <w:tr w14:paraId="7B9901AB" w14:textId="77777777">
        <w:trPr>
          <w:cnfStyle w:val="100000000000" w:firstRow="1" w:lastRow="0" w:firstColumn="0" w:lastColumn="0" w:oddVBand="0" w:evenVBand="0" w:oddHBand="0" w:evenHBand="0" w:firstRowFirstColumn="0" w:firstRowLastColumn="0" w:lastRowFirstColumn="0" w:lastRowLastColumn="0"/>
        </w:trPr>
        <w:tc>
          <w:tcPr>
            <w:tcW w:w="1848" w:type="dxa"/>
          </w:tcPr>
          <w:p w14:paraId="7CF5C524" w14:textId="15B403A1">
            <w:pPr>
              <w:pStyle w:val="Kpalrs"/>
            </w:pPr>
            <w:bookmarkStart w:id="37" w:name="_Ref43993481"/>
            <w:r>
              <w:t xml:space="preserve">Exhibit </w:t>
            </w:r>
            <w:fldSimple w:instr=" STYLEREF 2 \s ">
              <w:r>
                <w:rPr>
                  <w:noProof/>
                </w:rPr>
                <w:t>2.2</w:t>
              </w:r>
            </w:fldSimple>
            <w:r>
              <w:t>.</w:t>
            </w:r>
            <w:fldSimple w:instr=" SEQ Exhibit \* ALPHABETIC \s 2 ">
              <w:r>
                <w:rPr>
                  <w:noProof/>
                </w:rPr>
                <w:t>A</w:t>
              </w:r>
            </w:fldSimple>
            <w:bookmarkEnd w:id="37"/>
            <w:r>
              <w:t xml:space="preserve">: </w:t>
            </w:r>
            <w:r>
              <w:br/>
              <w:t>XML hierarchy</w:t>
            </w:r>
          </w:p>
        </w:tc>
      </w:tr>
      <w:tr w14:paraId="26DCFD47" w14:textId="77777777">
        <w:tc>
          <w:tcPr>
            <w:tcW w:w="1848" w:type="dxa"/>
          </w:tcPr>
          <w:p w14:paraId="37E1E63F" w14:textId="77777777">
            <w:pPr>
              <w:pStyle w:val="CodeParagraph"/>
              <w:rPr>
                <w:rStyle w:val="Code"/>
              </w:rPr>
            </w:pPr>
            <w:r>
              <w:rPr>
                <w:rStyle w:val="Code"/>
              </w:rPr>
              <w:t xml:space="preserve">  &lt;A&gt;</w:t>
            </w:r>
          </w:p>
          <w:p w14:paraId="704AD2BB" w14:textId="77777777">
            <w:pPr>
              <w:pStyle w:val="CodeParagraph"/>
              <w:rPr>
                <w:rStyle w:val="Code"/>
              </w:rPr>
            </w:pPr>
            <w:r>
              <w:rPr>
                <w:rStyle w:val="Code"/>
              </w:rPr>
              <w:t xml:space="preserve">    &lt;B&gt;</w:t>
            </w:r>
          </w:p>
          <w:p w14:paraId="01833398" w14:textId="77777777">
            <w:pPr>
              <w:pStyle w:val="CodeParagraph"/>
              <w:rPr>
                <w:rStyle w:val="Code"/>
              </w:rPr>
            </w:pPr>
            <w:r>
              <w:rPr>
                <w:rStyle w:val="Code"/>
              </w:rPr>
              <w:t xml:space="preserve">      &lt;C&gt;&lt;/C&gt;</w:t>
            </w:r>
          </w:p>
          <w:p w14:paraId="215EF1D0" w14:textId="77777777">
            <w:pPr>
              <w:pStyle w:val="CodeParagraph"/>
              <w:rPr>
                <w:rStyle w:val="Code"/>
              </w:rPr>
            </w:pPr>
            <w:r>
              <w:rPr>
                <w:rStyle w:val="Code"/>
              </w:rPr>
              <w:t xml:space="preserve">      &lt;D&gt;&lt;/D&gt;</w:t>
            </w:r>
          </w:p>
          <w:p w14:paraId="526F76C1" w14:textId="77777777">
            <w:pPr>
              <w:pStyle w:val="CodeParagraph"/>
              <w:rPr>
                <w:rStyle w:val="Code"/>
              </w:rPr>
            </w:pPr>
            <w:r>
              <w:rPr>
                <w:rStyle w:val="Code"/>
              </w:rPr>
              <w:t xml:space="preserve">    &lt;/B&gt;</w:t>
            </w:r>
          </w:p>
          <w:p w14:paraId="192BA651" w14:textId="77777777">
            <w:pPr>
              <w:pStyle w:val="CodeParagraph"/>
              <w:rPr>
                <w:rStyle w:val="Code"/>
              </w:rPr>
            </w:pPr>
            <w:r>
              <w:rPr>
                <w:rStyle w:val="Code"/>
              </w:rPr>
              <w:t xml:space="preserve">    &lt;E&gt;</w:t>
            </w:r>
          </w:p>
          <w:p w14:paraId="3A982547" w14:textId="77777777">
            <w:pPr>
              <w:pStyle w:val="CodeParagraph"/>
              <w:rPr>
                <w:rStyle w:val="Code"/>
              </w:rPr>
            </w:pPr>
            <w:r>
              <w:rPr>
                <w:rStyle w:val="Code"/>
              </w:rPr>
              <w:t xml:space="preserve">      &lt;F&gt;&lt;/F&gt;</w:t>
            </w:r>
          </w:p>
          <w:p w14:paraId="79DAE2F1" w14:textId="77777777">
            <w:pPr>
              <w:pStyle w:val="CodeParagraph"/>
              <w:rPr>
                <w:rStyle w:val="Code"/>
              </w:rPr>
            </w:pPr>
            <w:r>
              <w:rPr>
                <w:rStyle w:val="Code"/>
              </w:rPr>
              <w:t xml:space="preserve">    &lt;/E&gt;</w:t>
            </w:r>
          </w:p>
          <w:p w14:paraId="5D4122B2" w14:textId="77777777">
            <w:pPr>
              <w:pStyle w:val="CodeParagraph"/>
            </w:pPr>
            <w:r>
              <w:rPr>
                <w:rStyle w:val="Code"/>
              </w:rPr>
              <w:t xml:space="preserve">  &lt;/A&gt;</w:t>
            </w:r>
          </w:p>
        </w:tc>
      </w:tr>
    </w:tbl>
    <w:p w14:paraId="06ED54E1" w14:textId="07BBD287">
      <w:pPr>
        <w:pStyle w:val="Lista2"/>
        <w:ind w:left="510"/>
      </w:pPr>
      <w:r>
        <w:t xml:space="preserve">thus, in </w:t>
      </w:r>
      <w:r>
        <w:fldChar w:fldCharType="begin"/>
      </w:r>
      <w:r>
        <w:instrText xml:space="preserve"> REF _Ref43993481 \h  \* MERGEFORMAT </w:instrText>
      </w:r>
      <w:r>
        <w:fldChar w:fldCharType="separate"/>
      </w:r>
      <w:r>
        <w:t xml:space="preserve">Exhibit </w:t>
      </w:r>
      <w:r>
        <w:rPr>
          <w:noProof/>
        </w:rPr>
        <w:t>2.2.A</w:t>
      </w:r>
      <w:r>
        <w:fldChar w:fldCharType="end"/>
      </w:r>
      <w:r>
        <w:t>,</w:t>
      </w:r>
    </w:p>
    <w:p w14:paraId="59DDE52C" w14:textId="77777777">
      <w:pPr>
        <w:pStyle w:val="Lista3"/>
        <w:ind w:left="680"/>
      </w:pPr>
      <w:r>
        <w:t xml:space="preserve">B and E are children of A </w:t>
      </w:r>
      <w:r>
        <w:rPr>
          <w:noProof/>
        </w:rPr>
        <w:t>(</w:t>
      </w:r>
      <w:r>
        <w:t>the root element)</w:t>
      </w:r>
    </w:p>
    <w:p w14:paraId="30ADB3FC" w14:textId="77777777">
      <w:pPr>
        <w:pStyle w:val="Lista3"/>
        <w:ind w:left="680"/>
      </w:pPr>
      <w:r>
        <w:t>C and D are children of B</w:t>
      </w:r>
    </w:p>
    <w:p w14:paraId="12DE8CB6" w14:textId="77777777">
      <w:pPr>
        <w:pStyle w:val="Lista3"/>
        <w:ind w:left="680"/>
      </w:pPr>
      <w:r>
        <w:t>F is the child of E</w:t>
      </w:r>
    </w:p>
    <w:p w14:paraId="7EC8E480" w14:textId="77777777">
      <w:pPr>
        <w:pStyle w:val="Lista3"/>
        <w:ind w:left="680"/>
      </w:pPr>
      <w:r>
        <w:t>B, C, D, E and F are all descendants of A</w:t>
      </w:r>
    </w:p>
    <w:p w14:paraId="7BF30027" w14:textId="77777777">
      <w:pPr>
        <w:pStyle w:val="Lista"/>
      </w:pPr>
      <w:r>
        <w:t>such a conceptual model is well suited for representing the structure of texts as works (e.g. text in paragraphs in chapters in books)</w:t>
      </w:r>
    </w:p>
    <w:p w14:paraId="3459C989" w14:textId="77777777">
      <w:pPr>
        <w:pStyle w:val="Lista"/>
      </w:pPr>
      <w:r>
        <w:t>however, it faces a problem when it is desirable to encode additional structures within the same text, such as the extrinsic structure of a text as document (e.g. text in lines on pages in sheaves)</w:t>
      </w:r>
    </w:p>
    <w:p w14:paraId="73955FDD" w14:textId="77777777">
      <w:pPr>
        <w:pStyle w:val="Lista2"/>
      </w:pPr>
      <w:r>
        <w:t xml:space="preserve">such situations are referred to as </w:t>
      </w:r>
      <w:r>
        <w:rPr>
          <w:b/>
          <w:bCs/>
        </w:rPr>
        <w:t>overlapping hierarchies</w:t>
      </w:r>
      <w:r>
        <w:t xml:space="preserve">: although both are ordered hierarchies, the structures overlap </w:t>
      </w:r>
      <w:r>
        <w:rPr>
          <w:noProof/>
        </w:rPr>
        <w:t>(</w:t>
      </w:r>
      <w:r>
        <w:t>for instance, a stanza or paragraph may begin in one inscribed line and end in the next)</w:t>
      </w:r>
    </w:p>
    <w:p w14:paraId="448B8BFC" w14:textId="77777777">
      <w:pPr>
        <w:pStyle w:val="Lista3"/>
      </w:pPr>
      <w:r>
        <w:t>other overlapping hierarchies relevant to textual studies include</w:t>
      </w:r>
    </w:p>
    <w:p w14:paraId="38860F33" w14:textId="77777777">
      <w:pPr>
        <w:pStyle w:val="Lista4"/>
      </w:pPr>
      <w:r>
        <w:t>syntactical structure</w:t>
      </w:r>
    </w:p>
    <w:p w14:paraId="0A01EA67" w14:textId="77777777">
      <w:pPr>
        <w:pStyle w:val="Lista4"/>
      </w:pPr>
      <w:r>
        <w:t xml:space="preserve">semantically distinguished segments </w:t>
      </w:r>
      <w:r>
        <w:rPr>
          <w:noProof/>
        </w:rPr>
        <w:t>(</w:t>
      </w:r>
      <w:r>
        <w:t>such as names or colophons)</w:t>
      </w:r>
    </w:p>
    <w:p w14:paraId="068A20DA" w14:textId="77777777">
      <w:pPr>
        <w:pStyle w:val="Lista4"/>
      </w:pPr>
      <w:r>
        <w:t>the location of spots of damage in a physical support</w:t>
      </w:r>
    </w:p>
    <w:p w14:paraId="7C1AFDD8" w14:textId="77777777">
      <w:pPr>
        <w:pStyle w:val="Lista4"/>
      </w:pPr>
      <w:r>
        <w:t>lemmas to which apparatus entries or commentarial notes may need to be anchored</w:t>
      </w:r>
    </w:p>
    <w:p w14:paraId="32893F94" w14:textId="77777777">
      <w:pPr>
        <w:pStyle w:val="Lista"/>
      </w:pPr>
      <w:r>
        <w:t>since XML elements must never overlap, the primary structure of an XML document can represent no more than one hierarchy relevant to the encoded text</w:t>
      </w:r>
    </w:p>
    <w:p w14:paraId="5658F133" w14:textId="77777777">
      <w:pPr>
        <w:pStyle w:val="Lista2"/>
      </w:pPr>
      <w:r>
        <w:lastRenderedPageBreak/>
        <w:t xml:space="preserve">in our EpiDoc editions, the primary hierarchy is that of the text’s intrinsic </w:t>
      </w:r>
      <w:r>
        <w:rPr>
          <w:noProof/>
        </w:rPr>
        <w:t>(</w:t>
      </w:r>
      <w:r>
        <w:t>as opposed to physical) structure</w:t>
      </w:r>
    </w:p>
    <w:p w14:paraId="2D2A029A" w14:textId="77777777">
      <w:pPr>
        <w:pStyle w:val="Lista"/>
      </w:pPr>
      <w:r>
        <w:t>any alternative hierarchies must be represented in XML using one of two basic methods:</w:t>
      </w:r>
    </w:p>
    <w:p w14:paraId="3FB295F4" w14:textId="77777777">
      <w:pPr>
        <w:pStyle w:val="Lista2"/>
      </w:pPr>
      <w:r>
        <w:t xml:space="preserve">by using dedicated empty elements </w:t>
      </w:r>
      <w:r>
        <w:rPr>
          <w:noProof/>
        </w:rPr>
        <w:t>(</w:t>
      </w:r>
      <w:r>
        <w:t>called milestones) as pointlike markers of transitions in the alternative hierarchy, instead of non-empty elements as containers for items of the hierarchy</w:t>
      </w:r>
    </w:p>
    <w:p w14:paraId="412F7A79" w14:textId="77777777">
      <w:pPr>
        <w:pStyle w:val="Lista3"/>
      </w:pPr>
      <w:r>
        <w:t>thus in our editions, transition points in physical structure are marked with empty elements instead of treating lines and other extrinsic units as elements of the primary hierarchy</w:t>
      </w:r>
    </w:p>
    <w:p w14:paraId="557A3CB6" w14:textId="77777777">
      <w:pPr>
        <w:pStyle w:val="Lista2"/>
      </w:pPr>
      <w:r>
        <w:t>by deploying linking mechanisms to establish a connection between items located in disparate points of the primary hierarchy</w:t>
      </w:r>
    </w:p>
    <w:p w14:paraId="4D77FA44" w14:textId="77777777">
      <w:pPr>
        <w:pStyle w:val="Lista3"/>
      </w:pPr>
      <w:r>
        <w:t xml:space="preserve">in our editions this method is most prominently used in the critical apparatus, which is built using </w:t>
      </w:r>
      <w:r>
        <w:rPr>
          <w:b/>
          <w:bCs/>
        </w:rPr>
        <w:t>standoff markup</w:t>
      </w:r>
      <w:r>
        <w:t>, where the apparatus is located in a section of the XML document separate from the text edition</w:t>
      </w:r>
    </w:p>
    <w:p w14:paraId="0EC8EEFA" w14:textId="77777777">
      <w:pPr>
        <w:pStyle w:val="Lista2"/>
      </w:pPr>
      <w:r>
        <w:t>alternative hierarchies may also be disregarded in XML editions; thus</w:t>
      </w:r>
    </w:p>
    <w:p w14:paraId="4D84B25A" w14:textId="77777777">
      <w:pPr>
        <w:pStyle w:val="Lista3"/>
      </w:pPr>
      <w:r>
        <w:t>we do not, at the present stage, use any markup to represent the syntactical structure of a text</w:t>
      </w:r>
    </w:p>
    <w:p w14:paraId="76BB161C" w14:textId="46F25533">
      <w:pPr>
        <w:pStyle w:val="Lista3"/>
      </w:pPr>
      <w:r>
        <w:t xml:space="preserve">where physical features of the inscription, such as spots of damage which render the text unclear or illegible, overlap with the intrinsic structure, we use separate XML elements to mark up stretches of the same physical feature divided between two separate elements of the primary hierarchy </w:t>
      </w:r>
      <w:r>
        <w:rPr>
          <w:noProof/>
        </w:rPr>
        <w:t>(</w:t>
      </w:r>
      <w:r>
        <w:t>see §</w:t>
      </w:r>
      <w:r>
        <w:fldChar w:fldCharType="begin"/>
      </w:r>
      <w:r>
        <w:instrText xml:space="preserve"> REF _Ref43978660 \r \h  \* MERGEFORMAT </w:instrText>
      </w:r>
      <w:r>
        <w:fldChar w:fldCharType="separate"/>
      </w:r>
      <w:r>
        <w:t>16.2</w:t>
      </w:r>
      <w:r>
        <w:fldChar w:fldCharType="end"/>
      </w:r>
      <w:r>
        <w:t xml:space="preserve">), and do not use any linking to indicate that the two are in fact a single continuous spot of damage </w:t>
      </w:r>
      <w:r>
        <w:rPr>
          <w:noProof/>
        </w:rPr>
        <w:t>(</w:t>
      </w:r>
      <w:r>
        <w:t>though such linking would be possible)</w:t>
      </w:r>
    </w:p>
    <w:p w14:paraId="024C3433" w14:textId="77777777">
      <w:pPr>
        <w:pStyle w:val="Cmsor3"/>
      </w:pPr>
      <w:bookmarkStart w:id="38" w:name="_Toc243922592"/>
      <w:r>
        <w:t>Well-formedness and validity</w:t>
      </w:r>
      <w:bookmarkEnd w:id="38"/>
    </w:p>
    <w:p w14:paraId="407B3E1A" w14:textId="77777777">
      <w:pPr>
        <w:pStyle w:val="Lista"/>
      </w:pPr>
      <w:r>
        <w:t xml:space="preserve">an XML document is said to be </w:t>
      </w:r>
      <w:r>
        <w:rPr>
          <w:b/>
          <w:bCs/>
        </w:rPr>
        <w:t>well-formed</w:t>
      </w:r>
      <w:r>
        <w:t xml:space="preserve"> if it follows the above structural requirements, i.e.</w:t>
      </w:r>
    </w:p>
    <w:p w14:paraId="530A406A" w14:textId="77777777">
      <w:pPr>
        <w:pStyle w:val="Lista3"/>
      </w:pPr>
      <w:r>
        <w:t>the entire document is enclosed in a root element</w:t>
      </w:r>
    </w:p>
    <w:p w14:paraId="4B56129A" w14:textId="77777777">
      <w:pPr>
        <w:pStyle w:val="Lista3"/>
      </w:pPr>
      <w:r>
        <w:t>there is no overlap between any elements</w:t>
      </w:r>
    </w:p>
    <w:p w14:paraId="40146D98" w14:textId="77777777">
      <w:pPr>
        <w:pStyle w:val="Lista3"/>
      </w:pPr>
      <w:r>
        <w:t>the start and end of each element is explicitly marked with a tag</w:t>
      </w:r>
    </w:p>
    <w:p w14:paraId="6ABD3D47" w14:textId="77777777">
      <w:pPr>
        <w:pStyle w:val="Lista"/>
      </w:pPr>
      <w:r>
        <w:t xml:space="preserve">a well-formed XML document may use any arbitrary element names in any particular order and hierarchy: there is no universal and fixed list of possible XML element names and definitions </w:t>
      </w:r>
      <w:r>
        <w:rPr>
          <w:noProof/>
        </w:rPr>
        <w:t>(</w:t>
      </w:r>
      <w:r>
        <w:t xml:space="preserve">which is why this is an </w:t>
      </w:r>
      <w:r>
        <w:rPr>
          <w:noProof/>
        </w:rPr>
        <w:t>eXtensible</w:t>
      </w:r>
      <w:r>
        <w:t xml:space="preserve"> Markup Language)</w:t>
      </w:r>
    </w:p>
    <w:p w14:paraId="78E4BD8F" w14:textId="77777777">
      <w:pPr>
        <w:pStyle w:val="Lista"/>
      </w:pPr>
      <w:r>
        <w:t xml:space="preserve">the set of rules specifying how certain elements must or must not appear in structural relation to other elements is called an XML </w:t>
      </w:r>
      <w:r>
        <w:rPr>
          <w:b/>
          <w:bCs/>
        </w:rPr>
        <w:t>schema</w:t>
      </w:r>
      <w:r>
        <w:t xml:space="preserve"> </w:t>
      </w:r>
      <w:r>
        <w:rPr>
          <w:noProof/>
        </w:rPr>
        <w:t>(</w:t>
      </w:r>
      <w:r>
        <w:t xml:space="preserve">thus, our editions follow the </w:t>
      </w:r>
      <w:r>
        <w:rPr>
          <w:b/>
          <w:bCs/>
        </w:rPr>
        <w:t>EpiDoc schema</w:t>
      </w:r>
      <w:r>
        <w:t>)</w:t>
      </w:r>
    </w:p>
    <w:p w14:paraId="7A48FEF2" w14:textId="77777777">
      <w:pPr>
        <w:pStyle w:val="Lista"/>
      </w:pPr>
      <w:r>
        <w:t xml:space="preserve">an XML document is said to be </w:t>
      </w:r>
      <w:r>
        <w:rPr>
          <w:b/>
          <w:bCs/>
        </w:rPr>
        <w:t>valid</w:t>
      </w:r>
      <w:r>
        <w:t xml:space="preserve"> if, in addition to being well-formed, it is structured in such a way as to meet the requirements of a particular schema</w:t>
      </w:r>
    </w:p>
    <w:p w14:paraId="5D698E9C" w14:textId="77777777">
      <w:pPr>
        <w:pStyle w:val="Cmsor2"/>
      </w:pPr>
      <w:bookmarkStart w:id="39" w:name="_a0njpk1xs3b7" w:colFirst="0" w:colLast="0"/>
      <w:bookmarkStart w:id="40" w:name="_z3xeqgcx3br1" w:colFirst="0" w:colLast="0"/>
      <w:bookmarkStart w:id="41" w:name="_Ref43990558"/>
      <w:bookmarkStart w:id="42" w:name="_Toc243922593"/>
      <w:bookmarkEnd w:id="39"/>
      <w:bookmarkEnd w:id="40"/>
      <w:r>
        <w:t>The framework of an EpiDoc edition</w:t>
      </w:r>
      <w:bookmarkEnd w:id="41"/>
      <w:bookmarkEnd w:id="42"/>
    </w:p>
    <w:p w14:paraId="3590EAE3" w14:textId="77777777">
      <w:r>
        <w:t>This section presents an overview of the constituent parts of a digital edition in EpiDoc. Code illustrations are based on the DHARMA Encoding Template for Inscriptions as released together with this edition of the EGD.</w:t>
      </w:r>
      <w:r>
        <w:rPr>
          <w:rStyle w:val="Lbjegyzet-hivatkozs"/>
        </w:rPr>
        <w:footnoteReference w:id="7"/>
      </w:r>
      <w:r>
        <w:t xml:space="preserve"> Future versions of the template may contain slightly different code without affecting the general explanations provided here. You will not need to learn and produce this or similar code, only to find your way around it and add content without disrupting the code. </w:t>
      </w:r>
    </w:p>
    <w:p w14:paraId="138FD5BE" w14:textId="77777777">
      <w:pPr>
        <w:pStyle w:val="Cmsor3"/>
      </w:pPr>
      <w:bookmarkStart w:id="43" w:name="_Toc243922594"/>
      <w:r>
        <w:t>Technical specifications</w:t>
      </w:r>
      <w:bookmarkEnd w:id="43"/>
    </w:p>
    <w:p w14:paraId="1007943F" w14:textId="77777777">
      <w:pPr>
        <w:pStyle w:val="Lista"/>
      </w:pPr>
      <w:r>
        <w:t>XML files begin with a declaration identifying the file as a particular kind of XML document</w:t>
      </w:r>
    </w:p>
    <w:p w14:paraId="0DCEED89" w14:textId="77777777">
      <w:pPr>
        <w:pStyle w:val="Lista"/>
      </w:pPr>
      <w:r>
        <w:t>this is followed by instructions associating the document with schemas for processing it</w:t>
      </w:r>
    </w:p>
    <w:p w14:paraId="567B6088" w14:textId="77777777">
      <w:pPr>
        <w:pStyle w:val="Lista"/>
      </w:pPr>
      <w:r>
        <w:t xml:space="preserve">the root element </w:t>
      </w:r>
      <w:r>
        <w:rPr>
          <w:rStyle w:val="Code"/>
        </w:rPr>
        <w:t>&lt;TEI&gt;</w:t>
      </w:r>
      <w:r>
        <w:t>, identifying the contents as a TEI-compliant document, wraps all of the remaining content of our files</w:t>
      </w:r>
    </w:p>
    <w:p w14:paraId="56333159" w14:textId="77777777">
      <w:pPr>
        <w:pStyle w:val="Lista"/>
      </w:pPr>
      <w:r>
        <w:t>you should never edit these parts of the file</w:t>
      </w:r>
    </w:p>
    <w:tbl>
      <w:tblPr>
        <w:tblStyle w:val="CodeSampleTable"/>
        <w:tblW w:w="5000" w:type="pct"/>
        <w:tblLook w:val="04A0" w:firstRow="1" w:lastRow="0" w:firstColumn="1" w:lastColumn="0" w:noHBand="0" w:noVBand="1"/>
      </w:tblPr>
      <w:tblGrid>
        <w:gridCol w:w="9628"/>
      </w:tblGrid>
      <w:tr w14:paraId="61377A1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4F90B69" w14:textId="04868FA2">
            <w:pPr>
              <w:pStyle w:val="Kpalrs"/>
            </w:pPr>
            <w:r>
              <w:lastRenderedPageBreak/>
              <w:t xml:space="preserve">Exhibit </w:t>
            </w:r>
            <w:fldSimple w:instr=" STYLEREF 2 \s ">
              <w:r>
                <w:rPr>
                  <w:noProof/>
                </w:rPr>
                <w:t>2.3</w:t>
              </w:r>
            </w:fldSimple>
            <w:r>
              <w:t>.</w:t>
            </w:r>
            <w:fldSimple w:instr=" SEQ Exhibit \* ALPHABETIC \s 2 ">
              <w:r>
                <w:rPr>
                  <w:noProof/>
                </w:rPr>
                <w:t>A</w:t>
              </w:r>
            </w:fldSimple>
            <w:r>
              <w:t>: the technical instructions in an EpiDoc edition</w:t>
            </w:r>
          </w:p>
        </w:tc>
      </w:tr>
      <w:tr w14:paraId="0DBF32E3" w14:textId="77777777">
        <w:tc>
          <w:tcPr>
            <w:tcW w:w="5000" w:type="pct"/>
          </w:tcPr>
          <w:p w14:paraId="285367A6" w14:textId="77777777">
            <w:pPr>
              <w:pStyle w:val="CodeParagraph"/>
              <w:rPr>
                <w:rStyle w:val="Codeinstruction"/>
              </w:rPr>
            </w:pPr>
            <w:r>
              <w:rPr>
                <w:rStyle w:val="Codeinstruction"/>
              </w:rPr>
              <w:t>&lt;?xml version="1.0" encoding="UTF-8"?&gt;</w:t>
            </w:r>
          </w:p>
          <w:p w14:paraId="22BC13FD" w14:textId="77777777">
            <w:pPr>
              <w:pStyle w:val="CodeParagraph"/>
              <w:rPr>
                <w:rStyle w:val="Codeinstruction"/>
              </w:rPr>
            </w:pPr>
            <w:r>
              <w:rPr>
                <w:rStyle w:val="Codeinstruction"/>
              </w:rPr>
              <w:t>&lt;?xml-model href="https://raw.githubusercontent.com/erc-dharma/project-documentation/master/schema/latest/DHARMA_Schema.rng" type="application/xml" schematypens="http://relaxng.org/ns/structure/1.0"?&gt;</w:t>
            </w:r>
          </w:p>
          <w:p w14:paraId="24578BBB" w14:textId="77777777">
            <w:pPr>
              <w:pStyle w:val="CodeParagraph"/>
              <w:rPr>
                <w:rStyle w:val="Codeinstruction"/>
              </w:rPr>
            </w:pPr>
            <w:r>
              <w:rPr>
                <w:rStyle w:val="Codeinstruction"/>
              </w:rPr>
              <w:t>&lt;?xml-model href="https://raw.githubusercontent.com/erc-dharma/project-documentation/master/schema/latest/DHARMA_Schema.rng" type="application/xml" schematypens="http://purl.oclc.org/dsdl/schematron"?&gt;</w:t>
            </w:r>
          </w:p>
          <w:p w14:paraId="4D984EF6" w14:textId="77777777">
            <w:pPr>
              <w:pStyle w:val="CodeParagraph"/>
              <w:rPr>
                <w:rStyle w:val="Codeinstruction"/>
              </w:rPr>
            </w:pPr>
            <w:r>
              <w:rPr>
                <w:rStyle w:val="Codeinstruction"/>
              </w:rPr>
              <w:t>&lt;?xml-model href="https://raw.githubusercontent.com/erc-dharma/project-documentation/master/schema/latest/DHARMA_SQF.sch" type="application/xml" schematypens="http://purl.oclc.org/dsdl/schematron"?&gt;</w:t>
            </w:r>
          </w:p>
          <w:p w14:paraId="671A1EE3" w14:textId="77777777">
            <w:pPr>
              <w:pStyle w:val="CodeParagraph"/>
              <w:rPr>
                <w:rStyle w:val="Codeinstruction"/>
              </w:rPr>
            </w:pPr>
            <w:r>
              <w:rPr>
                <w:rStyle w:val="Codeinstruction"/>
              </w:rPr>
              <w:t>&lt;?xml-model href="https://epidoc.stoa.org/schema/latest/tei-epidoc.rng" schematypens="http://relaxng.org/ns/structure/1.0"?&gt;</w:t>
            </w:r>
          </w:p>
          <w:p w14:paraId="701FDD67" w14:textId="77777777">
            <w:pPr>
              <w:pStyle w:val="CodeParagraph"/>
              <w:rPr>
                <w:rStyle w:val="Code"/>
              </w:rPr>
            </w:pPr>
            <w:r>
              <w:rPr>
                <w:rStyle w:val="Codeinstruction"/>
              </w:rPr>
              <w:t xml:space="preserve">&lt;?xml-model href="https://epidoc.stoa.org/schema/latest/tei-epidoc.rng" schematypens="http://purl.oclc.org/dsdl/schematron"?&gt; </w:t>
            </w:r>
          </w:p>
          <w:p w14:paraId="117DAAB0" w14:textId="77777777">
            <w:pPr>
              <w:pStyle w:val="CodeParagraph"/>
              <w:rPr>
                <w:rStyle w:val="Code"/>
              </w:rPr>
            </w:pPr>
            <w:r>
              <w:rPr>
                <w:rStyle w:val="Code"/>
              </w:rPr>
              <w:t xml:space="preserve">&lt;TEI </w:t>
            </w:r>
            <w:r>
              <w:rPr>
                <w:rStyle w:val="Codeattribute"/>
              </w:rPr>
              <w:t>xmlns=</w:t>
            </w:r>
            <w:r>
              <w:rPr>
                <w:rStyle w:val="Codevalue"/>
              </w:rPr>
              <w:t>"http://www.tei-c.org/ns/1.0"</w:t>
            </w:r>
            <w:r>
              <w:rPr>
                <w:rStyle w:val="Code"/>
              </w:rPr>
              <w:t xml:space="preserve"> </w:t>
            </w:r>
            <w:r>
              <w:rPr>
                <w:rStyle w:val="Codeattribute"/>
              </w:rPr>
              <w:t>xml:lang=</w:t>
            </w:r>
            <w:r>
              <w:rPr>
                <w:rStyle w:val="Codevalue"/>
              </w:rPr>
              <w:t>"eng"</w:t>
            </w:r>
            <w:r>
              <w:rPr>
                <w:rStyle w:val="Code"/>
              </w:rPr>
              <w:t>&gt;</w:t>
            </w:r>
          </w:p>
          <w:p w14:paraId="1D09D591" w14:textId="77777777">
            <w:pPr>
              <w:pStyle w:val="CodeParagraph"/>
              <w:rPr>
                <w:rStyle w:val="Code"/>
              </w:rPr>
            </w:pPr>
            <w:r>
              <w:rPr>
                <w:rStyle w:val="Code"/>
              </w:rPr>
              <w:t>...</w:t>
            </w:r>
          </w:p>
          <w:p w14:paraId="1D52D4EC" w14:textId="77777777">
            <w:pPr>
              <w:pStyle w:val="CodeParagraph"/>
            </w:pPr>
            <w:r>
              <w:rPr>
                <w:rStyle w:val="Code"/>
              </w:rPr>
              <w:t>&lt;/TEI&gt;</w:t>
            </w:r>
          </w:p>
        </w:tc>
      </w:tr>
    </w:tbl>
    <w:p w14:paraId="7B0FD713" w14:textId="77777777">
      <w:pPr>
        <w:pStyle w:val="Cmsor3"/>
      </w:pPr>
      <w:bookmarkStart w:id="44" w:name="_Ref233892229"/>
      <w:bookmarkStart w:id="45" w:name="_Toc243922595"/>
      <w:r>
        <w:t>The TEI header</w:t>
      </w:r>
      <w:bookmarkEnd w:id="44"/>
      <w:bookmarkEnd w:id="45"/>
    </w:p>
    <w:p w14:paraId="29BADEFA" w14:textId="77777777">
      <w:pPr>
        <w:pStyle w:val="Lista"/>
      </w:pPr>
      <w:r>
        <w:t>a header section identifying the digital document and containing additional descriptive information about the encoded text is a mandatory component of every TEI document</w:t>
      </w:r>
    </w:p>
    <w:p w14:paraId="0108E608" w14:textId="77777777">
      <w:pPr>
        <w:pStyle w:val="Lista"/>
      </w:pPr>
      <w:r>
        <w:t>the contents of the header are grouped into sections called statements and descriptions</w:t>
      </w:r>
    </w:p>
    <w:p w14:paraId="4D6D5FC7" w14:textId="77777777">
      <w:pPr>
        <w:pStyle w:val="Lista"/>
      </w:pPr>
      <w:r>
        <w:t>in several sections of the header, you will need to replace the default content from the template with specific content applicable to your edition</w:t>
      </w:r>
    </w:p>
    <w:p w14:paraId="780028D6" w14:textId="77777777">
      <w:pPr>
        <w:pStyle w:val="Lista2"/>
      </w:pPr>
      <w:r>
        <w:t>in some cases you will also need to add or modify elements in some sections of the header</w:t>
      </w:r>
    </w:p>
    <w:p w14:paraId="392B935A" w14:textId="0D9DC182">
      <w:pPr>
        <w:pStyle w:val="Lista"/>
      </w:pPr>
      <w:r>
        <w:t>instructions for editing the TEI header are in §</w:t>
      </w:r>
      <w:r>
        <w:fldChar w:fldCharType="begin"/>
      </w:r>
      <w:r>
        <w:instrText xml:space="preserve"> REF _Ref43978719 \r \h </w:instrText>
      </w:r>
      <w:r>
        <w:fldChar w:fldCharType="separate"/>
      </w:r>
      <w:r>
        <w:t>15</w:t>
      </w:r>
      <w:r>
        <w:fldChar w:fldCharType="end"/>
      </w:r>
    </w:p>
    <w:tbl>
      <w:tblPr>
        <w:tblStyle w:val="CodeSampleTable"/>
        <w:tblW w:w="5000" w:type="pct"/>
        <w:tblLook w:val="04A0" w:firstRow="1" w:lastRow="0" w:firstColumn="1" w:lastColumn="0" w:noHBand="0" w:noVBand="1"/>
      </w:tblPr>
      <w:tblGrid>
        <w:gridCol w:w="9628"/>
      </w:tblGrid>
      <w:tr w14:paraId="17148F60"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7C0B60A" w14:textId="0CCD5FBD">
            <w:pPr>
              <w:pStyle w:val="Kpalrs"/>
            </w:pPr>
            <w:r>
              <w:t xml:space="preserve">Exhibit </w:t>
            </w:r>
            <w:fldSimple w:instr=" STYLEREF 2 \s ">
              <w:r>
                <w:rPr>
                  <w:noProof/>
                </w:rPr>
                <w:t>2.3</w:t>
              </w:r>
            </w:fldSimple>
            <w:r>
              <w:t>.</w:t>
            </w:r>
            <w:fldSimple w:instr=" SEQ Exhibit \* ALPHABETIC \s 2 ">
              <w:r>
                <w:rPr>
                  <w:noProof/>
                </w:rPr>
                <w:t>B</w:t>
              </w:r>
            </w:fldSimple>
            <w:r>
              <w:t>: the TEI header</w:t>
            </w:r>
          </w:p>
        </w:tc>
      </w:tr>
      <w:tr w14:paraId="61583729" w14:textId="77777777">
        <w:tc>
          <w:tcPr>
            <w:tcW w:w="5000" w:type="pct"/>
          </w:tcPr>
          <w:p w14:paraId="0ACD2561" w14:textId="77777777">
            <w:pPr>
              <w:pStyle w:val="CodeParagraph"/>
              <w:rPr>
                <w:rStyle w:val="Code"/>
              </w:rPr>
            </w:pPr>
            <w:r>
              <w:rPr>
                <w:rStyle w:val="Code"/>
              </w:rPr>
              <w:t>&lt;teiHeader&gt;</w:t>
            </w:r>
          </w:p>
          <w:p w14:paraId="7B1FA2FF" w14:textId="77777777">
            <w:pPr>
              <w:pStyle w:val="CodeParagraph"/>
              <w:rPr>
                <w:rStyle w:val="Code"/>
              </w:rPr>
            </w:pPr>
            <w:r>
              <w:rPr>
                <w:rStyle w:val="Code"/>
              </w:rPr>
              <w:t xml:space="preserve">  &lt;fileDesc&gt;</w:t>
            </w:r>
          </w:p>
          <w:p w14:paraId="07BD09A6" w14:textId="77777777">
            <w:pPr>
              <w:pStyle w:val="CodeParagraph"/>
              <w:rPr>
                <w:rStyle w:val="Code"/>
              </w:rPr>
            </w:pPr>
            <w:r>
              <w:rPr>
                <w:rStyle w:val="Code"/>
              </w:rPr>
              <w:t xml:space="preserve">    &lt;titleStmt&gt;</w:t>
            </w:r>
          </w:p>
          <w:p w14:paraId="7A27E644" w14:textId="77777777">
            <w:pPr>
              <w:pStyle w:val="CodeParagraph"/>
              <w:rPr>
                <w:rStyle w:val="Code"/>
              </w:rPr>
            </w:pPr>
            <w:r>
              <w:rPr>
                <w:rStyle w:val="Code"/>
              </w:rPr>
              <w:t xml:space="preserve">      ...</w:t>
            </w:r>
          </w:p>
          <w:p w14:paraId="67B9AB0C" w14:textId="77777777">
            <w:pPr>
              <w:pStyle w:val="CodeParagraph"/>
              <w:rPr>
                <w:rStyle w:val="Code"/>
              </w:rPr>
            </w:pPr>
            <w:r>
              <w:rPr>
                <w:rStyle w:val="Code"/>
              </w:rPr>
              <w:t xml:space="preserve">    &lt;/titleStmt&gt;</w:t>
            </w:r>
          </w:p>
          <w:p w14:paraId="58E3DE60" w14:textId="77777777">
            <w:pPr>
              <w:pStyle w:val="CodeParagraph"/>
              <w:rPr>
                <w:rStyle w:val="Code"/>
              </w:rPr>
            </w:pPr>
            <w:r>
              <w:rPr>
                <w:rStyle w:val="Code"/>
              </w:rPr>
              <w:t xml:space="preserve">    &lt;publicationStmt&gt;</w:t>
            </w:r>
          </w:p>
          <w:p w14:paraId="38D6DBBF" w14:textId="77777777">
            <w:pPr>
              <w:pStyle w:val="CodeParagraph"/>
              <w:rPr>
                <w:rStyle w:val="Code"/>
              </w:rPr>
            </w:pPr>
            <w:r>
              <w:rPr>
                <w:rStyle w:val="Code"/>
              </w:rPr>
              <w:t xml:space="preserve">      ...</w:t>
            </w:r>
          </w:p>
          <w:p w14:paraId="25B9042E" w14:textId="77777777">
            <w:pPr>
              <w:pStyle w:val="CodeParagraph"/>
              <w:rPr>
                <w:rStyle w:val="Code"/>
              </w:rPr>
            </w:pPr>
            <w:r>
              <w:rPr>
                <w:rStyle w:val="Code"/>
              </w:rPr>
              <w:t xml:space="preserve">    &lt;/publicationStmt&gt;</w:t>
            </w:r>
          </w:p>
          <w:p w14:paraId="45E231BA" w14:textId="77777777">
            <w:pPr>
              <w:pStyle w:val="CodeParagraph"/>
              <w:rPr>
                <w:rStyle w:val="Code"/>
              </w:rPr>
            </w:pPr>
            <w:r>
              <w:rPr>
                <w:rStyle w:val="Code"/>
              </w:rPr>
              <w:t xml:space="preserve">    &lt;sourceDesc&gt;</w:t>
            </w:r>
          </w:p>
          <w:p w14:paraId="119A7E52" w14:textId="77777777">
            <w:pPr>
              <w:pStyle w:val="CodeParagraph"/>
              <w:rPr>
                <w:rStyle w:val="Code"/>
              </w:rPr>
            </w:pPr>
            <w:r>
              <w:rPr>
                <w:rStyle w:val="Code"/>
              </w:rPr>
              <w:t xml:space="preserve">      ...</w:t>
            </w:r>
          </w:p>
          <w:p w14:paraId="6EECC9C8" w14:textId="77777777">
            <w:pPr>
              <w:pStyle w:val="CodeParagraph"/>
              <w:rPr>
                <w:rStyle w:val="Code"/>
              </w:rPr>
            </w:pPr>
            <w:r>
              <w:rPr>
                <w:rStyle w:val="Code"/>
              </w:rPr>
              <w:t xml:space="preserve">    &lt;/sourceDesc&gt;</w:t>
            </w:r>
          </w:p>
          <w:p w14:paraId="0D05EE21" w14:textId="77777777">
            <w:pPr>
              <w:pStyle w:val="CodeParagraph"/>
              <w:rPr>
                <w:rStyle w:val="Code"/>
              </w:rPr>
            </w:pPr>
            <w:r>
              <w:rPr>
                <w:rStyle w:val="Code"/>
              </w:rPr>
              <w:t xml:space="preserve">  &lt;/fileDesc&gt;</w:t>
            </w:r>
          </w:p>
          <w:p w14:paraId="378D0DD4" w14:textId="77777777">
            <w:pPr>
              <w:pStyle w:val="CodeParagraph"/>
              <w:rPr>
                <w:rStyle w:val="Code"/>
              </w:rPr>
            </w:pPr>
            <w:r>
              <w:rPr>
                <w:rStyle w:val="Code"/>
              </w:rPr>
              <w:t xml:space="preserve">  &lt;encodingDesc&gt;</w:t>
            </w:r>
          </w:p>
          <w:p w14:paraId="39584D71" w14:textId="77777777">
            <w:pPr>
              <w:pStyle w:val="CodeParagraph"/>
              <w:rPr>
                <w:rStyle w:val="Code"/>
              </w:rPr>
            </w:pPr>
            <w:r>
              <w:rPr>
                <w:rStyle w:val="Code"/>
              </w:rPr>
              <w:t xml:space="preserve">    ...</w:t>
            </w:r>
          </w:p>
          <w:p w14:paraId="0B9FB036" w14:textId="77777777">
            <w:pPr>
              <w:pStyle w:val="CodeParagraph"/>
              <w:rPr>
                <w:rStyle w:val="Code"/>
              </w:rPr>
            </w:pPr>
            <w:r>
              <w:rPr>
                <w:rStyle w:val="Code"/>
              </w:rPr>
              <w:t xml:space="preserve">  &lt;/encodingDesc&gt;</w:t>
            </w:r>
          </w:p>
          <w:p w14:paraId="0837B806" w14:textId="77777777">
            <w:pPr>
              <w:pStyle w:val="CodeParagraph"/>
              <w:rPr>
                <w:rStyle w:val="Code"/>
              </w:rPr>
            </w:pPr>
            <w:r>
              <w:rPr>
                <w:rStyle w:val="Code"/>
              </w:rPr>
              <w:t xml:space="preserve">  &lt;revisionDesc&gt;</w:t>
            </w:r>
          </w:p>
          <w:p w14:paraId="5C9B7EB1" w14:textId="77777777">
            <w:pPr>
              <w:pStyle w:val="CodeParagraph"/>
              <w:rPr>
                <w:rStyle w:val="Code"/>
              </w:rPr>
            </w:pPr>
            <w:r>
              <w:rPr>
                <w:rStyle w:val="Code"/>
              </w:rPr>
              <w:t xml:space="preserve">    ...</w:t>
            </w:r>
          </w:p>
          <w:p w14:paraId="54583533" w14:textId="77777777">
            <w:pPr>
              <w:pStyle w:val="CodeParagraph"/>
              <w:rPr>
                <w:rStyle w:val="Code"/>
              </w:rPr>
            </w:pPr>
            <w:r>
              <w:rPr>
                <w:rStyle w:val="Code"/>
              </w:rPr>
              <w:t xml:space="preserve">  &lt;/revisionDesc&gt;</w:t>
            </w:r>
          </w:p>
          <w:p w14:paraId="56FDCAC1" w14:textId="77777777">
            <w:pPr>
              <w:pStyle w:val="CodeParagraph"/>
            </w:pPr>
            <w:r>
              <w:rPr>
                <w:rStyle w:val="Code"/>
              </w:rPr>
              <w:t>&lt;/teiHeader&gt;</w:t>
            </w:r>
          </w:p>
        </w:tc>
      </w:tr>
    </w:tbl>
    <w:p w14:paraId="10491310" w14:textId="77777777">
      <w:pPr>
        <w:pStyle w:val="Cmsor3"/>
      </w:pPr>
      <w:bookmarkStart w:id="46" w:name="_Ref224739111"/>
      <w:bookmarkStart w:id="47" w:name="_Toc243922596"/>
      <w:r>
        <w:t>The body of the document</w:t>
      </w:r>
      <w:bookmarkEnd w:id="46"/>
      <w:bookmarkEnd w:id="47"/>
    </w:p>
    <w:p w14:paraId="5E6D0741" w14:textId="77777777">
      <w:pPr>
        <w:pStyle w:val="Lista"/>
      </w:pPr>
      <w:r>
        <w:t xml:space="preserve">the part of the XML file which contains a particular text is wrapped in the element </w:t>
      </w:r>
      <w:r>
        <w:rPr>
          <w:rStyle w:val="Code"/>
        </w:rPr>
        <w:t>&lt;text&gt;</w:t>
      </w:r>
    </w:p>
    <w:p w14:paraId="17BC3C88" w14:textId="77777777">
      <w:pPr>
        <w:pStyle w:val="Lista"/>
      </w:pPr>
      <w:r>
        <w:t xml:space="preserve">in TEI, the text container may include elements other than </w:t>
      </w:r>
      <w:r>
        <w:rPr>
          <w:rStyle w:val="Code"/>
        </w:rPr>
        <w:t>&lt;body&gt;</w:t>
      </w:r>
      <w:r>
        <w:t xml:space="preserve">, but EpiDoc convention does not use any of these elements, so all of the contents of </w:t>
      </w:r>
      <w:r>
        <w:rPr>
          <w:rStyle w:val="Code"/>
        </w:rPr>
        <w:t>&lt;text&gt;</w:t>
      </w:r>
      <w:r>
        <w:t xml:space="preserve"> are also wrapped in </w:t>
      </w:r>
      <w:r>
        <w:rPr>
          <w:rStyle w:val="Code"/>
        </w:rPr>
        <w:t>&lt;body&gt;</w:t>
      </w:r>
    </w:p>
    <w:p w14:paraId="2B6AE0CF" w14:textId="77777777">
      <w:pPr>
        <w:pStyle w:val="Lista"/>
      </w:pPr>
      <w:r>
        <w:t xml:space="preserve">the body consists of several divisions represented by </w:t>
      </w:r>
      <w:r>
        <w:rPr>
          <w:rStyle w:val="Code"/>
        </w:rPr>
        <w:t>&lt;div&gt;</w:t>
      </w:r>
      <w:r>
        <w:t xml:space="preserve"> elements, each of which contains various aspects of the text</w:t>
      </w:r>
    </w:p>
    <w:p w14:paraId="3E3F2FE7" w14:textId="77777777">
      <w:pPr>
        <w:pStyle w:val="Lista"/>
      </w:pPr>
      <w:r>
        <w:t>the edition division contains the digital edition of the primary text itself</w:t>
      </w:r>
    </w:p>
    <w:p w14:paraId="191D8E6E" w14:textId="3A1603B8">
      <w:pPr>
        <w:pStyle w:val="Lista2"/>
      </w:pPr>
      <w:r>
        <w:t>instructions for encoding the edition comprise the bulk of this Guide, from §</w:t>
      </w:r>
      <w:r>
        <w:fldChar w:fldCharType="begin"/>
      </w:r>
      <w:r>
        <w:instrText xml:space="preserve"> REF _Ref43978632 \r \h </w:instrText>
      </w:r>
      <w:r>
        <w:fldChar w:fldCharType="separate"/>
      </w:r>
      <w:r>
        <w:t>3</w:t>
      </w:r>
      <w:r>
        <w:fldChar w:fldCharType="end"/>
      </w:r>
      <w:r>
        <w:t xml:space="preserve"> to §</w:t>
      </w:r>
      <w:r>
        <w:fldChar w:fldCharType="begin"/>
      </w:r>
      <w:r>
        <w:instrText xml:space="preserve"> REF _Ref232002354 \r \h </w:instrText>
      </w:r>
      <w:r>
        <w:fldChar w:fldCharType="separate"/>
      </w:r>
      <w:r>
        <w:t>9</w:t>
      </w:r>
      <w:r>
        <w:fldChar w:fldCharType="end"/>
      </w:r>
    </w:p>
    <w:p w14:paraId="1DEDDFD0" w14:textId="77777777">
      <w:pPr>
        <w:pStyle w:val="Lista"/>
      </w:pPr>
      <w:r>
        <w:t>the additional divisions are as follows:</w:t>
      </w:r>
    </w:p>
    <w:p w14:paraId="49AFFDD6" w14:textId="0EABC14A">
      <w:pPr>
        <w:pStyle w:val="Lista2"/>
      </w:pPr>
      <w:r>
        <w:t>critical apparatus, discussed in §</w:t>
      </w:r>
      <w:r>
        <w:fldChar w:fldCharType="begin"/>
      </w:r>
      <w:r>
        <w:instrText xml:space="preserve"> REF _Ref43978773 \r \h </w:instrText>
      </w:r>
      <w:r>
        <w:fldChar w:fldCharType="separate"/>
      </w:r>
      <w:r>
        <w:t>10</w:t>
      </w:r>
      <w:r>
        <w:fldChar w:fldCharType="end"/>
      </w:r>
    </w:p>
    <w:p w14:paraId="7FA9DB52" w14:textId="4AC51518">
      <w:pPr>
        <w:pStyle w:val="Lista2"/>
      </w:pPr>
      <w:r>
        <w:lastRenderedPageBreak/>
        <w:t>one or more translations, discussed in §</w:t>
      </w:r>
      <w:r>
        <w:fldChar w:fldCharType="begin"/>
      </w:r>
      <w:r>
        <w:instrText xml:space="preserve"> REF _Ref43978780 \r \h </w:instrText>
      </w:r>
      <w:r>
        <w:fldChar w:fldCharType="separate"/>
      </w:r>
      <w:r>
        <w:t>11</w:t>
      </w:r>
      <w:r>
        <w:fldChar w:fldCharType="end"/>
      </w:r>
    </w:p>
    <w:p w14:paraId="324FDE2A" w14:textId="43E1089E">
      <w:pPr>
        <w:pStyle w:val="Lista2"/>
      </w:pPr>
      <w:r>
        <w:t>scholarly commentary, discussed in §</w:t>
      </w:r>
      <w:r>
        <w:fldChar w:fldCharType="begin"/>
      </w:r>
      <w:r>
        <w:instrText xml:space="preserve"> REF _Ref181352286 \r \h </w:instrText>
      </w:r>
      <w:r>
        <w:fldChar w:fldCharType="separate"/>
      </w:r>
      <w:r>
        <w:t>12</w:t>
      </w:r>
      <w:r>
        <w:fldChar w:fldCharType="end"/>
      </w:r>
    </w:p>
    <w:p w14:paraId="3D0AB106" w14:textId="4A5E046F">
      <w:pPr>
        <w:pStyle w:val="Lista2"/>
      </w:pPr>
      <w:r>
        <w:t>bibliography, discussed in §</w:t>
      </w:r>
      <w:r>
        <w:fldChar w:fldCharType="begin"/>
      </w:r>
      <w:r>
        <w:instrText xml:space="preserve"> REF _Ref43978796 \r \h </w:instrText>
      </w:r>
      <w:r>
        <w:fldChar w:fldCharType="separate"/>
      </w:r>
      <w:r>
        <w:t>13</w:t>
      </w:r>
      <w:r>
        <w:fldChar w:fldCharType="end"/>
      </w:r>
    </w:p>
    <w:tbl>
      <w:tblPr>
        <w:tblStyle w:val="CodeSampleTable"/>
        <w:tblW w:w="5000" w:type="pct"/>
        <w:tblLook w:val="04A0" w:firstRow="1" w:lastRow="0" w:firstColumn="1" w:lastColumn="0" w:noHBand="0" w:noVBand="1"/>
      </w:tblPr>
      <w:tblGrid>
        <w:gridCol w:w="9628"/>
      </w:tblGrid>
      <w:tr w14:paraId="582E868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E35FCC2" w14:textId="0C8617E0">
            <w:pPr>
              <w:pStyle w:val="Kpalrs"/>
            </w:pPr>
            <w:r>
              <w:t xml:space="preserve">Exhibit </w:t>
            </w:r>
            <w:fldSimple w:instr=" STYLEREF 2 \s ">
              <w:r>
                <w:rPr>
                  <w:noProof/>
                </w:rPr>
                <w:t>2.3</w:t>
              </w:r>
            </w:fldSimple>
            <w:r>
              <w:t>.</w:t>
            </w:r>
            <w:fldSimple w:instr=" SEQ Exhibit \* ALPHABETIC \s 2 ">
              <w:r>
                <w:rPr>
                  <w:noProof/>
                </w:rPr>
                <w:t>C</w:t>
              </w:r>
            </w:fldSimple>
            <w:r>
              <w:t>: the body of an EpiDoc edition</w:t>
            </w:r>
          </w:p>
        </w:tc>
      </w:tr>
      <w:tr w14:paraId="7DC8CFBD" w14:textId="77777777">
        <w:tc>
          <w:tcPr>
            <w:tcW w:w="5000" w:type="pct"/>
          </w:tcPr>
          <w:p w14:paraId="0BECB487" w14:textId="77777777">
            <w:pPr>
              <w:pStyle w:val="CodeParagraph"/>
              <w:rPr>
                <w:rStyle w:val="Code"/>
              </w:rPr>
            </w:pPr>
            <w:r>
              <w:rPr>
                <w:rStyle w:val="Code"/>
              </w:rPr>
              <w:t xml:space="preserve">&lt;text </w:t>
            </w:r>
            <w:r>
              <w:rPr>
                <w:rStyle w:val="Codeattribute"/>
              </w:rPr>
              <w:t>xml:space=</w:t>
            </w:r>
            <w:r>
              <w:rPr>
                <w:rStyle w:val="Codevalue"/>
              </w:rPr>
              <w:t>"preserve"</w:t>
            </w:r>
            <w:r>
              <w:rPr>
                <w:rStyle w:val="Code"/>
              </w:rPr>
              <w:t>&gt;</w:t>
            </w:r>
          </w:p>
          <w:p w14:paraId="12D668B3" w14:textId="77777777">
            <w:pPr>
              <w:pStyle w:val="CodeParagraph"/>
              <w:rPr>
                <w:rStyle w:val="Code"/>
              </w:rPr>
            </w:pPr>
            <w:r>
              <w:rPr>
                <w:rStyle w:val="Code"/>
              </w:rPr>
              <w:t xml:space="preserve">  &lt;body&gt;</w:t>
            </w:r>
          </w:p>
          <w:p w14:paraId="467B63B5" w14:textId="77777777">
            <w:pPr>
              <w:pStyle w:val="CodeParagraph"/>
              <w:rPr>
                <w:rStyle w:val="Code"/>
              </w:rPr>
            </w:pPr>
            <w:r>
              <w:rPr>
                <w:rStyle w:val="Code"/>
              </w:rPr>
              <w:t xml:space="preserve">    &lt;div </w:t>
            </w:r>
            <w:r>
              <w:rPr>
                <w:rStyle w:val="Codeattribute"/>
              </w:rPr>
              <w:t>type=</w:t>
            </w:r>
            <w:r>
              <w:rPr>
                <w:rStyle w:val="Codevalue"/>
              </w:rPr>
              <w:t>"edition"</w:t>
            </w:r>
            <w:r>
              <w:rPr>
                <w:rStyle w:val="Code"/>
              </w:rPr>
              <w:t>&gt;</w:t>
            </w:r>
          </w:p>
          <w:p w14:paraId="06ACF7F1" w14:textId="77777777">
            <w:pPr>
              <w:pStyle w:val="CodeParagraph"/>
              <w:rPr>
                <w:rStyle w:val="Code"/>
              </w:rPr>
            </w:pPr>
            <w:r>
              <w:rPr>
                <w:rStyle w:val="Code"/>
              </w:rPr>
              <w:t xml:space="preserve">      ...</w:t>
            </w:r>
          </w:p>
          <w:p w14:paraId="34B07C38" w14:textId="77777777">
            <w:pPr>
              <w:pStyle w:val="CodeParagraph"/>
              <w:rPr>
                <w:rStyle w:val="Code"/>
              </w:rPr>
            </w:pPr>
            <w:r>
              <w:rPr>
                <w:rStyle w:val="Code"/>
              </w:rPr>
              <w:t xml:space="preserve">    &lt;/div&gt;</w:t>
            </w:r>
          </w:p>
          <w:p w14:paraId="719A3580" w14:textId="77777777">
            <w:pPr>
              <w:pStyle w:val="CodeParagraph"/>
              <w:rPr>
                <w:rStyle w:val="Code"/>
              </w:rPr>
            </w:pPr>
            <w:r>
              <w:rPr>
                <w:rStyle w:val="Code"/>
              </w:rPr>
              <w:t xml:space="preserve">    &lt;div </w:t>
            </w:r>
            <w:r>
              <w:rPr>
                <w:rStyle w:val="Codeattribute"/>
              </w:rPr>
              <w:t>type=</w:t>
            </w:r>
            <w:r>
              <w:rPr>
                <w:rStyle w:val="Codevalue"/>
              </w:rPr>
              <w:t>"apparatus"</w:t>
            </w:r>
            <w:r>
              <w:rPr>
                <w:rStyle w:val="Code"/>
              </w:rPr>
              <w:t>&gt;</w:t>
            </w:r>
          </w:p>
          <w:p w14:paraId="44036271" w14:textId="77777777">
            <w:pPr>
              <w:pStyle w:val="CodeParagraph"/>
              <w:rPr>
                <w:rStyle w:val="Code"/>
              </w:rPr>
            </w:pPr>
            <w:r>
              <w:rPr>
                <w:rStyle w:val="Code"/>
              </w:rPr>
              <w:t xml:space="preserve">      ...</w:t>
            </w:r>
          </w:p>
          <w:p w14:paraId="50E4551A" w14:textId="77777777">
            <w:pPr>
              <w:pStyle w:val="CodeParagraph"/>
              <w:rPr>
                <w:rStyle w:val="Code"/>
              </w:rPr>
            </w:pPr>
            <w:r>
              <w:rPr>
                <w:rStyle w:val="Code"/>
              </w:rPr>
              <w:t xml:space="preserve">    &lt;/div&gt;</w:t>
            </w:r>
          </w:p>
          <w:p w14:paraId="62A1AE4B" w14:textId="77777777">
            <w:pPr>
              <w:pStyle w:val="CodeParagraph"/>
              <w:rPr>
                <w:rStyle w:val="Code"/>
              </w:rPr>
            </w:pPr>
            <w:r>
              <w:rPr>
                <w:rStyle w:val="Code"/>
              </w:rPr>
              <w:t xml:space="preserve">    &lt;div </w:t>
            </w:r>
            <w:r>
              <w:rPr>
                <w:rStyle w:val="Codeattribute"/>
              </w:rPr>
              <w:t>type=</w:t>
            </w:r>
            <w:r>
              <w:rPr>
                <w:rStyle w:val="Codevalue"/>
              </w:rPr>
              <w:t>"translation"</w:t>
            </w:r>
            <w:r>
              <w:rPr>
                <w:rStyle w:val="Code"/>
              </w:rPr>
              <w:t>&gt;</w:t>
            </w:r>
          </w:p>
          <w:p w14:paraId="6FA86A01" w14:textId="77777777">
            <w:pPr>
              <w:pStyle w:val="CodeParagraph"/>
              <w:rPr>
                <w:rStyle w:val="Code"/>
              </w:rPr>
            </w:pPr>
            <w:r>
              <w:rPr>
                <w:rStyle w:val="Code"/>
              </w:rPr>
              <w:t xml:space="preserve">      ...</w:t>
            </w:r>
          </w:p>
          <w:p w14:paraId="2AF7A4BF" w14:textId="77777777">
            <w:pPr>
              <w:pStyle w:val="CodeParagraph"/>
              <w:rPr>
                <w:rStyle w:val="Code"/>
              </w:rPr>
            </w:pPr>
            <w:r>
              <w:rPr>
                <w:rStyle w:val="Code"/>
              </w:rPr>
              <w:t xml:space="preserve">    &lt;/div&gt;</w:t>
            </w:r>
          </w:p>
          <w:p w14:paraId="7977FAF1" w14:textId="77777777">
            <w:pPr>
              <w:pStyle w:val="CodeParagraph"/>
              <w:rPr>
                <w:rStyle w:val="Code"/>
              </w:rPr>
            </w:pPr>
            <w:r>
              <w:rPr>
                <w:rStyle w:val="Code"/>
              </w:rPr>
              <w:t xml:space="preserve">    &lt;div </w:t>
            </w:r>
            <w:r>
              <w:rPr>
                <w:rStyle w:val="Codeattribute"/>
              </w:rPr>
              <w:t>type=</w:t>
            </w:r>
            <w:r>
              <w:rPr>
                <w:rStyle w:val="Codevalue"/>
              </w:rPr>
              <w:t>"commentary"</w:t>
            </w:r>
            <w:r>
              <w:rPr>
                <w:rStyle w:val="Code"/>
              </w:rPr>
              <w:t>&gt;</w:t>
            </w:r>
          </w:p>
          <w:p w14:paraId="0AE2DB4D" w14:textId="77777777">
            <w:pPr>
              <w:pStyle w:val="CodeParagraph"/>
              <w:rPr>
                <w:rStyle w:val="Code"/>
              </w:rPr>
            </w:pPr>
            <w:r>
              <w:rPr>
                <w:rStyle w:val="Code"/>
              </w:rPr>
              <w:t xml:space="preserve">      ...</w:t>
            </w:r>
          </w:p>
          <w:p w14:paraId="3C03D43E" w14:textId="77777777">
            <w:pPr>
              <w:pStyle w:val="CodeParagraph"/>
              <w:rPr>
                <w:rStyle w:val="Code"/>
              </w:rPr>
            </w:pPr>
            <w:r>
              <w:rPr>
                <w:rStyle w:val="Code"/>
              </w:rPr>
              <w:t xml:space="preserve">    &lt;/div&gt;</w:t>
            </w:r>
          </w:p>
          <w:p w14:paraId="79F21BFF" w14:textId="77777777">
            <w:pPr>
              <w:pStyle w:val="CodeParagraph"/>
              <w:rPr>
                <w:rStyle w:val="Code"/>
              </w:rPr>
            </w:pPr>
            <w:r>
              <w:rPr>
                <w:rStyle w:val="Code"/>
              </w:rPr>
              <w:t xml:space="preserve">    &lt;div </w:t>
            </w:r>
            <w:r>
              <w:rPr>
                <w:rStyle w:val="Codeattribute"/>
              </w:rPr>
              <w:t>type=</w:t>
            </w:r>
            <w:r>
              <w:rPr>
                <w:rStyle w:val="Codevalue"/>
              </w:rPr>
              <w:t>"bibliography"</w:t>
            </w:r>
            <w:r>
              <w:rPr>
                <w:rStyle w:val="Code"/>
              </w:rPr>
              <w:t>&gt;</w:t>
            </w:r>
          </w:p>
          <w:p w14:paraId="5828FECB" w14:textId="77777777">
            <w:pPr>
              <w:pStyle w:val="CodeParagraph"/>
              <w:rPr>
                <w:rStyle w:val="Code"/>
              </w:rPr>
            </w:pPr>
            <w:r>
              <w:rPr>
                <w:rStyle w:val="Code"/>
              </w:rPr>
              <w:t xml:space="preserve">      ...</w:t>
            </w:r>
          </w:p>
          <w:p w14:paraId="37C3A702" w14:textId="77777777">
            <w:pPr>
              <w:pStyle w:val="CodeParagraph"/>
              <w:rPr>
                <w:rStyle w:val="Code"/>
              </w:rPr>
            </w:pPr>
            <w:r>
              <w:rPr>
                <w:rStyle w:val="Code"/>
              </w:rPr>
              <w:t xml:space="preserve">    &lt;/div&gt;</w:t>
            </w:r>
          </w:p>
          <w:p w14:paraId="67EADBD4" w14:textId="77777777">
            <w:pPr>
              <w:pStyle w:val="CodeParagraph"/>
              <w:rPr>
                <w:rStyle w:val="Code"/>
              </w:rPr>
            </w:pPr>
            <w:r>
              <w:rPr>
                <w:rStyle w:val="Code"/>
              </w:rPr>
              <w:t xml:space="preserve">  &lt;/body&gt;</w:t>
            </w:r>
          </w:p>
          <w:p w14:paraId="380047A1" w14:textId="77777777">
            <w:pPr>
              <w:pStyle w:val="CodeParagraph"/>
            </w:pPr>
            <w:r>
              <w:rPr>
                <w:rStyle w:val="Code"/>
              </w:rPr>
              <w:t>&lt;/text&gt;</w:t>
            </w:r>
          </w:p>
        </w:tc>
      </w:tr>
    </w:tbl>
    <w:p w14:paraId="1BD68737" w14:textId="77777777"/>
    <w:p w14:paraId="100DFEB5" w14:textId="77777777">
      <w:pPr>
        <w:pStyle w:val="Cmsor1"/>
      </w:pPr>
      <w:bookmarkStart w:id="48" w:name="_a88bdnf7s1v4" w:colFirst="0" w:colLast="0"/>
      <w:bookmarkStart w:id="49" w:name="_Ref43978632"/>
      <w:bookmarkStart w:id="50" w:name="_Ref224890440"/>
      <w:bookmarkStart w:id="51" w:name="_Ref225153941"/>
      <w:bookmarkStart w:id="52" w:name="_Toc243922597"/>
      <w:bookmarkEnd w:id="48"/>
      <w:r>
        <w:lastRenderedPageBreak/>
        <w:t>Intrinsic structure</w:t>
      </w:r>
      <w:bookmarkEnd w:id="49"/>
      <w:bookmarkEnd w:id="50"/>
      <w:bookmarkEnd w:id="51"/>
      <w:bookmarkEnd w:id="52"/>
    </w:p>
    <w:p w14:paraId="03F1224D" w14:textId="77777777">
      <w:pPr>
        <w:pStyle w:val="Cmsor2"/>
      </w:pPr>
      <w:bookmarkStart w:id="53" w:name="_Ref225153755"/>
      <w:bookmarkStart w:id="54" w:name="_Ref43978813"/>
      <w:bookmarkStart w:id="55" w:name="_Ref149918441"/>
      <w:bookmarkStart w:id="56" w:name="_Toc243922598"/>
      <w:r>
        <w:t>Representing intrinsic structure</w:t>
      </w:r>
      <w:bookmarkEnd w:id="53"/>
      <w:bookmarkEnd w:id="56"/>
    </w:p>
    <w:p w14:paraId="54BD8E75" w14:textId="54FB6F84">
      <w:r>
        <w:t xml:space="preserve">Of the various parallel, and more or less hierarchical, structures present in a written text, two are particularly relevant to encoding in the DHARMA scheme. By </w:t>
      </w:r>
      <w:r>
        <w:rPr>
          <w:i/>
          <w:iCs/>
        </w:rPr>
        <w:t>intrinsic structure</w:t>
      </w:r>
      <w:r>
        <w:t xml:space="preserve">, we refer to the structure of a text “as work” in the terminology of </w:t>
      </w:r>
      <w:r>
        <w:rPr>
          <w:noProof/>
        </w:rPr>
        <w:t>Tanselle</w:t>
      </w:r>
      <w:r>
        <w:t xml:space="preserve"> (1989), meaning the text as an entity abstracted from its physical medium. We contrast this with </w:t>
      </w:r>
      <w:r>
        <w:rPr>
          <w:i/>
          <w:iCs/>
        </w:rPr>
        <w:t>extrinsic structure</w:t>
      </w:r>
      <w:r>
        <w:t xml:space="preserve"> (§</w:t>
      </w:r>
      <w:r>
        <w:fldChar w:fldCharType="begin"/>
      </w:r>
      <w:r>
        <w:instrText xml:space="preserve"> REF _Ref225261475 \r \h </w:instrText>
      </w:r>
      <w:r>
        <w:fldChar w:fldCharType="separate"/>
      </w:r>
      <w:r>
        <w:t>4</w:t>
      </w:r>
      <w:r>
        <w:fldChar w:fldCharType="end"/>
      </w:r>
      <w:r>
        <w:t>), which is the structure of a text “as document” in a concrete physical manifestation. In a quintessential book, intrinsic structure might comprise several parts, each containing one or more chapters, each containing a number of paragraphs.</w:t>
      </w:r>
    </w:p>
    <w:p w14:paraId="070EF7F9" w14:textId="75AD3CF6">
      <w:pPr>
        <w:pStyle w:val="Normlbehzs"/>
      </w:pPr>
      <w:r>
        <w:t>TEI editions, and therefore also our digital editions, dedicate the primary hierarchy of XML elements (§</w:t>
      </w:r>
      <w:r>
        <w:fldChar w:fldCharType="begin"/>
      </w:r>
      <w:r>
        <w:instrText xml:space="preserve"> REF _Ref224893456 \r \h </w:instrText>
      </w:r>
      <w:r>
        <w:fldChar w:fldCharType="separate"/>
      </w:r>
      <w:r>
        <w:t>2.2.4</w:t>
      </w:r>
      <w:r>
        <w:fldChar w:fldCharType="end"/>
      </w:r>
      <w:r>
        <w:t xml:space="preserve">) to representing a text’s intrinsic structure. DHARMA documentary editions represent intrinsic structure in a simple, schematic hierarchy illustrated in </w:t>
      </w:r>
      <w:r>
        <w:fldChar w:fldCharType="begin"/>
      </w:r>
      <w:r>
        <w:instrText xml:space="preserve"> REF _Ref224805161 \h </w:instrText>
      </w:r>
      <w:r>
        <w:fldChar w:fldCharType="separate"/>
      </w:r>
      <w:r>
        <w:t xml:space="preserve">Exhibit </w:t>
      </w:r>
      <w:r>
        <w:rPr>
          <w:noProof/>
        </w:rPr>
        <w:t>3.1</w:t>
      </w:r>
      <w:r>
        <w:t>.</w:t>
      </w:r>
      <w:r>
        <w:rPr>
          <w:noProof/>
        </w:rPr>
        <w:t>A</w:t>
      </w:r>
      <w:r>
        <w:fldChar w:fldCharType="end"/>
      </w:r>
      <w:r>
        <w:t>. The labels in the Exhibit are shown in angle brackets to indicate that they correspond to XML elements, but the actual XML elements are introduced in the sections discussing their encoding.</w:t>
      </w:r>
    </w:p>
    <w:tbl>
      <w:tblPr>
        <w:tblStyle w:val="FigureTable"/>
        <w:tblW w:w="0" w:type="auto"/>
        <w:tblLook w:val="04A0" w:firstRow="1" w:lastRow="0" w:firstColumn="1" w:lastColumn="0" w:noHBand="0" w:noVBand="1"/>
      </w:tblPr>
      <w:tblGrid>
        <w:gridCol w:w="9628"/>
      </w:tblGrid>
      <w:tr w14:paraId="48367084" w14:textId="77777777">
        <w:trPr>
          <w:cnfStyle w:val="100000000000" w:firstRow="1" w:lastRow="0" w:firstColumn="0" w:lastColumn="0" w:oddVBand="0" w:evenVBand="0" w:oddHBand="0" w:evenHBand="0" w:firstRowFirstColumn="0" w:firstRowLastColumn="0" w:lastRowFirstColumn="0" w:lastRowLastColumn="0"/>
        </w:trPr>
        <w:tc>
          <w:tcPr>
            <w:tcW w:w="9628" w:type="dxa"/>
          </w:tcPr>
          <w:p w14:paraId="644BBA49" w14:textId="3FF42B8A">
            <w:pPr>
              <w:pStyle w:val="Kpalrs"/>
            </w:pPr>
            <w:bookmarkStart w:id="57" w:name="_Ref224805161"/>
            <w:bookmarkStart w:id="58" w:name="_Ref224805068"/>
            <w:r>
              <w:t xml:space="preserve">Exhibit </w:t>
            </w:r>
            <w:fldSimple w:instr=" STYLEREF 2 \s ">
              <w:r>
                <w:rPr>
                  <w:noProof/>
                </w:rPr>
                <w:t>3.1</w:t>
              </w:r>
            </w:fldSimple>
            <w:r>
              <w:t>.</w:t>
            </w:r>
            <w:fldSimple w:instr=" SEQ Exhibit \* ALPHABETIC \s 2 ">
              <w:r>
                <w:rPr>
                  <w:noProof/>
                </w:rPr>
                <w:t>A</w:t>
              </w:r>
            </w:fldSimple>
            <w:bookmarkEnd w:id="57"/>
            <w:r>
              <w:t>. the encoding hierarchy of intrinsic structure</w:t>
            </w:r>
            <w:bookmarkEnd w:id="58"/>
          </w:p>
        </w:tc>
      </w:tr>
      <w:tr w14:paraId="048CBB0B" w14:textId="77777777">
        <w:tc>
          <w:tcPr>
            <w:tcW w:w="9628" w:type="dxa"/>
          </w:tcPr>
          <w:tbl>
            <w:tblPr>
              <w:tblStyle w:val="TGtableblank"/>
              <w:tblW w:w="0" w:type="auto"/>
              <w:jc w:val="center"/>
              <w:tblLook w:val="04A0" w:firstRow="1" w:lastRow="0" w:firstColumn="1" w:lastColumn="0" w:noHBand="0" w:noVBand="1"/>
            </w:tblPr>
            <w:tblGrid>
              <w:gridCol w:w="284"/>
              <w:gridCol w:w="284"/>
              <w:gridCol w:w="284"/>
              <w:gridCol w:w="2835"/>
              <w:gridCol w:w="1418"/>
              <w:gridCol w:w="284"/>
              <w:gridCol w:w="284"/>
              <w:gridCol w:w="284"/>
              <w:gridCol w:w="284"/>
            </w:tblGrid>
            <w:tr w14:paraId="3F5441B2" w14:textId="77777777">
              <w:trPr>
                <w:trHeight w:hRule="exact" w:val="397"/>
                <w:jc w:val="center"/>
              </w:trPr>
              <w:tc>
                <w:tcPr>
                  <w:tcW w:w="6241" w:type="dxa"/>
                  <w:gridSpan w:val="9"/>
                  <w:tcBorders>
                    <w:top w:val="double" w:sz="12" w:space="0" w:color="auto"/>
                    <w:left w:val="double" w:sz="12" w:space="0" w:color="auto"/>
                    <w:right w:val="double" w:sz="12" w:space="0" w:color="auto"/>
                  </w:tcBorders>
                  <w:shd w:val="clear" w:color="auto" w:fill="92D050"/>
                </w:tcPr>
                <w:p w14:paraId="6B87444D" w14:textId="77777777">
                  <w:pPr>
                    <w:pStyle w:val="Tabletext"/>
                    <w:keepNext/>
                  </w:pPr>
                  <w:r>
                    <w:t>&lt;edition&gt; contains</w:t>
                  </w:r>
                </w:p>
              </w:tc>
            </w:tr>
            <w:tr w14:paraId="0B5F5730" w14:textId="77777777">
              <w:trPr>
                <w:trHeight w:hRule="exact" w:val="284"/>
                <w:jc w:val="center"/>
              </w:trPr>
              <w:tc>
                <w:tcPr>
                  <w:tcW w:w="284" w:type="dxa"/>
                  <w:tcBorders>
                    <w:left w:val="double" w:sz="12" w:space="0" w:color="auto"/>
                    <w:right w:val="double" w:sz="4" w:space="0" w:color="auto"/>
                  </w:tcBorders>
                  <w:shd w:val="clear" w:color="auto" w:fill="92D050"/>
                </w:tcPr>
                <w:p w14:paraId="1E693018" w14:textId="77777777">
                  <w:pPr>
                    <w:pStyle w:val="Tabletext"/>
                    <w:keepNext/>
                  </w:pPr>
                  <w:r>
                    <w:t xml:space="preserve"> </w:t>
                  </w:r>
                </w:p>
              </w:tc>
              <w:tc>
                <w:tcPr>
                  <w:tcW w:w="5673" w:type="dxa"/>
                  <w:gridSpan w:val="7"/>
                  <w:tcBorders>
                    <w:top w:val="double" w:sz="4" w:space="0" w:color="auto"/>
                    <w:left w:val="double" w:sz="4" w:space="0" w:color="auto"/>
                    <w:right w:val="double" w:sz="4" w:space="0" w:color="auto"/>
                  </w:tcBorders>
                  <w:shd w:val="clear" w:color="auto" w:fill="CCFFCC"/>
                </w:tcPr>
                <w:p w14:paraId="4466C7CF" w14:textId="77777777">
                  <w:pPr>
                    <w:pStyle w:val="Tabletext"/>
                    <w:keepNext/>
                  </w:pPr>
                  <w:r>
                    <w:t>&lt;textpart A&gt; contains</w:t>
                  </w:r>
                </w:p>
              </w:tc>
              <w:tc>
                <w:tcPr>
                  <w:tcW w:w="284" w:type="dxa"/>
                  <w:tcBorders>
                    <w:left w:val="double" w:sz="4" w:space="0" w:color="auto"/>
                    <w:right w:val="double" w:sz="12" w:space="0" w:color="auto"/>
                  </w:tcBorders>
                  <w:shd w:val="clear" w:color="auto" w:fill="92D050"/>
                </w:tcPr>
                <w:p w14:paraId="360C27CB" w14:textId="77777777">
                  <w:pPr>
                    <w:pStyle w:val="Tabletext"/>
                    <w:keepNext/>
                  </w:pPr>
                </w:p>
              </w:tc>
            </w:tr>
            <w:tr w14:paraId="1ABFE8F6" w14:textId="77777777">
              <w:trPr>
                <w:trHeight w:hRule="exact" w:val="113"/>
                <w:jc w:val="center"/>
              </w:trPr>
              <w:tc>
                <w:tcPr>
                  <w:tcW w:w="284" w:type="dxa"/>
                  <w:tcBorders>
                    <w:left w:val="double" w:sz="12" w:space="0" w:color="auto"/>
                    <w:right w:val="double" w:sz="4" w:space="0" w:color="auto"/>
                  </w:tcBorders>
                  <w:shd w:val="clear" w:color="auto" w:fill="92D050"/>
                </w:tcPr>
                <w:p w14:paraId="63A08801" w14:textId="77777777">
                  <w:pPr>
                    <w:pStyle w:val="Tabletext"/>
                    <w:keepNext/>
                  </w:pPr>
                </w:p>
              </w:tc>
              <w:tc>
                <w:tcPr>
                  <w:tcW w:w="284" w:type="dxa"/>
                  <w:tcBorders>
                    <w:left w:val="double" w:sz="4" w:space="0" w:color="auto"/>
                    <w:right w:val="single" w:sz="4" w:space="0" w:color="auto"/>
                  </w:tcBorders>
                  <w:shd w:val="clear" w:color="auto" w:fill="CCFFCC"/>
                </w:tcPr>
                <w:p w14:paraId="208E77B7" w14:textId="77777777">
                  <w:pPr>
                    <w:pStyle w:val="Tabletext"/>
                    <w:keepNext/>
                  </w:pPr>
                </w:p>
              </w:tc>
              <w:tc>
                <w:tcPr>
                  <w:tcW w:w="3119" w:type="dxa"/>
                  <w:gridSpan w:val="2"/>
                  <w:vMerge w:val="restart"/>
                  <w:tcBorders>
                    <w:top w:val="single" w:sz="4" w:space="0" w:color="auto"/>
                    <w:left w:val="single" w:sz="4" w:space="0" w:color="auto"/>
                  </w:tcBorders>
                  <w:shd w:val="clear" w:color="auto" w:fill="CC99FF"/>
                </w:tcPr>
                <w:p w14:paraId="149369CC" w14:textId="77777777">
                  <w:pPr>
                    <w:pStyle w:val="Tabletext"/>
                    <w:keepNext/>
                  </w:pPr>
                  <w:r>
                    <w:t>&lt;paragraph&gt; contains</w:t>
                  </w:r>
                </w:p>
              </w:tc>
              <w:tc>
                <w:tcPr>
                  <w:tcW w:w="1418" w:type="dxa"/>
                  <w:tcBorders>
                    <w:top w:val="single" w:sz="4" w:space="0" w:color="auto"/>
                  </w:tcBorders>
                  <w:shd w:val="clear" w:color="auto" w:fill="CC99FF"/>
                </w:tcPr>
                <w:p w14:paraId="764E6111" w14:textId="77777777">
                  <w:pPr>
                    <w:pStyle w:val="Tabletext"/>
                    <w:keepNext/>
                    <w:jc w:val="center"/>
                    <w:rPr>
                      <w:i/>
                      <w:iCs/>
                    </w:rPr>
                  </w:pPr>
                </w:p>
              </w:tc>
              <w:tc>
                <w:tcPr>
                  <w:tcW w:w="284" w:type="dxa"/>
                  <w:tcBorders>
                    <w:top w:val="single" w:sz="4" w:space="0" w:color="auto"/>
                  </w:tcBorders>
                  <w:shd w:val="clear" w:color="auto" w:fill="CC99FF"/>
                </w:tcPr>
                <w:p w14:paraId="37EEBE97" w14:textId="77777777">
                  <w:pPr>
                    <w:pStyle w:val="Tabletext"/>
                    <w:keepNext/>
                    <w:jc w:val="center"/>
                  </w:pPr>
                </w:p>
              </w:tc>
              <w:tc>
                <w:tcPr>
                  <w:tcW w:w="284" w:type="dxa"/>
                  <w:tcBorders>
                    <w:top w:val="single" w:sz="4" w:space="0" w:color="auto"/>
                    <w:right w:val="single" w:sz="4" w:space="0" w:color="auto"/>
                  </w:tcBorders>
                  <w:shd w:val="clear" w:color="auto" w:fill="CC99FF"/>
                </w:tcPr>
                <w:p w14:paraId="5D12729B" w14:textId="77777777">
                  <w:pPr>
                    <w:pStyle w:val="Tabletext"/>
                    <w:keepNext/>
                  </w:pPr>
                </w:p>
              </w:tc>
              <w:tc>
                <w:tcPr>
                  <w:tcW w:w="284" w:type="dxa"/>
                  <w:tcBorders>
                    <w:left w:val="single" w:sz="4" w:space="0" w:color="auto"/>
                    <w:right w:val="double" w:sz="4" w:space="0" w:color="auto"/>
                  </w:tcBorders>
                  <w:shd w:val="clear" w:color="auto" w:fill="CCFFCC"/>
                </w:tcPr>
                <w:p w14:paraId="27C396A7" w14:textId="77777777">
                  <w:pPr>
                    <w:pStyle w:val="Tabletext"/>
                    <w:keepNext/>
                  </w:pPr>
                </w:p>
              </w:tc>
              <w:tc>
                <w:tcPr>
                  <w:tcW w:w="284" w:type="dxa"/>
                  <w:tcBorders>
                    <w:left w:val="double" w:sz="4" w:space="0" w:color="auto"/>
                    <w:right w:val="double" w:sz="12" w:space="0" w:color="auto"/>
                  </w:tcBorders>
                  <w:shd w:val="clear" w:color="auto" w:fill="92D050"/>
                </w:tcPr>
                <w:p w14:paraId="15773F31" w14:textId="77777777">
                  <w:pPr>
                    <w:pStyle w:val="Tabletext"/>
                    <w:keepNext/>
                  </w:pPr>
                </w:p>
              </w:tc>
            </w:tr>
            <w:tr w14:paraId="743CB9A0" w14:textId="77777777">
              <w:trPr>
                <w:trHeight w:hRule="exact" w:val="284"/>
                <w:jc w:val="center"/>
              </w:trPr>
              <w:tc>
                <w:tcPr>
                  <w:tcW w:w="284" w:type="dxa"/>
                  <w:tcBorders>
                    <w:left w:val="double" w:sz="12" w:space="0" w:color="auto"/>
                    <w:right w:val="double" w:sz="4" w:space="0" w:color="auto"/>
                  </w:tcBorders>
                  <w:shd w:val="clear" w:color="auto" w:fill="92D050"/>
                </w:tcPr>
                <w:p w14:paraId="4F58D4A5" w14:textId="77777777">
                  <w:pPr>
                    <w:pStyle w:val="Tabletext"/>
                    <w:keepNext/>
                  </w:pPr>
                </w:p>
              </w:tc>
              <w:tc>
                <w:tcPr>
                  <w:tcW w:w="284" w:type="dxa"/>
                  <w:tcBorders>
                    <w:left w:val="double" w:sz="4" w:space="0" w:color="auto"/>
                    <w:right w:val="single" w:sz="4" w:space="0" w:color="auto"/>
                  </w:tcBorders>
                  <w:shd w:val="clear" w:color="auto" w:fill="CCFFCC"/>
                </w:tcPr>
                <w:p w14:paraId="1DE2AF63" w14:textId="77777777">
                  <w:pPr>
                    <w:pStyle w:val="Tabletext"/>
                    <w:keepNext/>
                  </w:pPr>
                </w:p>
              </w:tc>
              <w:tc>
                <w:tcPr>
                  <w:tcW w:w="3119" w:type="dxa"/>
                  <w:gridSpan w:val="2"/>
                  <w:vMerge/>
                  <w:tcBorders>
                    <w:left w:val="single" w:sz="4" w:space="0" w:color="auto"/>
                  </w:tcBorders>
                  <w:shd w:val="clear" w:color="auto" w:fill="CC99FF"/>
                </w:tcPr>
                <w:p w14:paraId="1C6F1C98" w14:textId="77777777">
                  <w:pPr>
                    <w:pStyle w:val="Tabletext"/>
                    <w:keepNext/>
                  </w:pPr>
                </w:p>
              </w:tc>
              <w:tc>
                <w:tcPr>
                  <w:tcW w:w="1418" w:type="dxa"/>
                  <w:shd w:val="clear" w:color="auto" w:fill="FFFF00"/>
                </w:tcPr>
                <w:p w14:paraId="6DA8AC76" w14:textId="77777777">
                  <w:pPr>
                    <w:pStyle w:val="Tabletext"/>
                    <w:keepNext/>
                    <w:jc w:val="center"/>
                    <w:rPr>
                      <w:i/>
                      <w:iCs/>
                      <w:noProof/>
                    </w:rPr>
                  </w:pPr>
                  <w:r>
                    <w:rPr>
                      <w:i/>
                      <w:iCs/>
                      <w:noProof/>
                    </w:rPr>
                    <w:t>… text abc…</w:t>
                  </w:r>
                </w:p>
              </w:tc>
              <w:tc>
                <w:tcPr>
                  <w:tcW w:w="284" w:type="dxa"/>
                  <w:shd w:val="clear" w:color="auto" w:fill="CC99FF"/>
                </w:tcPr>
                <w:p w14:paraId="7AED2260" w14:textId="77777777">
                  <w:pPr>
                    <w:pStyle w:val="Tabletext"/>
                    <w:keepNext/>
                    <w:jc w:val="center"/>
                  </w:pPr>
                </w:p>
              </w:tc>
              <w:tc>
                <w:tcPr>
                  <w:tcW w:w="284" w:type="dxa"/>
                  <w:tcBorders>
                    <w:right w:val="single" w:sz="4" w:space="0" w:color="auto"/>
                  </w:tcBorders>
                  <w:shd w:val="clear" w:color="auto" w:fill="CC99FF"/>
                </w:tcPr>
                <w:p w14:paraId="764CB249" w14:textId="77777777">
                  <w:pPr>
                    <w:pStyle w:val="Tabletext"/>
                    <w:keepNext/>
                  </w:pPr>
                </w:p>
              </w:tc>
              <w:tc>
                <w:tcPr>
                  <w:tcW w:w="284" w:type="dxa"/>
                  <w:tcBorders>
                    <w:left w:val="single" w:sz="4" w:space="0" w:color="auto"/>
                    <w:right w:val="double" w:sz="4" w:space="0" w:color="auto"/>
                  </w:tcBorders>
                  <w:shd w:val="clear" w:color="auto" w:fill="CCFFCC"/>
                </w:tcPr>
                <w:p w14:paraId="77608CA2" w14:textId="77777777">
                  <w:pPr>
                    <w:pStyle w:val="Tabletext"/>
                    <w:keepNext/>
                  </w:pPr>
                </w:p>
              </w:tc>
              <w:tc>
                <w:tcPr>
                  <w:tcW w:w="284" w:type="dxa"/>
                  <w:tcBorders>
                    <w:left w:val="double" w:sz="4" w:space="0" w:color="auto"/>
                    <w:right w:val="double" w:sz="12" w:space="0" w:color="auto"/>
                  </w:tcBorders>
                  <w:shd w:val="clear" w:color="auto" w:fill="92D050"/>
                </w:tcPr>
                <w:p w14:paraId="4E001544" w14:textId="77777777">
                  <w:pPr>
                    <w:pStyle w:val="Tabletext"/>
                    <w:keepNext/>
                  </w:pPr>
                </w:p>
              </w:tc>
            </w:tr>
            <w:tr w14:paraId="5B5B22C5" w14:textId="77777777">
              <w:trPr>
                <w:trHeight w:hRule="exact" w:val="113"/>
                <w:jc w:val="center"/>
              </w:trPr>
              <w:tc>
                <w:tcPr>
                  <w:tcW w:w="284" w:type="dxa"/>
                  <w:tcBorders>
                    <w:left w:val="double" w:sz="12" w:space="0" w:color="auto"/>
                    <w:right w:val="double" w:sz="4" w:space="0" w:color="auto"/>
                  </w:tcBorders>
                  <w:shd w:val="clear" w:color="auto" w:fill="92D050"/>
                </w:tcPr>
                <w:p w14:paraId="58AA2CDA" w14:textId="77777777">
                  <w:pPr>
                    <w:pStyle w:val="Tabletext"/>
                    <w:keepNext/>
                  </w:pPr>
                </w:p>
              </w:tc>
              <w:tc>
                <w:tcPr>
                  <w:tcW w:w="284" w:type="dxa"/>
                  <w:tcBorders>
                    <w:left w:val="double" w:sz="4" w:space="0" w:color="auto"/>
                    <w:right w:val="single" w:sz="4" w:space="0" w:color="auto"/>
                  </w:tcBorders>
                  <w:shd w:val="clear" w:color="auto" w:fill="CCFFCC"/>
                </w:tcPr>
                <w:p w14:paraId="13879F9C" w14:textId="77777777">
                  <w:pPr>
                    <w:pStyle w:val="Tabletext"/>
                    <w:keepNext/>
                  </w:pPr>
                </w:p>
              </w:tc>
              <w:tc>
                <w:tcPr>
                  <w:tcW w:w="3119" w:type="dxa"/>
                  <w:gridSpan w:val="2"/>
                  <w:tcBorders>
                    <w:left w:val="single" w:sz="4" w:space="0" w:color="auto"/>
                    <w:bottom w:val="single" w:sz="4" w:space="0" w:color="auto"/>
                  </w:tcBorders>
                  <w:shd w:val="clear" w:color="auto" w:fill="CC99FF"/>
                </w:tcPr>
                <w:p w14:paraId="5502D32D" w14:textId="77777777">
                  <w:pPr>
                    <w:pStyle w:val="Tabletext"/>
                    <w:keepNext/>
                  </w:pPr>
                </w:p>
              </w:tc>
              <w:tc>
                <w:tcPr>
                  <w:tcW w:w="1418" w:type="dxa"/>
                  <w:tcBorders>
                    <w:bottom w:val="single" w:sz="4" w:space="0" w:color="auto"/>
                  </w:tcBorders>
                  <w:shd w:val="clear" w:color="auto" w:fill="CC99FF"/>
                </w:tcPr>
                <w:p w14:paraId="686C4554" w14:textId="77777777">
                  <w:pPr>
                    <w:pStyle w:val="Tabletext"/>
                    <w:keepNext/>
                    <w:jc w:val="center"/>
                    <w:rPr>
                      <w:i/>
                      <w:iCs/>
                      <w:noProof/>
                    </w:rPr>
                  </w:pPr>
                </w:p>
              </w:tc>
              <w:tc>
                <w:tcPr>
                  <w:tcW w:w="284" w:type="dxa"/>
                  <w:tcBorders>
                    <w:bottom w:val="single" w:sz="4" w:space="0" w:color="auto"/>
                  </w:tcBorders>
                  <w:shd w:val="clear" w:color="auto" w:fill="CC99FF"/>
                </w:tcPr>
                <w:p w14:paraId="1CAC9B82" w14:textId="77777777">
                  <w:pPr>
                    <w:pStyle w:val="Tabletext"/>
                    <w:keepNext/>
                    <w:jc w:val="center"/>
                  </w:pPr>
                </w:p>
              </w:tc>
              <w:tc>
                <w:tcPr>
                  <w:tcW w:w="284" w:type="dxa"/>
                  <w:tcBorders>
                    <w:bottom w:val="single" w:sz="4" w:space="0" w:color="auto"/>
                    <w:right w:val="single" w:sz="4" w:space="0" w:color="auto"/>
                  </w:tcBorders>
                  <w:shd w:val="clear" w:color="auto" w:fill="CC99FF"/>
                </w:tcPr>
                <w:p w14:paraId="24D68499" w14:textId="77777777">
                  <w:pPr>
                    <w:pStyle w:val="Tabletext"/>
                    <w:keepNext/>
                  </w:pPr>
                </w:p>
              </w:tc>
              <w:tc>
                <w:tcPr>
                  <w:tcW w:w="284" w:type="dxa"/>
                  <w:tcBorders>
                    <w:left w:val="single" w:sz="4" w:space="0" w:color="auto"/>
                    <w:right w:val="double" w:sz="4" w:space="0" w:color="auto"/>
                  </w:tcBorders>
                  <w:shd w:val="clear" w:color="auto" w:fill="CCFFCC"/>
                </w:tcPr>
                <w:p w14:paraId="54A9A82A" w14:textId="77777777">
                  <w:pPr>
                    <w:pStyle w:val="Tabletext"/>
                    <w:keepNext/>
                  </w:pPr>
                </w:p>
              </w:tc>
              <w:tc>
                <w:tcPr>
                  <w:tcW w:w="284" w:type="dxa"/>
                  <w:tcBorders>
                    <w:left w:val="double" w:sz="4" w:space="0" w:color="auto"/>
                    <w:right w:val="double" w:sz="12" w:space="0" w:color="auto"/>
                  </w:tcBorders>
                  <w:shd w:val="clear" w:color="auto" w:fill="92D050"/>
                </w:tcPr>
                <w:p w14:paraId="0BA53125" w14:textId="77777777">
                  <w:pPr>
                    <w:pStyle w:val="Tabletext"/>
                    <w:keepNext/>
                  </w:pPr>
                </w:p>
              </w:tc>
            </w:tr>
            <w:tr w14:paraId="57DE4B6C" w14:textId="77777777">
              <w:trPr>
                <w:trHeight w:hRule="exact" w:val="113"/>
                <w:jc w:val="center"/>
              </w:trPr>
              <w:tc>
                <w:tcPr>
                  <w:tcW w:w="284" w:type="dxa"/>
                  <w:tcBorders>
                    <w:left w:val="double" w:sz="12" w:space="0" w:color="auto"/>
                    <w:right w:val="double" w:sz="4" w:space="0" w:color="auto"/>
                  </w:tcBorders>
                  <w:shd w:val="clear" w:color="auto" w:fill="92D050"/>
                </w:tcPr>
                <w:p w14:paraId="5251C099" w14:textId="77777777">
                  <w:pPr>
                    <w:pStyle w:val="Tabletext"/>
                    <w:keepNext/>
                  </w:pPr>
                </w:p>
              </w:tc>
              <w:tc>
                <w:tcPr>
                  <w:tcW w:w="284" w:type="dxa"/>
                  <w:tcBorders>
                    <w:left w:val="double" w:sz="4" w:space="0" w:color="auto"/>
                    <w:right w:val="single" w:sz="4" w:space="0" w:color="auto"/>
                  </w:tcBorders>
                  <w:shd w:val="clear" w:color="auto" w:fill="CCFFCC"/>
                </w:tcPr>
                <w:p w14:paraId="2556900A" w14:textId="77777777">
                  <w:pPr>
                    <w:pStyle w:val="Tabletext"/>
                    <w:keepNext/>
                  </w:pPr>
                </w:p>
              </w:tc>
              <w:tc>
                <w:tcPr>
                  <w:tcW w:w="3119" w:type="dxa"/>
                  <w:gridSpan w:val="2"/>
                  <w:vMerge w:val="restart"/>
                  <w:tcBorders>
                    <w:top w:val="single" w:sz="4" w:space="0" w:color="auto"/>
                    <w:left w:val="single" w:sz="4" w:space="0" w:color="auto"/>
                  </w:tcBorders>
                  <w:shd w:val="clear" w:color="auto" w:fill="FF66CC"/>
                </w:tcPr>
                <w:p w14:paraId="04E09D0A" w14:textId="77777777">
                  <w:pPr>
                    <w:pStyle w:val="Tabletext"/>
                    <w:keepNext/>
                  </w:pPr>
                  <w:r>
                    <w:t>&lt;anonymous block&gt; contains</w:t>
                  </w:r>
                </w:p>
              </w:tc>
              <w:tc>
                <w:tcPr>
                  <w:tcW w:w="1418" w:type="dxa"/>
                  <w:tcBorders>
                    <w:top w:val="single" w:sz="4" w:space="0" w:color="auto"/>
                  </w:tcBorders>
                  <w:shd w:val="clear" w:color="auto" w:fill="FF66CC"/>
                </w:tcPr>
                <w:p w14:paraId="37F52E19" w14:textId="77777777">
                  <w:pPr>
                    <w:pStyle w:val="Tabletext"/>
                    <w:keepNext/>
                    <w:jc w:val="center"/>
                    <w:rPr>
                      <w:i/>
                      <w:iCs/>
                      <w:noProof/>
                    </w:rPr>
                  </w:pPr>
                </w:p>
              </w:tc>
              <w:tc>
                <w:tcPr>
                  <w:tcW w:w="284" w:type="dxa"/>
                  <w:tcBorders>
                    <w:top w:val="single" w:sz="4" w:space="0" w:color="auto"/>
                  </w:tcBorders>
                  <w:shd w:val="clear" w:color="auto" w:fill="FF66CC"/>
                </w:tcPr>
                <w:p w14:paraId="53F64807" w14:textId="77777777">
                  <w:pPr>
                    <w:pStyle w:val="Tabletext"/>
                    <w:keepNext/>
                    <w:jc w:val="center"/>
                  </w:pPr>
                </w:p>
              </w:tc>
              <w:tc>
                <w:tcPr>
                  <w:tcW w:w="284" w:type="dxa"/>
                  <w:tcBorders>
                    <w:top w:val="single" w:sz="4" w:space="0" w:color="auto"/>
                    <w:right w:val="single" w:sz="4" w:space="0" w:color="auto"/>
                  </w:tcBorders>
                  <w:shd w:val="clear" w:color="auto" w:fill="FF66CC"/>
                </w:tcPr>
                <w:p w14:paraId="2A36114E" w14:textId="77777777">
                  <w:pPr>
                    <w:pStyle w:val="Tabletext"/>
                    <w:keepNext/>
                  </w:pPr>
                </w:p>
              </w:tc>
              <w:tc>
                <w:tcPr>
                  <w:tcW w:w="284" w:type="dxa"/>
                  <w:tcBorders>
                    <w:left w:val="single" w:sz="4" w:space="0" w:color="auto"/>
                    <w:right w:val="double" w:sz="4" w:space="0" w:color="auto"/>
                  </w:tcBorders>
                  <w:shd w:val="clear" w:color="auto" w:fill="CCFFCC"/>
                </w:tcPr>
                <w:p w14:paraId="7742B23A" w14:textId="77777777">
                  <w:pPr>
                    <w:pStyle w:val="Tabletext"/>
                    <w:keepNext/>
                  </w:pPr>
                </w:p>
              </w:tc>
              <w:tc>
                <w:tcPr>
                  <w:tcW w:w="284" w:type="dxa"/>
                  <w:tcBorders>
                    <w:left w:val="double" w:sz="4" w:space="0" w:color="auto"/>
                    <w:right w:val="double" w:sz="12" w:space="0" w:color="auto"/>
                  </w:tcBorders>
                  <w:shd w:val="clear" w:color="auto" w:fill="92D050"/>
                </w:tcPr>
                <w:p w14:paraId="54BC538E" w14:textId="77777777">
                  <w:pPr>
                    <w:pStyle w:val="Tabletext"/>
                    <w:keepNext/>
                  </w:pPr>
                </w:p>
              </w:tc>
            </w:tr>
            <w:tr w14:paraId="5E6F5CEA" w14:textId="77777777">
              <w:trPr>
                <w:trHeight w:hRule="exact" w:val="284"/>
                <w:jc w:val="center"/>
              </w:trPr>
              <w:tc>
                <w:tcPr>
                  <w:tcW w:w="284" w:type="dxa"/>
                  <w:tcBorders>
                    <w:left w:val="double" w:sz="12" w:space="0" w:color="auto"/>
                    <w:right w:val="double" w:sz="4" w:space="0" w:color="auto"/>
                  </w:tcBorders>
                  <w:shd w:val="clear" w:color="auto" w:fill="92D050"/>
                </w:tcPr>
                <w:p w14:paraId="06004A1A" w14:textId="77777777">
                  <w:pPr>
                    <w:pStyle w:val="Tabletext"/>
                    <w:keepNext/>
                  </w:pPr>
                </w:p>
              </w:tc>
              <w:tc>
                <w:tcPr>
                  <w:tcW w:w="284" w:type="dxa"/>
                  <w:tcBorders>
                    <w:left w:val="double" w:sz="4" w:space="0" w:color="auto"/>
                    <w:right w:val="single" w:sz="4" w:space="0" w:color="auto"/>
                  </w:tcBorders>
                  <w:shd w:val="clear" w:color="auto" w:fill="CCFFCC"/>
                </w:tcPr>
                <w:p w14:paraId="54276F15" w14:textId="77777777">
                  <w:pPr>
                    <w:pStyle w:val="Tabletext"/>
                    <w:keepNext/>
                  </w:pPr>
                </w:p>
              </w:tc>
              <w:tc>
                <w:tcPr>
                  <w:tcW w:w="3119" w:type="dxa"/>
                  <w:gridSpan w:val="2"/>
                  <w:vMerge/>
                  <w:tcBorders>
                    <w:left w:val="single" w:sz="4" w:space="0" w:color="auto"/>
                  </w:tcBorders>
                  <w:shd w:val="clear" w:color="auto" w:fill="FF66CC"/>
                </w:tcPr>
                <w:p w14:paraId="07DD55D8" w14:textId="77777777">
                  <w:pPr>
                    <w:pStyle w:val="Tabletext"/>
                    <w:keepNext/>
                  </w:pPr>
                </w:p>
              </w:tc>
              <w:tc>
                <w:tcPr>
                  <w:tcW w:w="1418" w:type="dxa"/>
                  <w:shd w:val="clear" w:color="auto" w:fill="FFFF00"/>
                </w:tcPr>
                <w:p w14:paraId="5132F172" w14:textId="77777777">
                  <w:pPr>
                    <w:pStyle w:val="Tabletext"/>
                    <w:keepNext/>
                    <w:jc w:val="center"/>
                    <w:rPr>
                      <w:i/>
                      <w:iCs/>
                      <w:noProof/>
                    </w:rPr>
                  </w:pPr>
                  <w:r>
                    <w:rPr>
                      <w:i/>
                      <w:iCs/>
                      <w:noProof/>
                    </w:rPr>
                    <w:t>… text def…</w:t>
                  </w:r>
                </w:p>
              </w:tc>
              <w:tc>
                <w:tcPr>
                  <w:tcW w:w="284" w:type="dxa"/>
                  <w:shd w:val="clear" w:color="auto" w:fill="FF66CC"/>
                </w:tcPr>
                <w:p w14:paraId="2A65822D" w14:textId="77777777">
                  <w:pPr>
                    <w:pStyle w:val="Tabletext"/>
                    <w:keepNext/>
                    <w:jc w:val="center"/>
                  </w:pPr>
                </w:p>
              </w:tc>
              <w:tc>
                <w:tcPr>
                  <w:tcW w:w="284" w:type="dxa"/>
                  <w:tcBorders>
                    <w:right w:val="single" w:sz="4" w:space="0" w:color="auto"/>
                  </w:tcBorders>
                  <w:shd w:val="clear" w:color="auto" w:fill="FF66CC"/>
                </w:tcPr>
                <w:p w14:paraId="133FB112" w14:textId="77777777">
                  <w:pPr>
                    <w:pStyle w:val="Tabletext"/>
                    <w:keepNext/>
                  </w:pPr>
                </w:p>
              </w:tc>
              <w:tc>
                <w:tcPr>
                  <w:tcW w:w="284" w:type="dxa"/>
                  <w:tcBorders>
                    <w:left w:val="single" w:sz="4" w:space="0" w:color="auto"/>
                    <w:right w:val="double" w:sz="4" w:space="0" w:color="auto"/>
                  </w:tcBorders>
                  <w:shd w:val="clear" w:color="auto" w:fill="CCFFCC"/>
                </w:tcPr>
                <w:p w14:paraId="0D78C646" w14:textId="77777777">
                  <w:pPr>
                    <w:pStyle w:val="Tabletext"/>
                    <w:keepNext/>
                  </w:pPr>
                </w:p>
              </w:tc>
              <w:tc>
                <w:tcPr>
                  <w:tcW w:w="284" w:type="dxa"/>
                  <w:tcBorders>
                    <w:left w:val="double" w:sz="4" w:space="0" w:color="auto"/>
                    <w:right w:val="double" w:sz="12" w:space="0" w:color="auto"/>
                  </w:tcBorders>
                  <w:shd w:val="clear" w:color="auto" w:fill="92D050"/>
                </w:tcPr>
                <w:p w14:paraId="6D5B30E3" w14:textId="77777777">
                  <w:pPr>
                    <w:pStyle w:val="Tabletext"/>
                    <w:keepNext/>
                  </w:pPr>
                </w:p>
              </w:tc>
            </w:tr>
            <w:tr w14:paraId="4E200460" w14:textId="77777777">
              <w:trPr>
                <w:trHeight w:hRule="exact" w:val="113"/>
                <w:jc w:val="center"/>
              </w:trPr>
              <w:tc>
                <w:tcPr>
                  <w:tcW w:w="284" w:type="dxa"/>
                  <w:tcBorders>
                    <w:left w:val="double" w:sz="12" w:space="0" w:color="auto"/>
                    <w:right w:val="double" w:sz="4" w:space="0" w:color="auto"/>
                  </w:tcBorders>
                  <w:shd w:val="clear" w:color="auto" w:fill="92D050"/>
                </w:tcPr>
                <w:p w14:paraId="714C5EF0" w14:textId="77777777">
                  <w:pPr>
                    <w:pStyle w:val="Tabletext"/>
                    <w:keepNext/>
                  </w:pPr>
                </w:p>
              </w:tc>
              <w:tc>
                <w:tcPr>
                  <w:tcW w:w="284" w:type="dxa"/>
                  <w:tcBorders>
                    <w:left w:val="double" w:sz="4" w:space="0" w:color="auto"/>
                    <w:right w:val="single" w:sz="4" w:space="0" w:color="auto"/>
                  </w:tcBorders>
                  <w:shd w:val="clear" w:color="auto" w:fill="CCFFCC"/>
                </w:tcPr>
                <w:p w14:paraId="19E3068A" w14:textId="77777777">
                  <w:pPr>
                    <w:pStyle w:val="Tabletext"/>
                    <w:keepNext/>
                  </w:pPr>
                </w:p>
              </w:tc>
              <w:tc>
                <w:tcPr>
                  <w:tcW w:w="3119" w:type="dxa"/>
                  <w:gridSpan w:val="2"/>
                  <w:tcBorders>
                    <w:left w:val="single" w:sz="4" w:space="0" w:color="auto"/>
                    <w:bottom w:val="single" w:sz="4" w:space="0" w:color="auto"/>
                  </w:tcBorders>
                  <w:shd w:val="clear" w:color="auto" w:fill="FF66CC"/>
                </w:tcPr>
                <w:p w14:paraId="357E9E98" w14:textId="77777777">
                  <w:pPr>
                    <w:pStyle w:val="Tabletext"/>
                    <w:keepNext/>
                  </w:pPr>
                </w:p>
              </w:tc>
              <w:tc>
                <w:tcPr>
                  <w:tcW w:w="1418" w:type="dxa"/>
                  <w:tcBorders>
                    <w:bottom w:val="single" w:sz="4" w:space="0" w:color="auto"/>
                  </w:tcBorders>
                  <w:shd w:val="clear" w:color="auto" w:fill="FF66CC"/>
                </w:tcPr>
                <w:p w14:paraId="55970B7A" w14:textId="77777777">
                  <w:pPr>
                    <w:pStyle w:val="Tabletext"/>
                    <w:keepNext/>
                    <w:jc w:val="center"/>
                    <w:rPr>
                      <w:i/>
                      <w:iCs/>
                      <w:noProof/>
                    </w:rPr>
                  </w:pPr>
                </w:p>
              </w:tc>
              <w:tc>
                <w:tcPr>
                  <w:tcW w:w="284" w:type="dxa"/>
                  <w:tcBorders>
                    <w:bottom w:val="single" w:sz="4" w:space="0" w:color="auto"/>
                  </w:tcBorders>
                  <w:shd w:val="clear" w:color="auto" w:fill="FF66CC"/>
                </w:tcPr>
                <w:p w14:paraId="1EA0347E" w14:textId="77777777">
                  <w:pPr>
                    <w:pStyle w:val="Tabletext"/>
                    <w:keepNext/>
                    <w:jc w:val="center"/>
                  </w:pPr>
                </w:p>
              </w:tc>
              <w:tc>
                <w:tcPr>
                  <w:tcW w:w="284" w:type="dxa"/>
                  <w:tcBorders>
                    <w:bottom w:val="single" w:sz="4" w:space="0" w:color="auto"/>
                    <w:right w:val="single" w:sz="4" w:space="0" w:color="auto"/>
                  </w:tcBorders>
                  <w:shd w:val="clear" w:color="auto" w:fill="FF66CC"/>
                </w:tcPr>
                <w:p w14:paraId="030A9234" w14:textId="77777777">
                  <w:pPr>
                    <w:pStyle w:val="Tabletext"/>
                    <w:keepNext/>
                  </w:pPr>
                </w:p>
              </w:tc>
              <w:tc>
                <w:tcPr>
                  <w:tcW w:w="284" w:type="dxa"/>
                  <w:tcBorders>
                    <w:left w:val="single" w:sz="4" w:space="0" w:color="auto"/>
                    <w:right w:val="double" w:sz="4" w:space="0" w:color="auto"/>
                  </w:tcBorders>
                  <w:shd w:val="clear" w:color="auto" w:fill="CCFFCC"/>
                </w:tcPr>
                <w:p w14:paraId="479792DB" w14:textId="77777777">
                  <w:pPr>
                    <w:pStyle w:val="Tabletext"/>
                    <w:keepNext/>
                  </w:pPr>
                </w:p>
              </w:tc>
              <w:tc>
                <w:tcPr>
                  <w:tcW w:w="284" w:type="dxa"/>
                  <w:tcBorders>
                    <w:left w:val="double" w:sz="4" w:space="0" w:color="auto"/>
                    <w:right w:val="double" w:sz="12" w:space="0" w:color="auto"/>
                  </w:tcBorders>
                  <w:shd w:val="clear" w:color="auto" w:fill="92D050"/>
                </w:tcPr>
                <w:p w14:paraId="1CE9BDB8" w14:textId="77777777">
                  <w:pPr>
                    <w:pStyle w:val="Tabletext"/>
                    <w:keepNext/>
                  </w:pPr>
                </w:p>
              </w:tc>
            </w:tr>
            <w:tr w14:paraId="4FEA3CBA" w14:textId="77777777">
              <w:trPr>
                <w:trHeight w:hRule="exact" w:val="284"/>
                <w:jc w:val="center"/>
              </w:trPr>
              <w:tc>
                <w:tcPr>
                  <w:tcW w:w="284" w:type="dxa"/>
                  <w:tcBorders>
                    <w:left w:val="double" w:sz="12" w:space="0" w:color="auto"/>
                    <w:right w:val="double" w:sz="4" w:space="0" w:color="auto"/>
                  </w:tcBorders>
                  <w:shd w:val="clear" w:color="auto" w:fill="92D050"/>
                </w:tcPr>
                <w:p w14:paraId="3D54AA1F" w14:textId="77777777">
                  <w:pPr>
                    <w:pStyle w:val="Tabletext"/>
                    <w:keepNext/>
                  </w:pPr>
                </w:p>
              </w:tc>
              <w:tc>
                <w:tcPr>
                  <w:tcW w:w="284" w:type="dxa"/>
                  <w:tcBorders>
                    <w:left w:val="double" w:sz="4" w:space="0" w:color="auto"/>
                    <w:right w:val="single" w:sz="4" w:space="0" w:color="auto"/>
                  </w:tcBorders>
                  <w:shd w:val="clear" w:color="auto" w:fill="CCFFCC"/>
                </w:tcPr>
                <w:p w14:paraId="740F3988" w14:textId="77777777">
                  <w:pPr>
                    <w:pStyle w:val="Tabletext"/>
                    <w:keepNext/>
                  </w:pPr>
                </w:p>
              </w:tc>
              <w:tc>
                <w:tcPr>
                  <w:tcW w:w="4821" w:type="dxa"/>
                  <w:gridSpan w:val="4"/>
                  <w:tcBorders>
                    <w:top w:val="single" w:sz="4" w:space="0" w:color="auto"/>
                    <w:left w:val="single" w:sz="4" w:space="0" w:color="auto"/>
                  </w:tcBorders>
                  <w:shd w:val="clear" w:color="auto" w:fill="00B0F0"/>
                </w:tcPr>
                <w:p w14:paraId="071F012F" w14:textId="77777777">
                  <w:pPr>
                    <w:pStyle w:val="Tabletext"/>
                    <w:keepNext/>
                    <w:rPr>
                      <w:noProof/>
                    </w:rPr>
                  </w:pPr>
                  <w:r>
                    <w:rPr>
                      <w:noProof/>
                    </w:rPr>
                    <w:t>&lt;stanza 1&gt; contains</w:t>
                  </w:r>
                </w:p>
              </w:tc>
              <w:tc>
                <w:tcPr>
                  <w:tcW w:w="284" w:type="dxa"/>
                  <w:tcBorders>
                    <w:top w:val="single" w:sz="4" w:space="0" w:color="auto"/>
                    <w:right w:val="single" w:sz="4" w:space="0" w:color="auto"/>
                  </w:tcBorders>
                  <w:shd w:val="clear" w:color="auto" w:fill="00B0F0"/>
                </w:tcPr>
                <w:p w14:paraId="4B7D1568" w14:textId="77777777">
                  <w:pPr>
                    <w:pStyle w:val="Tabletext"/>
                    <w:keepNext/>
                  </w:pPr>
                </w:p>
              </w:tc>
              <w:tc>
                <w:tcPr>
                  <w:tcW w:w="284" w:type="dxa"/>
                  <w:tcBorders>
                    <w:left w:val="single" w:sz="4" w:space="0" w:color="auto"/>
                    <w:right w:val="double" w:sz="4" w:space="0" w:color="auto"/>
                  </w:tcBorders>
                  <w:shd w:val="clear" w:color="auto" w:fill="CCFFCC"/>
                </w:tcPr>
                <w:p w14:paraId="18AB0C80" w14:textId="77777777">
                  <w:pPr>
                    <w:pStyle w:val="Tabletext"/>
                    <w:keepNext/>
                  </w:pPr>
                </w:p>
              </w:tc>
              <w:tc>
                <w:tcPr>
                  <w:tcW w:w="284" w:type="dxa"/>
                  <w:tcBorders>
                    <w:left w:val="double" w:sz="4" w:space="0" w:color="auto"/>
                    <w:right w:val="double" w:sz="12" w:space="0" w:color="auto"/>
                  </w:tcBorders>
                  <w:shd w:val="clear" w:color="auto" w:fill="92D050"/>
                </w:tcPr>
                <w:p w14:paraId="750B5C8B" w14:textId="77777777">
                  <w:pPr>
                    <w:pStyle w:val="Tabletext"/>
                    <w:keepNext/>
                  </w:pPr>
                </w:p>
              </w:tc>
            </w:tr>
            <w:tr w14:paraId="0394A90A" w14:textId="77777777">
              <w:trPr>
                <w:trHeight w:hRule="exact" w:val="113"/>
                <w:jc w:val="center"/>
              </w:trPr>
              <w:tc>
                <w:tcPr>
                  <w:tcW w:w="284" w:type="dxa"/>
                  <w:tcBorders>
                    <w:left w:val="double" w:sz="12" w:space="0" w:color="auto"/>
                    <w:right w:val="double" w:sz="4" w:space="0" w:color="auto"/>
                  </w:tcBorders>
                  <w:shd w:val="clear" w:color="auto" w:fill="92D050"/>
                </w:tcPr>
                <w:p w14:paraId="68288BB4" w14:textId="77777777">
                  <w:pPr>
                    <w:pStyle w:val="Tabletext"/>
                    <w:keepNext/>
                  </w:pPr>
                </w:p>
              </w:tc>
              <w:tc>
                <w:tcPr>
                  <w:tcW w:w="284" w:type="dxa"/>
                  <w:tcBorders>
                    <w:left w:val="double" w:sz="4" w:space="0" w:color="auto"/>
                    <w:right w:val="single" w:sz="4" w:space="0" w:color="auto"/>
                  </w:tcBorders>
                  <w:shd w:val="clear" w:color="auto" w:fill="CCFFCC"/>
                </w:tcPr>
                <w:p w14:paraId="768453F3" w14:textId="77777777">
                  <w:pPr>
                    <w:pStyle w:val="Tabletext"/>
                    <w:keepNext/>
                  </w:pPr>
                </w:p>
              </w:tc>
              <w:tc>
                <w:tcPr>
                  <w:tcW w:w="284" w:type="dxa"/>
                  <w:tcBorders>
                    <w:left w:val="single" w:sz="4" w:space="0" w:color="auto"/>
                    <w:right w:val="single" w:sz="4" w:space="0" w:color="auto"/>
                  </w:tcBorders>
                  <w:shd w:val="clear" w:color="auto" w:fill="00B0F0"/>
                </w:tcPr>
                <w:p w14:paraId="4D959021" w14:textId="77777777">
                  <w:pPr>
                    <w:pStyle w:val="Tabletext"/>
                    <w:keepNext/>
                  </w:pPr>
                </w:p>
              </w:tc>
              <w:tc>
                <w:tcPr>
                  <w:tcW w:w="2835" w:type="dxa"/>
                  <w:vMerge w:val="restart"/>
                  <w:tcBorders>
                    <w:top w:val="single" w:sz="4" w:space="0" w:color="auto"/>
                    <w:left w:val="single" w:sz="4" w:space="0" w:color="auto"/>
                  </w:tcBorders>
                  <w:shd w:val="clear" w:color="auto" w:fill="FF6600"/>
                </w:tcPr>
                <w:p w14:paraId="7DC72FC1" w14:textId="77777777">
                  <w:pPr>
                    <w:pStyle w:val="Tabletext"/>
                    <w:keepNext/>
                  </w:pPr>
                  <w:r>
                    <w:t>&lt;line a&gt; contains</w:t>
                  </w:r>
                </w:p>
              </w:tc>
              <w:tc>
                <w:tcPr>
                  <w:tcW w:w="1418" w:type="dxa"/>
                  <w:tcBorders>
                    <w:top w:val="single" w:sz="4" w:space="0" w:color="auto"/>
                  </w:tcBorders>
                  <w:shd w:val="clear" w:color="auto" w:fill="FF6600"/>
                </w:tcPr>
                <w:p w14:paraId="5D800349" w14:textId="77777777">
                  <w:pPr>
                    <w:pStyle w:val="Tabletext"/>
                    <w:keepNext/>
                    <w:jc w:val="center"/>
                    <w:rPr>
                      <w:i/>
                      <w:iCs/>
                      <w:noProof/>
                    </w:rPr>
                  </w:pPr>
                </w:p>
              </w:tc>
              <w:tc>
                <w:tcPr>
                  <w:tcW w:w="284" w:type="dxa"/>
                  <w:tcBorders>
                    <w:top w:val="single" w:sz="4" w:space="0" w:color="auto"/>
                    <w:right w:val="single" w:sz="4" w:space="0" w:color="auto"/>
                  </w:tcBorders>
                  <w:shd w:val="clear" w:color="auto" w:fill="FF6600"/>
                </w:tcPr>
                <w:p w14:paraId="130AF13F" w14:textId="77777777">
                  <w:pPr>
                    <w:pStyle w:val="Tabletext"/>
                    <w:keepNext/>
                    <w:jc w:val="center"/>
                  </w:pPr>
                </w:p>
              </w:tc>
              <w:tc>
                <w:tcPr>
                  <w:tcW w:w="284" w:type="dxa"/>
                  <w:tcBorders>
                    <w:left w:val="single" w:sz="4" w:space="0" w:color="auto"/>
                    <w:right w:val="single" w:sz="4" w:space="0" w:color="auto"/>
                  </w:tcBorders>
                  <w:shd w:val="clear" w:color="auto" w:fill="00B0F0"/>
                </w:tcPr>
                <w:p w14:paraId="25D5BCAE" w14:textId="77777777">
                  <w:pPr>
                    <w:pStyle w:val="Tabletext"/>
                    <w:keepNext/>
                  </w:pPr>
                </w:p>
              </w:tc>
              <w:tc>
                <w:tcPr>
                  <w:tcW w:w="284" w:type="dxa"/>
                  <w:tcBorders>
                    <w:left w:val="single" w:sz="4" w:space="0" w:color="auto"/>
                    <w:right w:val="double" w:sz="4" w:space="0" w:color="auto"/>
                  </w:tcBorders>
                  <w:shd w:val="clear" w:color="auto" w:fill="CCFFCC"/>
                </w:tcPr>
                <w:p w14:paraId="13B41AEF" w14:textId="77777777">
                  <w:pPr>
                    <w:pStyle w:val="Tabletext"/>
                    <w:keepNext/>
                  </w:pPr>
                </w:p>
              </w:tc>
              <w:tc>
                <w:tcPr>
                  <w:tcW w:w="284" w:type="dxa"/>
                  <w:tcBorders>
                    <w:left w:val="double" w:sz="4" w:space="0" w:color="auto"/>
                    <w:right w:val="double" w:sz="12" w:space="0" w:color="auto"/>
                  </w:tcBorders>
                  <w:shd w:val="clear" w:color="auto" w:fill="92D050"/>
                </w:tcPr>
                <w:p w14:paraId="7F79ED61" w14:textId="77777777">
                  <w:pPr>
                    <w:pStyle w:val="Tabletext"/>
                    <w:keepNext/>
                  </w:pPr>
                </w:p>
              </w:tc>
            </w:tr>
            <w:tr w14:paraId="5884ED1F" w14:textId="77777777">
              <w:trPr>
                <w:trHeight w:hRule="exact" w:val="284"/>
                <w:jc w:val="center"/>
              </w:trPr>
              <w:tc>
                <w:tcPr>
                  <w:tcW w:w="284" w:type="dxa"/>
                  <w:tcBorders>
                    <w:left w:val="double" w:sz="12" w:space="0" w:color="auto"/>
                    <w:right w:val="double" w:sz="4" w:space="0" w:color="auto"/>
                  </w:tcBorders>
                  <w:shd w:val="clear" w:color="auto" w:fill="92D050"/>
                </w:tcPr>
                <w:p w14:paraId="79258F6A" w14:textId="77777777">
                  <w:pPr>
                    <w:pStyle w:val="Tabletext"/>
                    <w:keepNext/>
                  </w:pPr>
                </w:p>
              </w:tc>
              <w:tc>
                <w:tcPr>
                  <w:tcW w:w="284" w:type="dxa"/>
                  <w:tcBorders>
                    <w:left w:val="double" w:sz="4" w:space="0" w:color="auto"/>
                    <w:right w:val="single" w:sz="4" w:space="0" w:color="auto"/>
                  </w:tcBorders>
                  <w:shd w:val="clear" w:color="auto" w:fill="CCFFCC"/>
                </w:tcPr>
                <w:p w14:paraId="30FBCAD9" w14:textId="77777777">
                  <w:pPr>
                    <w:pStyle w:val="Tabletext"/>
                    <w:keepNext/>
                  </w:pPr>
                </w:p>
              </w:tc>
              <w:tc>
                <w:tcPr>
                  <w:tcW w:w="284" w:type="dxa"/>
                  <w:tcBorders>
                    <w:left w:val="single" w:sz="4" w:space="0" w:color="auto"/>
                    <w:right w:val="single" w:sz="4" w:space="0" w:color="auto"/>
                  </w:tcBorders>
                  <w:shd w:val="clear" w:color="auto" w:fill="00B0F0"/>
                </w:tcPr>
                <w:p w14:paraId="46A1ABB1" w14:textId="77777777">
                  <w:pPr>
                    <w:pStyle w:val="Tabletext"/>
                    <w:keepNext/>
                  </w:pPr>
                </w:p>
              </w:tc>
              <w:tc>
                <w:tcPr>
                  <w:tcW w:w="2835" w:type="dxa"/>
                  <w:vMerge/>
                  <w:tcBorders>
                    <w:left w:val="single" w:sz="4" w:space="0" w:color="auto"/>
                  </w:tcBorders>
                  <w:shd w:val="clear" w:color="auto" w:fill="FF6600"/>
                </w:tcPr>
                <w:p w14:paraId="43447C5E" w14:textId="77777777">
                  <w:pPr>
                    <w:pStyle w:val="Tabletext"/>
                    <w:keepNext/>
                  </w:pPr>
                </w:p>
              </w:tc>
              <w:tc>
                <w:tcPr>
                  <w:tcW w:w="1418" w:type="dxa"/>
                  <w:shd w:val="clear" w:color="auto" w:fill="FFFF00"/>
                </w:tcPr>
                <w:p w14:paraId="3563FE89" w14:textId="77777777">
                  <w:pPr>
                    <w:pStyle w:val="Tabletext"/>
                    <w:keepNext/>
                    <w:jc w:val="center"/>
                    <w:rPr>
                      <w:i/>
                      <w:iCs/>
                      <w:noProof/>
                    </w:rPr>
                  </w:pPr>
                  <w:r>
                    <w:rPr>
                      <w:i/>
                      <w:iCs/>
                      <w:noProof/>
                    </w:rPr>
                    <w:t>… text ghi…</w:t>
                  </w:r>
                </w:p>
              </w:tc>
              <w:tc>
                <w:tcPr>
                  <w:tcW w:w="284" w:type="dxa"/>
                  <w:tcBorders>
                    <w:right w:val="single" w:sz="4" w:space="0" w:color="auto"/>
                  </w:tcBorders>
                  <w:shd w:val="clear" w:color="auto" w:fill="FF6600"/>
                </w:tcPr>
                <w:p w14:paraId="5828A62F" w14:textId="77777777">
                  <w:pPr>
                    <w:pStyle w:val="Tabletext"/>
                    <w:keepNext/>
                    <w:jc w:val="center"/>
                  </w:pPr>
                </w:p>
              </w:tc>
              <w:tc>
                <w:tcPr>
                  <w:tcW w:w="284" w:type="dxa"/>
                  <w:tcBorders>
                    <w:left w:val="single" w:sz="4" w:space="0" w:color="auto"/>
                    <w:right w:val="single" w:sz="4" w:space="0" w:color="auto"/>
                  </w:tcBorders>
                  <w:shd w:val="clear" w:color="auto" w:fill="00B0F0"/>
                </w:tcPr>
                <w:p w14:paraId="2A7C3FCD" w14:textId="77777777">
                  <w:pPr>
                    <w:pStyle w:val="Tabletext"/>
                    <w:keepNext/>
                  </w:pPr>
                </w:p>
              </w:tc>
              <w:tc>
                <w:tcPr>
                  <w:tcW w:w="284" w:type="dxa"/>
                  <w:tcBorders>
                    <w:left w:val="single" w:sz="4" w:space="0" w:color="auto"/>
                    <w:right w:val="double" w:sz="4" w:space="0" w:color="auto"/>
                  </w:tcBorders>
                  <w:shd w:val="clear" w:color="auto" w:fill="CCFFCC"/>
                </w:tcPr>
                <w:p w14:paraId="7BA8766F" w14:textId="77777777">
                  <w:pPr>
                    <w:pStyle w:val="Tabletext"/>
                    <w:keepNext/>
                  </w:pPr>
                </w:p>
              </w:tc>
              <w:tc>
                <w:tcPr>
                  <w:tcW w:w="284" w:type="dxa"/>
                  <w:tcBorders>
                    <w:left w:val="double" w:sz="4" w:space="0" w:color="auto"/>
                    <w:right w:val="double" w:sz="12" w:space="0" w:color="auto"/>
                  </w:tcBorders>
                  <w:shd w:val="clear" w:color="auto" w:fill="92D050"/>
                </w:tcPr>
                <w:p w14:paraId="08D46DCC" w14:textId="77777777">
                  <w:pPr>
                    <w:pStyle w:val="Tabletext"/>
                    <w:keepNext/>
                  </w:pPr>
                </w:p>
              </w:tc>
            </w:tr>
            <w:tr w14:paraId="2888D8A1" w14:textId="77777777">
              <w:trPr>
                <w:trHeight w:hRule="exact" w:val="113"/>
                <w:jc w:val="center"/>
              </w:trPr>
              <w:tc>
                <w:tcPr>
                  <w:tcW w:w="284" w:type="dxa"/>
                  <w:tcBorders>
                    <w:left w:val="double" w:sz="12" w:space="0" w:color="auto"/>
                    <w:right w:val="double" w:sz="4" w:space="0" w:color="auto"/>
                  </w:tcBorders>
                  <w:shd w:val="clear" w:color="auto" w:fill="92D050"/>
                </w:tcPr>
                <w:p w14:paraId="7E899912" w14:textId="77777777">
                  <w:pPr>
                    <w:pStyle w:val="Tabletext"/>
                    <w:keepNext/>
                  </w:pPr>
                </w:p>
              </w:tc>
              <w:tc>
                <w:tcPr>
                  <w:tcW w:w="284" w:type="dxa"/>
                  <w:tcBorders>
                    <w:left w:val="double" w:sz="4" w:space="0" w:color="auto"/>
                    <w:right w:val="single" w:sz="4" w:space="0" w:color="auto"/>
                  </w:tcBorders>
                  <w:shd w:val="clear" w:color="auto" w:fill="CCFFCC"/>
                </w:tcPr>
                <w:p w14:paraId="7FC24D6F" w14:textId="77777777">
                  <w:pPr>
                    <w:pStyle w:val="Tabletext"/>
                    <w:keepNext/>
                  </w:pPr>
                </w:p>
              </w:tc>
              <w:tc>
                <w:tcPr>
                  <w:tcW w:w="284" w:type="dxa"/>
                  <w:tcBorders>
                    <w:left w:val="single" w:sz="4" w:space="0" w:color="auto"/>
                    <w:right w:val="single" w:sz="4" w:space="0" w:color="auto"/>
                  </w:tcBorders>
                  <w:shd w:val="clear" w:color="auto" w:fill="00B0F0"/>
                </w:tcPr>
                <w:p w14:paraId="5C218BF1" w14:textId="77777777">
                  <w:pPr>
                    <w:pStyle w:val="Tabletext"/>
                    <w:keepNext/>
                  </w:pPr>
                </w:p>
              </w:tc>
              <w:tc>
                <w:tcPr>
                  <w:tcW w:w="2835" w:type="dxa"/>
                  <w:tcBorders>
                    <w:left w:val="single" w:sz="4" w:space="0" w:color="auto"/>
                    <w:bottom w:val="dashed" w:sz="4" w:space="0" w:color="auto"/>
                  </w:tcBorders>
                  <w:shd w:val="clear" w:color="auto" w:fill="FF6600"/>
                </w:tcPr>
                <w:p w14:paraId="0E0276B1" w14:textId="77777777">
                  <w:pPr>
                    <w:pStyle w:val="Tabletext"/>
                    <w:keepNext/>
                  </w:pPr>
                </w:p>
              </w:tc>
              <w:tc>
                <w:tcPr>
                  <w:tcW w:w="1418" w:type="dxa"/>
                  <w:tcBorders>
                    <w:bottom w:val="dashed" w:sz="4" w:space="0" w:color="auto"/>
                  </w:tcBorders>
                  <w:shd w:val="clear" w:color="auto" w:fill="FF6600"/>
                </w:tcPr>
                <w:p w14:paraId="0F902B7C" w14:textId="77777777">
                  <w:pPr>
                    <w:pStyle w:val="Tabletext"/>
                    <w:keepNext/>
                    <w:jc w:val="center"/>
                    <w:rPr>
                      <w:i/>
                      <w:iCs/>
                      <w:noProof/>
                    </w:rPr>
                  </w:pPr>
                </w:p>
              </w:tc>
              <w:tc>
                <w:tcPr>
                  <w:tcW w:w="284" w:type="dxa"/>
                  <w:tcBorders>
                    <w:bottom w:val="dashed" w:sz="4" w:space="0" w:color="auto"/>
                    <w:right w:val="single" w:sz="4" w:space="0" w:color="auto"/>
                  </w:tcBorders>
                  <w:shd w:val="clear" w:color="auto" w:fill="FF6600"/>
                </w:tcPr>
                <w:p w14:paraId="28E0FCF4" w14:textId="77777777">
                  <w:pPr>
                    <w:pStyle w:val="Tabletext"/>
                    <w:keepNext/>
                    <w:jc w:val="center"/>
                  </w:pPr>
                </w:p>
              </w:tc>
              <w:tc>
                <w:tcPr>
                  <w:tcW w:w="284" w:type="dxa"/>
                  <w:tcBorders>
                    <w:left w:val="single" w:sz="4" w:space="0" w:color="auto"/>
                    <w:right w:val="single" w:sz="4" w:space="0" w:color="auto"/>
                  </w:tcBorders>
                  <w:shd w:val="clear" w:color="auto" w:fill="00B0F0"/>
                </w:tcPr>
                <w:p w14:paraId="5A54EC5D" w14:textId="77777777">
                  <w:pPr>
                    <w:pStyle w:val="Tabletext"/>
                    <w:keepNext/>
                  </w:pPr>
                </w:p>
              </w:tc>
              <w:tc>
                <w:tcPr>
                  <w:tcW w:w="284" w:type="dxa"/>
                  <w:tcBorders>
                    <w:left w:val="single" w:sz="4" w:space="0" w:color="auto"/>
                    <w:right w:val="double" w:sz="4" w:space="0" w:color="auto"/>
                  </w:tcBorders>
                  <w:shd w:val="clear" w:color="auto" w:fill="CCFFCC"/>
                </w:tcPr>
                <w:p w14:paraId="06FC8FD1" w14:textId="77777777">
                  <w:pPr>
                    <w:pStyle w:val="Tabletext"/>
                    <w:keepNext/>
                  </w:pPr>
                </w:p>
              </w:tc>
              <w:tc>
                <w:tcPr>
                  <w:tcW w:w="284" w:type="dxa"/>
                  <w:tcBorders>
                    <w:left w:val="double" w:sz="4" w:space="0" w:color="auto"/>
                    <w:right w:val="double" w:sz="12" w:space="0" w:color="auto"/>
                  </w:tcBorders>
                  <w:shd w:val="clear" w:color="auto" w:fill="92D050"/>
                </w:tcPr>
                <w:p w14:paraId="22260B36" w14:textId="77777777">
                  <w:pPr>
                    <w:pStyle w:val="Tabletext"/>
                    <w:keepNext/>
                  </w:pPr>
                </w:p>
              </w:tc>
            </w:tr>
            <w:tr w14:paraId="25E5EA2F" w14:textId="77777777">
              <w:trPr>
                <w:trHeight w:hRule="exact" w:val="113"/>
                <w:jc w:val="center"/>
              </w:trPr>
              <w:tc>
                <w:tcPr>
                  <w:tcW w:w="284" w:type="dxa"/>
                  <w:tcBorders>
                    <w:left w:val="double" w:sz="12" w:space="0" w:color="auto"/>
                    <w:right w:val="double" w:sz="4" w:space="0" w:color="auto"/>
                  </w:tcBorders>
                  <w:shd w:val="clear" w:color="auto" w:fill="92D050"/>
                </w:tcPr>
                <w:p w14:paraId="24EB734E" w14:textId="77777777">
                  <w:pPr>
                    <w:pStyle w:val="Tabletext"/>
                    <w:keepNext/>
                  </w:pPr>
                </w:p>
              </w:tc>
              <w:tc>
                <w:tcPr>
                  <w:tcW w:w="284" w:type="dxa"/>
                  <w:tcBorders>
                    <w:left w:val="double" w:sz="4" w:space="0" w:color="auto"/>
                    <w:right w:val="single" w:sz="4" w:space="0" w:color="auto"/>
                  </w:tcBorders>
                  <w:shd w:val="clear" w:color="auto" w:fill="CCFFCC"/>
                </w:tcPr>
                <w:p w14:paraId="77B33081" w14:textId="77777777">
                  <w:pPr>
                    <w:pStyle w:val="Tabletext"/>
                    <w:keepNext/>
                  </w:pPr>
                </w:p>
              </w:tc>
              <w:tc>
                <w:tcPr>
                  <w:tcW w:w="284" w:type="dxa"/>
                  <w:tcBorders>
                    <w:left w:val="single" w:sz="4" w:space="0" w:color="auto"/>
                    <w:right w:val="single" w:sz="4" w:space="0" w:color="auto"/>
                  </w:tcBorders>
                  <w:shd w:val="clear" w:color="auto" w:fill="00B0F0"/>
                </w:tcPr>
                <w:p w14:paraId="3058B568" w14:textId="77777777">
                  <w:pPr>
                    <w:pStyle w:val="Tabletext"/>
                    <w:keepNext/>
                  </w:pPr>
                </w:p>
              </w:tc>
              <w:tc>
                <w:tcPr>
                  <w:tcW w:w="2835" w:type="dxa"/>
                  <w:vMerge w:val="restart"/>
                  <w:tcBorders>
                    <w:top w:val="dashed" w:sz="4" w:space="0" w:color="auto"/>
                    <w:left w:val="single" w:sz="4" w:space="0" w:color="auto"/>
                  </w:tcBorders>
                  <w:shd w:val="clear" w:color="auto" w:fill="FF6600"/>
                </w:tcPr>
                <w:p w14:paraId="56342A07" w14:textId="77777777">
                  <w:pPr>
                    <w:pStyle w:val="Tabletext"/>
                    <w:keepNext/>
                  </w:pPr>
                  <w:r>
                    <w:t>&lt;line b&gt; contains</w:t>
                  </w:r>
                </w:p>
              </w:tc>
              <w:tc>
                <w:tcPr>
                  <w:tcW w:w="1418" w:type="dxa"/>
                  <w:tcBorders>
                    <w:top w:val="dashed" w:sz="4" w:space="0" w:color="auto"/>
                  </w:tcBorders>
                  <w:shd w:val="clear" w:color="auto" w:fill="FF6600"/>
                </w:tcPr>
                <w:p w14:paraId="2A3D20D1" w14:textId="77777777">
                  <w:pPr>
                    <w:pStyle w:val="Tabletext"/>
                    <w:keepNext/>
                    <w:jc w:val="center"/>
                    <w:rPr>
                      <w:i/>
                      <w:iCs/>
                      <w:noProof/>
                    </w:rPr>
                  </w:pPr>
                </w:p>
              </w:tc>
              <w:tc>
                <w:tcPr>
                  <w:tcW w:w="284" w:type="dxa"/>
                  <w:tcBorders>
                    <w:top w:val="dashed" w:sz="4" w:space="0" w:color="auto"/>
                    <w:right w:val="single" w:sz="4" w:space="0" w:color="auto"/>
                  </w:tcBorders>
                  <w:shd w:val="clear" w:color="auto" w:fill="FF6600"/>
                </w:tcPr>
                <w:p w14:paraId="0620B657" w14:textId="77777777">
                  <w:pPr>
                    <w:pStyle w:val="Tabletext"/>
                    <w:keepNext/>
                    <w:jc w:val="center"/>
                  </w:pPr>
                </w:p>
              </w:tc>
              <w:tc>
                <w:tcPr>
                  <w:tcW w:w="284" w:type="dxa"/>
                  <w:tcBorders>
                    <w:left w:val="single" w:sz="4" w:space="0" w:color="auto"/>
                    <w:right w:val="single" w:sz="4" w:space="0" w:color="auto"/>
                  </w:tcBorders>
                  <w:shd w:val="clear" w:color="auto" w:fill="00B0F0"/>
                </w:tcPr>
                <w:p w14:paraId="2FFFD4DD" w14:textId="77777777">
                  <w:pPr>
                    <w:pStyle w:val="Tabletext"/>
                    <w:keepNext/>
                  </w:pPr>
                </w:p>
              </w:tc>
              <w:tc>
                <w:tcPr>
                  <w:tcW w:w="284" w:type="dxa"/>
                  <w:tcBorders>
                    <w:left w:val="single" w:sz="4" w:space="0" w:color="auto"/>
                    <w:right w:val="double" w:sz="4" w:space="0" w:color="auto"/>
                  </w:tcBorders>
                  <w:shd w:val="clear" w:color="auto" w:fill="CCFFCC"/>
                </w:tcPr>
                <w:p w14:paraId="0495F10A" w14:textId="77777777">
                  <w:pPr>
                    <w:pStyle w:val="Tabletext"/>
                    <w:keepNext/>
                  </w:pPr>
                </w:p>
              </w:tc>
              <w:tc>
                <w:tcPr>
                  <w:tcW w:w="284" w:type="dxa"/>
                  <w:tcBorders>
                    <w:left w:val="double" w:sz="4" w:space="0" w:color="auto"/>
                    <w:right w:val="double" w:sz="12" w:space="0" w:color="auto"/>
                  </w:tcBorders>
                  <w:shd w:val="clear" w:color="auto" w:fill="92D050"/>
                </w:tcPr>
                <w:p w14:paraId="074CBC71" w14:textId="77777777">
                  <w:pPr>
                    <w:pStyle w:val="Tabletext"/>
                    <w:keepNext/>
                  </w:pPr>
                </w:p>
              </w:tc>
            </w:tr>
            <w:tr w14:paraId="3BE4B0E1" w14:textId="77777777">
              <w:trPr>
                <w:trHeight w:hRule="exact" w:val="284"/>
                <w:jc w:val="center"/>
              </w:trPr>
              <w:tc>
                <w:tcPr>
                  <w:tcW w:w="284" w:type="dxa"/>
                  <w:tcBorders>
                    <w:left w:val="double" w:sz="12" w:space="0" w:color="auto"/>
                    <w:right w:val="double" w:sz="4" w:space="0" w:color="auto"/>
                  </w:tcBorders>
                  <w:shd w:val="clear" w:color="auto" w:fill="92D050"/>
                </w:tcPr>
                <w:p w14:paraId="0055CA38" w14:textId="77777777">
                  <w:pPr>
                    <w:pStyle w:val="Tabletext"/>
                    <w:keepNext/>
                  </w:pPr>
                </w:p>
              </w:tc>
              <w:tc>
                <w:tcPr>
                  <w:tcW w:w="284" w:type="dxa"/>
                  <w:tcBorders>
                    <w:left w:val="double" w:sz="4" w:space="0" w:color="auto"/>
                    <w:right w:val="single" w:sz="4" w:space="0" w:color="auto"/>
                  </w:tcBorders>
                  <w:shd w:val="clear" w:color="auto" w:fill="CCFFCC"/>
                </w:tcPr>
                <w:p w14:paraId="763B8235" w14:textId="77777777">
                  <w:pPr>
                    <w:pStyle w:val="Tabletext"/>
                    <w:keepNext/>
                  </w:pPr>
                </w:p>
              </w:tc>
              <w:tc>
                <w:tcPr>
                  <w:tcW w:w="284" w:type="dxa"/>
                  <w:tcBorders>
                    <w:left w:val="single" w:sz="4" w:space="0" w:color="auto"/>
                    <w:right w:val="single" w:sz="4" w:space="0" w:color="auto"/>
                  </w:tcBorders>
                  <w:shd w:val="clear" w:color="auto" w:fill="00B0F0"/>
                </w:tcPr>
                <w:p w14:paraId="63FF307A" w14:textId="77777777">
                  <w:pPr>
                    <w:pStyle w:val="Tabletext"/>
                    <w:keepNext/>
                  </w:pPr>
                </w:p>
              </w:tc>
              <w:tc>
                <w:tcPr>
                  <w:tcW w:w="2835" w:type="dxa"/>
                  <w:vMerge/>
                  <w:tcBorders>
                    <w:left w:val="single" w:sz="4" w:space="0" w:color="auto"/>
                  </w:tcBorders>
                  <w:shd w:val="clear" w:color="auto" w:fill="FF6600"/>
                </w:tcPr>
                <w:p w14:paraId="4FF39EE6" w14:textId="77777777">
                  <w:pPr>
                    <w:pStyle w:val="Tabletext"/>
                    <w:keepNext/>
                  </w:pPr>
                </w:p>
              </w:tc>
              <w:tc>
                <w:tcPr>
                  <w:tcW w:w="1418" w:type="dxa"/>
                  <w:shd w:val="clear" w:color="auto" w:fill="FFFF00"/>
                </w:tcPr>
                <w:p w14:paraId="5023AA95" w14:textId="77777777">
                  <w:pPr>
                    <w:pStyle w:val="Tabletext"/>
                    <w:keepNext/>
                    <w:jc w:val="center"/>
                    <w:rPr>
                      <w:i/>
                      <w:iCs/>
                      <w:noProof/>
                    </w:rPr>
                  </w:pPr>
                  <w:r>
                    <w:rPr>
                      <w:i/>
                      <w:iCs/>
                      <w:noProof/>
                    </w:rPr>
                    <w:t>… text jkl…</w:t>
                  </w:r>
                </w:p>
              </w:tc>
              <w:tc>
                <w:tcPr>
                  <w:tcW w:w="284" w:type="dxa"/>
                  <w:tcBorders>
                    <w:right w:val="single" w:sz="4" w:space="0" w:color="auto"/>
                  </w:tcBorders>
                  <w:shd w:val="clear" w:color="auto" w:fill="FF6600"/>
                </w:tcPr>
                <w:p w14:paraId="0353E57B" w14:textId="77777777">
                  <w:pPr>
                    <w:pStyle w:val="Tabletext"/>
                    <w:keepNext/>
                    <w:jc w:val="center"/>
                  </w:pPr>
                </w:p>
              </w:tc>
              <w:tc>
                <w:tcPr>
                  <w:tcW w:w="284" w:type="dxa"/>
                  <w:tcBorders>
                    <w:left w:val="single" w:sz="4" w:space="0" w:color="auto"/>
                    <w:right w:val="single" w:sz="4" w:space="0" w:color="auto"/>
                  </w:tcBorders>
                  <w:shd w:val="clear" w:color="auto" w:fill="00B0F0"/>
                </w:tcPr>
                <w:p w14:paraId="449760DF" w14:textId="77777777">
                  <w:pPr>
                    <w:pStyle w:val="Tabletext"/>
                    <w:keepNext/>
                  </w:pPr>
                </w:p>
              </w:tc>
              <w:tc>
                <w:tcPr>
                  <w:tcW w:w="284" w:type="dxa"/>
                  <w:tcBorders>
                    <w:left w:val="single" w:sz="4" w:space="0" w:color="auto"/>
                    <w:right w:val="double" w:sz="4" w:space="0" w:color="auto"/>
                  </w:tcBorders>
                  <w:shd w:val="clear" w:color="auto" w:fill="CCFFCC"/>
                </w:tcPr>
                <w:p w14:paraId="7E6C25E6" w14:textId="77777777">
                  <w:pPr>
                    <w:pStyle w:val="Tabletext"/>
                    <w:keepNext/>
                  </w:pPr>
                </w:p>
              </w:tc>
              <w:tc>
                <w:tcPr>
                  <w:tcW w:w="284" w:type="dxa"/>
                  <w:tcBorders>
                    <w:left w:val="double" w:sz="4" w:space="0" w:color="auto"/>
                    <w:right w:val="double" w:sz="12" w:space="0" w:color="auto"/>
                  </w:tcBorders>
                  <w:shd w:val="clear" w:color="auto" w:fill="92D050"/>
                </w:tcPr>
                <w:p w14:paraId="15F6E610" w14:textId="77777777">
                  <w:pPr>
                    <w:pStyle w:val="Tabletext"/>
                    <w:keepNext/>
                  </w:pPr>
                </w:p>
              </w:tc>
            </w:tr>
            <w:tr w14:paraId="4F1FF72D" w14:textId="77777777">
              <w:trPr>
                <w:trHeight w:hRule="exact" w:val="113"/>
                <w:jc w:val="center"/>
              </w:trPr>
              <w:tc>
                <w:tcPr>
                  <w:tcW w:w="284" w:type="dxa"/>
                  <w:tcBorders>
                    <w:left w:val="double" w:sz="12" w:space="0" w:color="auto"/>
                    <w:right w:val="double" w:sz="4" w:space="0" w:color="auto"/>
                  </w:tcBorders>
                  <w:shd w:val="clear" w:color="auto" w:fill="92D050"/>
                </w:tcPr>
                <w:p w14:paraId="4F628300" w14:textId="77777777">
                  <w:pPr>
                    <w:pStyle w:val="Tabletext"/>
                    <w:keepNext/>
                  </w:pPr>
                </w:p>
              </w:tc>
              <w:tc>
                <w:tcPr>
                  <w:tcW w:w="284" w:type="dxa"/>
                  <w:tcBorders>
                    <w:left w:val="double" w:sz="4" w:space="0" w:color="auto"/>
                    <w:right w:val="single" w:sz="4" w:space="0" w:color="auto"/>
                  </w:tcBorders>
                  <w:shd w:val="clear" w:color="auto" w:fill="CCFFCC"/>
                </w:tcPr>
                <w:p w14:paraId="114879FC" w14:textId="77777777">
                  <w:pPr>
                    <w:pStyle w:val="Tabletext"/>
                    <w:keepNext/>
                  </w:pPr>
                </w:p>
              </w:tc>
              <w:tc>
                <w:tcPr>
                  <w:tcW w:w="284" w:type="dxa"/>
                  <w:tcBorders>
                    <w:left w:val="single" w:sz="4" w:space="0" w:color="auto"/>
                    <w:right w:val="single" w:sz="4" w:space="0" w:color="auto"/>
                  </w:tcBorders>
                  <w:shd w:val="clear" w:color="auto" w:fill="00B0F0"/>
                </w:tcPr>
                <w:p w14:paraId="247C6A00" w14:textId="77777777">
                  <w:pPr>
                    <w:pStyle w:val="Tabletext"/>
                    <w:keepNext/>
                  </w:pPr>
                </w:p>
              </w:tc>
              <w:tc>
                <w:tcPr>
                  <w:tcW w:w="2835" w:type="dxa"/>
                  <w:tcBorders>
                    <w:left w:val="single" w:sz="4" w:space="0" w:color="auto"/>
                    <w:bottom w:val="dashed" w:sz="4" w:space="0" w:color="auto"/>
                  </w:tcBorders>
                  <w:shd w:val="clear" w:color="auto" w:fill="FF6600"/>
                </w:tcPr>
                <w:p w14:paraId="53FB5758" w14:textId="77777777">
                  <w:pPr>
                    <w:pStyle w:val="Tabletext"/>
                    <w:keepNext/>
                  </w:pPr>
                </w:p>
              </w:tc>
              <w:tc>
                <w:tcPr>
                  <w:tcW w:w="1418" w:type="dxa"/>
                  <w:tcBorders>
                    <w:bottom w:val="dashed" w:sz="4" w:space="0" w:color="auto"/>
                  </w:tcBorders>
                  <w:shd w:val="clear" w:color="auto" w:fill="FF6600"/>
                </w:tcPr>
                <w:p w14:paraId="6C52A089" w14:textId="77777777">
                  <w:pPr>
                    <w:pStyle w:val="Tabletext"/>
                    <w:keepNext/>
                    <w:jc w:val="center"/>
                    <w:rPr>
                      <w:i/>
                      <w:iCs/>
                      <w:noProof/>
                    </w:rPr>
                  </w:pPr>
                </w:p>
              </w:tc>
              <w:tc>
                <w:tcPr>
                  <w:tcW w:w="284" w:type="dxa"/>
                  <w:tcBorders>
                    <w:bottom w:val="dashed" w:sz="4" w:space="0" w:color="auto"/>
                    <w:right w:val="single" w:sz="4" w:space="0" w:color="auto"/>
                  </w:tcBorders>
                  <w:shd w:val="clear" w:color="auto" w:fill="FF6600"/>
                </w:tcPr>
                <w:p w14:paraId="38E5923E" w14:textId="77777777">
                  <w:pPr>
                    <w:pStyle w:val="Tabletext"/>
                    <w:keepNext/>
                    <w:jc w:val="center"/>
                  </w:pPr>
                </w:p>
              </w:tc>
              <w:tc>
                <w:tcPr>
                  <w:tcW w:w="284" w:type="dxa"/>
                  <w:tcBorders>
                    <w:left w:val="single" w:sz="4" w:space="0" w:color="auto"/>
                    <w:right w:val="single" w:sz="4" w:space="0" w:color="auto"/>
                  </w:tcBorders>
                  <w:shd w:val="clear" w:color="auto" w:fill="00B0F0"/>
                </w:tcPr>
                <w:p w14:paraId="5A2832B5" w14:textId="77777777">
                  <w:pPr>
                    <w:pStyle w:val="Tabletext"/>
                    <w:keepNext/>
                  </w:pPr>
                </w:p>
              </w:tc>
              <w:tc>
                <w:tcPr>
                  <w:tcW w:w="284" w:type="dxa"/>
                  <w:tcBorders>
                    <w:left w:val="single" w:sz="4" w:space="0" w:color="auto"/>
                    <w:right w:val="double" w:sz="4" w:space="0" w:color="auto"/>
                  </w:tcBorders>
                  <w:shd w:val="clear" w:color="auto" w:fill="CCFFCC"/>
                </w:tcPr>
                <w:p w14:paraId="532E2FF5" w14:textId="77777777">
                  <w:pPr>
                    <w:pStyle w:val="Tabletext"/>
                    <w:keepNext/>
                  </w:pPr>
                </w:p>
              </w:tc>
              <w:tc>
                <w:tcPr>
                  <w:tcW w:w="284" w:type="dxa"/>
                  <w:tcBorders>
                    <w:left w:val="double" w:sz="4" w:space="0" w:color="auto"/>
                    <w:right w:val="double" w:sz="12" w:space="0" w:color="auto"/>
                  </w:tcBorders>
                  <w:shd w:val="clear" w:color="auto" w:fill="92D050"/>
                </w:tcPr>
                <w:p w14:paraId="2DF29A8E" w14:textId="77777777">
                  <w:pPr>
                    <w:pStyle w:val="Tabletext"/>
                    <w:keepNext/>
                  </w:pPr>
                </w:p>
              </w:tc>
            </w:tr>
            <w:tr w14:paraId="7C55A63A" w14:textId="77777777">
              <w:trPr>
                <w:trHeight w:hRule="exact" w:val="113"/>
                <w:jc w:val="center"/>
              </w:trPr>
              <w:tc>
                <w:tcPr>
                  <w:tcW w:w="284" w:type="dxa"/>
                  <w:tcBorders>
                    <w:left w:val="double" w:sz="12" w:space="0" w:color="auto"/>
                    <w:right w:val="double" w:sz="4" w:space="0" w:color="auto"/>
                  </w:tcBorders>
                  <w:shd w:val="clear" w:color="auto" w:fill="92D050"/>
                </w:tcPr>
                <w:p w14:paraId="185A5F07" w14:textId="77777777">
                  <w:pPr>
                    <w:pStyle w:val="Tabletext"/>
                    <w:keepNext/>
                  </w:pPr>
                </w:p>
              </w:tc>
              <w:tc>
                <w:tcPr>
                  <w:tcW w:w="284" w:type="dxa"/>
                  <w:tcBorders>
                    <w:left w:val="double" w:sz="4" w:space="0" w:color="auto"/>
                    <w:right w:val="single" w:sz="4" w:space="0" w:color="auto"/>
                  </w:tcBorders>
                  <w:shd w:val="clear" w:color="auto" w:fill="CCFFCC"/>
                </w:tcPr>
                <w:p w14:paraId="5DFC55AD" w14:textId="77777777">
                  <w:pPr>
                    <w:pStyle w:val="Tabletext"/>
                    <w:keepNext/>
                  </w:pPr>
                </w:p>
              </w:tc>
              <w:tc>
                <w:tcPr>
                  <w:tcW w:w="284" w:type="dxa"/>
                  <w:tcBorders>
                    <w:left w:val="single" w:sz="4" w:space="0" w:color="auto"/>
                    <w:right w:val="single" w:sz="4" w:space="0" w:color="auto"/>
                  </w:tcBorders>
                  <w:shd w:val="clear" w:color="auto" w:fill="00B0F0"/>
                </w:tcPr>
                <w:p w14:paraId="346FA84A" w14:textId="77777777">
                  <w:pPr>
                    <w:pStyle w:val="Tabletext"/>
                    <w:keepNext/>
                  </w:pPr>
                </w:p>
              </w:tc>
              <w:tc>
                <w:tcPr>
                  <w:tcW w:w="2835" w:type="dxa"/>
                  <w:vMerge w:val="restart"/>
                  <w:tcBorders>
                    <w:top w:val="dashed" w:sz="4" w:space="0" w:color="auto"/>
                    <w:left w:val="single" w:sz="4" w:space="0" w:color="auto"/>
                  </w:tcBorders>
                  <w:shd w:val="clear" w:color="auto" w:fill="FF6600"/>
                </w:tcPr>
                <w:p w14:paraId="3A97DB93" w14:textId="77777777">
                  <w:pPr>
                    <w:pStyle w:val="Tabletext"/>
                    <w:keepNext/>
                  </w:pPr>
                  <w:r>
                    <w:t>&lt;line c&gt; contains</w:t>
                  </w:r>
                </w:p>
              </w:tc>
              <w:tc>
                <w:tcPr>
                  <w:tcW w:w="1418" w:type="dxa"/>
                  <w:tcBorders>
                    <w:top w:val="dashed" w:sz="4" w:space="0" w:color="auto"/>
                  </w:tcBorders>
                  <w:shd w:val="clear" w:color="auto" w:fill="FF6600"/>
                </w:tcPr>
                <w:p w14:paraId="6ECF752F" w14:textId="77777777">
                  <w:pPr>
                    <w:pStyle w:val="Tabletext"/>
                    <w:keepNext/>
                    <w:jc w:val="center"/>
                    <w:rPr>
                      <w:i/>
                      <w:iCs/>
                      <w:noProof/>
                    </w:rPr>
                  </w:pPr>
                </w:p>
              </w:tc>
              <w:tc>
                <w:tcPr>
                  <w:tcW w:w="284" w:type="dxa"/>
                  <w:tcBorders>
                    <w:top w:val="dashed" w:sz="4" w:space="0" w:color="auto"/>
                    <w:right w:val="single" w:sz="4" w:space="0" w:color="auto"/>
                  </w:tcBorders>
                  <w:shd w:val="clear" w:color="auto" w:fill="FF6600"/>
                </w:tcPr>
                <w:p w14:paraId="27CF83A9" w14:textId="77777777">
                  <w:pPr>
                    <w:pStyle w:val="Tabletext"/>
                    <w:keepNext/>
                    <w:jc w:val="center"/>
                  </w:pPr>
                </w:p>
              </w:tc>
              <w:tc>
                <w:tcPr>
                  <w:tcW w:w="284" w:type="dxa"/>
                  <w:tcBorders>
                    <w:left w:val="single" w:sz="4" w:space="0" w:color="auto"/>
                    <w:right w:val="single" w:sz="4" w:space="0" w:color="auto"/>
                  </w:tcBorders>
                  <w:shd w:val="clear" w:color="auto" w:fill="00B0F0"/>
                </w:tcPr>
                <w:p w14:paraId="5EFAC056" w14:textId="77777777">
                  <w:pPr>
                    <w:pStyle w:val="Tabletext"/>
                    <w:keepNext/>
                  </w:pPr>
                </w:p>
              </w:tc>
              <w:tc>
                <w:tcPr>
                  <w:tcW w:w="284" w:type="dxa"/>
                  <w:tcBorders>
                    <w:left w:val="single" w:sz="4" w:space="0" w:color="auto"/>
                    <w:right w:val="double" w:sz="4" w:space="0" w:color="auto"/>
                  </w:tcBorders>
                  <w:shd w:val="clear" w:color="auto" w:fill="CCFFCC"/>
                </w:tcPr>
                <w:p w14:paraId="54B18A31" w14:textId="77777777">
                  <w:pPr>
                    <w:pStyle w:val="Tabletext"/>
                    <w:keepNext/>
                  </w:pPr>
                </w:p>
              </w:tc>
              <w:tc>
                <w:tcPr>
                  <w:tcW w:w="284" w:type="dxa"/>
                  <w:tcBorders>
                    <w:left w:val="double" w:sz="4" w:space="0" w:color="auto"/>
                    <w:right w:val="double" w:sz="12" w:space="0" w:color="auto"/>
                  </w:tcBorders>
                  <w:shd w:val="clear" w:color="auto" w:fill="92D050"/>
                </w:tcPr>
                <w:p w14:paraId="3A0F69AB" w14:textId="77777777">
                  <w:pPr>
                    <w:pStyle w:val="Tabletext"/>
                    <w:keepNext/>
                  </w:pPr>
                </w:p>
              </w:tc>
            </w:tr>
            <w:tr w14:paraId="3306891B" w14:textId="77777777">
              <w:trPr>
                <w:trHeight w:hRule="exact" w:val="284"/>
                <w:jc w:val="center"/>
              </w:trPr>
              <w:tc>
                <w:tcPr>
                  <w:tcW w:w="284" w:type="dxa"/>
                  <w:tcBorders>
                    <w:left w:val="double" w:sz="12" w:space="0" w:color="auto"/>
                    <w:right w:val="double" w:sz="4" w:space="0" w:color="auto"/>
                  </w:tcBorders>
                  <w:shd w:val="clear" w:color="auto" w:fill="92D050"/>
                </w:tcPr>
                <w:p w14:paraId="7CD6E87E" w14:textId="77777777">
                  <w:pPr>
                    <w:pStyle w:val="Tabletext"/>
                    <w:keepNext/>
                  </w:pPr>
                </w:p>
              </w:tc>
              <w:tc>
                <w:tcPr>
                  <w:tcW w:w="284" w:type="dxa"/>
                  <w:tcBorders>
                    <w:left w:val="double" w:sz="4" w:space="0" w:color="auto"/>
                    <w:right w:val="single" w:sz="4" w:space="0" w:color="auto"/>
                  </w:tcBorders>
                  <w:shd w:val="clear" w:color="auto" w:fill="CCFFCC"/>
                </w:tcPr>
                <w:p w14:paraId="5BA2197D" w14:textId="77777777">
                  <w:pPr>
                    <w:pStyle w:val="Tabletext"/>
                    <w:keepNext/>
                  </w:pPr>
                </w:p>
              </w:tc>
              <w:tc>
                <w:tcPr>
                  <w:tcW w:w="284" w:type="dxa"/>
                  <w:tcBorders>
                    <w:left w:val="single" w:sz="4" w:space="0" w:color="auto"/>
                    <w:right w:val="single" w:sz="4" w:space="0" w:color="auto"/>
                  </w:tcBorders>
                  <w:shd w:val="clear" w:color="auto" w:fill="00B0F0"/>
                </w:tcPr>
                <w:p w14:paraId="74B8CA04" w14:textId="77777777">
                  <w:pPr>
                    <w:pStyle w:val="Tabletext"/>
                    <w:keepNext/>
                  </w:pPr>
                </w:p>
              </w:tc>
              <w:tc>
                <w:tcPr>
                  <w:tcW w:w="2835" w:type="dxa"/>
                  <w:vMerge/>
                  <w:tcBorders>
                    <w:left w:val="single" w:sz="4" w:space="0" w:color="auto"/>
                  </w:tcBorders>
                  <w:shd w:val="clear" w:color="auto" w:fill="FF6600"/>
                </w:tcPr>
                <w:p w14:paraId="702AF416" w14:textId="77777777">
                  <w:pPr>
                    <w:pStyle w:val="Tabletext"/>
                    <w:keepNext/>
                  </w:pPr>
                </w:p>
              </w:tc>
              <w:tc>
                <w:tcPr>
                  <w:tcW w:w="1418" w:type="dxa"/>
                  <w:shd w:val="clear" w:color="auto" w:fill="FFFF00"/>
                </w:tcPr>
                <w:p w14:paraId="3AE2DAEA" w14:textId="77777777">
                  <w:pPr>
                    <w:pStyle w:val="Tabletext"/>
                    <w:keepNext/>
                    <w:jc w:val="center"/>
                    <w:rPr>
                      <w:i/>
                      <w:iCs/>
                      <w:noProof/>
                    </w:rPr>
                  </w:pPr>
                  <w:r>
                    <w:rPr>
                      <w:i/>
                      <w:iCs/>
                      <w:noProof/>
                    </w:rPr>
                    <w:t>… text mno…</w:t>
                  </w:r>
                </w:p>
              </w:tc>
              <w:tc>
                <w:tcPr>
                  <w:tcW w:w="284" w:type="dxa"/>
                  <w:tcBorders>
                    <w:right w:val="single" w:sz="4" w:space="0" w:color="auto"/>
                  </w:tcBorders>
                  <w:shd w:val="clear" w:color="auto" w:fill="FF6600"/>
                </w:tcPr>
                <w:p w14:paraId="2BF524A4" w14:textId="77777777">
                  <w:pPr>
                    <w:pStyle w:val="Tabletext"/>
                    <w:keepNext/>
                    <w:jc w:val="center"/>
                  </w:pPr>
                </w:p>
              </w:tc>
              <w:tc>
                <w:tcPr>
                  <w:tcW w:w="284" w:type="dxa"/>
                  <w:tcBorders>
                    <w:left w:val="single" w:sz="4" w:space="0" w:color="auto"/>
                    <w:right w:val="single" w:sz="4" w:space="0" w:color="auto"/>
                  </w:tcBorders>
                  <w:shd w:val="clear" w:color="auto" w:fill="00B0F0"/>
                </w:tcPr>
                <w:p w14:paraId="768B750D" w14:textId="77777777">
                  <w:pPr>
                    <w:pStyle w:val="Tabletext"/>
                    <w:keepNext/>
                  </w:pPr>
                </w:p>
              </w:tc>
              <w:tc>
                <w:tcPr>
                  <w:tcW w:w="284" w:type="dxa"/>
                  <w:tcBorders>
                    <w:left w:val="single" w:sz="4" w:space="0" w:color="auto"/>
                    <w:right w:val="double" w:sz="4" w:space="0" w:color="auto"/>
                  </w:tcBorders>
                  <w:shd w:val="clear" w:color="auto" w:fill="CCFFCC"/>
                </w:tcPr>
                <w:p w14:paraId="5F166CE1" w14:textId="77777777">
                  <w:pPr>
                    <w:pStyle w:val="Tabletext"/>
                    <w:keepNext/>
                  </w:pPr>
                </w:p>
              </w:tc>
              <w:tc>
                <w:tcPr>
                  <w:tcW w:w="284" w:type="dxa"/>
                  <w:tcBorders>
                    <w:left w:val="double" w:sz="4" w:space="0" w:color="auto"/>
                    <w:right w:val="double" w:sz="12" w:space="0" w:color="auto"/>
                  </w:tcBorders>
                  <w:shd w:val="clear" w:color="auto" w:fill="92D050"/>
                </w:tcPr>
                <w:p w14:paraId="7A5BE8FF" w14:textId="77777777">
                  <w:pPr>
                    <w:pStyle w:val="Tabletext"/>
                    <w:keepNext/>
                  </w:pPr>
                </w:p>
              </w:tc>
            </w:tr>
            <w:tr w14:paraId="766EA844" w14:textId="77777777">
              <w:trPr>
                <w:trHeight w:hRule="exact" w:val="113"/>
                <w:jc w:val="center"/>
              </w:trPr>
              <w:tc>
                <w:tcPr>
                  <w:tcW w:w="284" w:type="dxa"/>
                  <w:tcBorders>
                    <w:left w:val="double" w:sz="12" w:space="0" w:color="auto"/>
                    <w:right w:val="double" w:sz="4" w:space="0" w:color="auto"/>
                  </w:tcBorders>
                  <w:shd w:val="clear" w:color="auto" w:fill="92D050"/>
                </w:tcPr>
                <w:p w14:paraId="1CC69E10" w14:textId="77777777">
                  <w:pPr>
                    <w:pStyle w:val="Tabletext"/>
                    <w:keepNext/>
                  </w:pPr>
                </w:p>
              </w:tc>
              <w:tc>
                <w:tcPr>
                  <w:tcW w:w="284" w:type="dxa"/>
                  <w:tcBorders>
                    <w:left w:val="double" w:sz="4" w:space="0" w:color="auto"/>
                    <w:right w:val="single" w:sz="4" w:space="0" w:color="auto"/>
                  </w:tcBorders>
                  <w:shd w:val="clear" w:color="auto" w:fill="CCFFCC"/>
                </w:tcPr>
                <w:p w14:paraId="0AAA89B5" w14:textId="77777777">
                  <w:pPr>
                    <w:pStyle w:val="Tabletext"/>
                    <w:keepNext/>
                  </w:pPr>
                </w:p>
              </w:tc>
              <w:tc>
                <w:tcPr>
                  <w:tcW w:w="284" w:type="dxa"/>
                  <w:tcBorders>
                    <w:left w:val="single" w:sz="4" w:space="0" w:color="auto"/>
                    <w:right w:val="single" w:sz="4" w:space="0" w:color="auto"/>
                  </w:tcBorders>
                  <w:shd w:val="clear" w:color="auto" w:fill="00B0F0"/>
                </w:tcPr>
                <w:p w14:paraId="4B719994" w14:textId="77777777">
                  <w:pPr>
                    <w:pStyle w:val="Tabletext"/>
                    <w:keepNext/>
                  </w:pPr>
                </w:p>
              </w:tc>
              <w:tc>
                <w:tcPr>
                  <w:tcW w:w="2835" w:type="dxa"/>
                  <w:tcBorders>
                    <w:left w:val="single" w:sz="4" w:space="0" w:color="auto"/>
                    <w:bottom w:val="dashed" w:sz="4" w:space="0" w:color="auto"/>
                  </w:tcBorders>
                  <w:shd w:val="clear" w:color="auto" w:fill="FF6600"/>
                </w:tcPr>
                <w:p w14:paraId="601D9EC7" w14:textId="77777777">
                  <w:pPr>
                    <w:pStyle w:val="Tabletext"/>
                    <w:keepNext/>
                  </w:pPr>
                </w:p>
              </w:tc>
              <w:tc>
                <w:tcPr>
                  <w:tcW w:w="1418" w:type="dxa"/>
                  <w:tcBorders>
                    <w:bottom w:val="dashed" w:sz="4" w:space="0" w:color="auto"/>
                  </w:tcBorders>
                  <w:shd w:val="clear" w:color="auto" w:fill="FF6600"/>
                </w:tcPr>
                <w:p w14:paraId="6B61143A" w14:textId="77777777">
                  <w:pPr>
                    <w:pStyle w:val="Tabletext"/>
                    <w:keepNext/>
                    <w:jc w:val="center"/>
                    <w:rPr>
                      <w:i/>
                      <w:iCs/>
                      <w:noProof/>
                    </w:rPr>
                  </w:pPr>
                </w:p>
              </w:tc>
              <w:tc>
                <w:tcPr>
                  <w:tcW w:w="284" w:type="dxa"/>
                  <w:tcBorders>
                    <w:bottom w:val="dashed" w:sz="4" w:space="0" w:color="auto"/>
                    <w:right w:val="single" w:sz="4" w:space="0" w:color="auto"/>
                  </w:tcBorders>
                  <w:shd w:val="clear" w:color="auto" w:fill="FF6600"/>
                </w:tcPr>
                <w:p w14:paraId="0651F068" w14:textId="77777777">
                  <w:pPr>
                    <w:pStyle w:val="Tabletext"/>
                    <w:keepNext/>
                    <w:jc w:val="center"/>
                  </w:pPr>
                </w:p>
              </w:tc>
              <w:tc>
                <w:tcPr>
                  <w:tcW w:w="284" w:type="dxa"/>
                  <w:tcBorders>
                    <w:left w:val="single" w:sz="4" w:space="0" w:color="auto"/>
                    <w:right w:val="single" w:sz="4" w:space="0" w:color="auto"/>
                  </w:tcBorders>
                  <w:shd w:val="clear" w:color="auto" w:fill="00B0F0"/>
                </w:tcPr>
                <w:p w14:paraId="108078A9" w14:textId="77777777">
                  <w:pPr>
                    <w:pStyle w:val="Tabletext"/>
                    <w:keepNext/>
                  </w:pPr>
                </w:p>
              </w:tc>
              <w:tc>
                <w:tcPr>
                  <w:tcW w:w="284" w:type="dxa"/>
                  <w:tcBorders>
                    <w:left w:val="single" w:sz="4" w:space="0" w:color="auto"/>
                    <w:right w:val="double" w:sz="4" w:space="0" w:color="auto"/>
                  </w:tcBorders>
                  <w:shd w:val="clear" w:color="auto" w:fill="CCFFCC"/>
                </w:tcPr>
                <w:p w14:paraId="2BA1ABAF" w14:textId="77777777">
                  <w:pPr>
                    <w:pStyle w:val="Tabletext"/>
                    <w:keepNext/>
                  </w:pPr>
                </w:p>
              </w:tc>
              <w:tc>
                <w:tcPr>
                  <w:tcW w:w="284" w:type="dxa"/>
                  <w:tcBorders>
                    <w:left w:val="double" w:sz="4" w:space="0" w:color="auto"/>
                    <w:right w:val="double" w:sz="12" w:space="0" w:color="auto"/>
                  </w:tcBorders>
                  <w:shd w:val="clear" w:color="auto" w:fill="92D050"/>
                </w:tcPr>
                <w:p w14:paraId="74442C91" w14:textId="77777777">
                  <w:pPr>
                    <w:pStyle w:val="Tabletext"/>
                    <w:keepNext/>
                  </w:pPr>
                </w:p>
              </w:tc>
            </w:tr>
            <w:tr w14:paraId="307BF9B9" w14:textId="77777777">
              <w:trPr>
                <w:trHeight w:hRule="exact" w:val="113"/>
                <w:jc w:val="center"/>
              </w:trPr>
              <w:tc>
                <w:tcPr>
                  <w:tcW w:w="284" w:type="dxa"/>
                  <w:tcBorders>
                    <w:left w:val="double" w:sz="12" w:space="0" w:color="auto"/>
                    <w:right w:val="double" w:sz="4" w:space="0" w:color="auto"/>
                  </w:tcBorders>
                  <w:shd w:val="clear" w:color="auto" w:fill="92D050"/>
                </w:tcPr>
                <w:p w14:paraId="0E3A20A2" w14:textId="77777777">
                  <w:pPr>
                    <w:pStyle w:val="Tabletext"/>
                    <w:keepNext/>
                  </w:pPr>
                </w:p>
              </w:tc>
              <w:tc>
                <w:tcPr>
                  <w:tcW w:w="284" w:type="dxa"/>
                  <w:tcBorders>
                    <w:left w:val="double" w:sz="4" w:space="0" w:color="auto"/>
                    <w:right w:val="single" w:sz="4" w:space="0" w:color="auto"/>
                  </w:tcBorders>
                  <w:shd w:val="clear" w:color="auto" w:fill="CCFFCC"/>
                </w:tcPr>
                <w:p w14:paraId="670297ED" w14:textId="77777777">
                  <w:pPr>
                    <w:pStyle w:val="Tabletext"/>
                    <w:keepNext/>
                  </w:pPr>
                </w:p>
              </w:tc>
              <w:tc>
                <w:tcPr>
                  <w:tcW w:w="284" w:type="dxa"/>
                  <w:tcBorders>
                    <w:left w:val="single" w:sz="4" w:space="0" w:color="auto"/>
                    <w:right w:val="single" w:sz="4" w:space="0" w:color="auto"/>
                  </w:tcBorders>
                  <w:shd w:val="clear" w:color="auto" w:fill="00B0F0"/>
                </w:tcPr>
                <w:p w14:paraId="698B5E53" w14:textId="77777777">
                  <w:pPr>
                    <w:pStyle w:val="Tabletext"/>
                    <w:keepNext/>
                  </w:pPr>
                </w:p>
              </w:tc>
              <w:tc>
                <w:tcPr>
                  <w:tcW w:w="2835" w:type="dxa"/>
                  <w:vMerge w:val="restart"/>
                  <w:tcBorders>
                    <w:top w:val="dashed" w:sz="4" w:space="0" w:color="auto"/>
                    <w:left w:val="single" w:sz="4" w:space="0" w:color="auto"/>
                  </w:tcBorders>
                  <w:shd w:val="clear" w:color="auto" w:fill="FF6600"/>
                </w:tcPr>
                <w:p w14:paraId="22AE8054" w14:textId="77777777">
                  <w:pPr>
                    <w:pStyle w:val="Tabletext"/>
                    <w:keepNext/>
                  </w:pPr>
                  <w:r>
                    <w:t>&lt;line d&gt; contains</w:t>
                  </w:r>
                </w:p>
              </w:tc>
              <w:tc>
                <w:tcPr>
                  <w:tcW w:w="1418" w:type="dxa"/>
                  <w:tcBorders>
                    <w:top w:val="dashed" w:sz="4" w:space="0" w:color="auto"/>
                  </w:tcBorders>
                  <w:shd w:val="clear" w:color="auto" w:fill="FF6600"/>
                </w:tcPr>
                <w:p w14:paraId="1B7DD8C1" w14:textId="77777777">
                  <w:pPr>
                    <w:pStyle w:val="Tabletext"/>
                    <w:keepNext/>
                    <w:jc w:val="center"/>
                    <w:rPr>
                      <w:i/>
                      <w:iCs/>
                      <w:noProof/>
                    </w:rPr>
                  </w:pPr>
                </w:p>
              </w:tc>
              <w:tc>
                <w:tcPr>
                  <w:tcW w:w="284" w:type="dxa"/>
                  <w:tcBorders>
                    <w:top w:val="dashed" w:sz="4" w:space="0" w:color="auto"/>
                    <w:right w:val="single" w:sz="4" w:space="0" w:color="auto"/>
                  </w:tcBorders>
                  <w:shd w:val="clear" w:color="auto" w:fill="FF6600"/>
                </w:tcPr>
                <w:p w14:paraId="45F12D78" w14:textId="77777777">
                  <w:pPr>
                    <w:pStyle w:val="Tabletext"/>
                    <w:keepNext/>
                    <w:jc w:val="center"/>
                  </w:pPr>
                </w:p>
              </w:tc>
              <w:tc>
                <w:tcPr>
                  <w:tcW w:w="284" w:type="dxa"/>
                  <w:tcBorders>
                    <w:left w:val="single" w:sz="4" w:space="0" w:color="auto"/>
                    <w:right w:val="single" w:sz="4" w:space="0" w:color="auto"/>
                  </w:tcBorders>
                  <w:shd w:val="clear" w:color="auto" w:fill="00B0F0"/>
                </w:tcPr>
                <w:p w14:paraId="506A27C3" w14:textId="77777777">
                  <w:pPr>
                    <w:pStyle w:val="Tabletext"/>
                    <w:keepNext/>
                  </w:pPr>
                </w:p>
              </w:tc>
              <w:tc>
                <w:tcPr>
                  <w:tcW w:w="284" w:type="dxa"/>
                  <w:tcBorders>
                    <w:left w:val="single" w:sz="4" w:space="0" w:color="auto"/>
                    <w:right w:val="double" w:sz="4" w:space="0" w:color="auto"/>
                  </w:tcBorders>
                  <w:shd w:val="clear" w:color="auto" w:fill="CCFFCC"/>
                </w:tcPr>
                <w:p w14:paraId="13845582" w14:textId="77777777">
                  <w:pPr>
                    <w:pStyle w:val="Tabletext"/>
                    <w:keepNext/>
                  </w:pPr>
                </w:p>
              </w:tc>
              <w:tc>
                <w:tcPr>
                  <w:tcW w:w="284" w:type="dxa"/>
                  <w:tcBorders>
                    <w:left w:val="double" w:sz="4" w:space="0" w:color="auto"/>
                    <w:right w:val="double" w:sz="12" w:space="0" w:color="auto"/>
                  </w:tcBorders>
                  <w:shd w:val="clear" w:color="auto" w:fill="92D050"/>
                </w:tcPr>
                <w:p w14:paraId="56D124C2" w14:textId="77777777">
                  <w:pPr>
                    <w:pStyle w:val="Tabletext"/>
                    <w:keepNext/>
                  </w:pPr>
                </w:p>
              </w:tc>
            </w:tr>
            <w:tr w14:paraId="11409665" w14:textId="77777777">
              <w:trPr>
                <w:trHeight w:hRule="exact" w:val="284"/>
                <w:jc w:val="center"/>
              </w:trPr>
              <w:tc>
                <w:tcPr>
                  <w:tcW w:w="284" w:type="dxa"/>
                  <w:tcBorders>
                    <w:left w:val="double" w:sz="12" w:space="0" w:color="auto"/>
                    <w:right w:val="double" w:sz="4" w:space="0" w:color="auto"/>
                  </w:tcBorders>
                  <w:shd w:val="clear" w:color="auto" w:fill="92D050"/>
                </w:tcPr>
                <w:p w14:paraId="1F28007B" w14:textId="77777777">
                  <w:pPr>
                    <w:pStyle w:val="Tabletext"/>
                    <w:keepNext/>
                  </w:pPr>
                </w:p>
              </w:tc>
              <w:tc>
                <w:tcPr>
                  <w:tcW w:w="284" w:type="dxa"/>
                  <w:tcBorders>
                    <w:left w:val="double" w:sz="4" w:space="0" w:color="auto"/>
                    <w:right w:val="single" w:sz="4" w:space="0" w:color="auto"/>
                  </w:tcBorders>
                  <w:shd w:val="clear" w:color="auto" w:fill="CCFFCC"/>
                </w:tcPr>
                <w:p w14:paraId="5CA73317" w14:textId="77777777">
                  <w:pPr>
                    <w:pStyle w:val="Tabletext"/>
                    <w:keepNext/>
                  </w:pPr>
                </w:p>
              </w:tc>
              <w:tc>
                <w:tcPr>
                  <w:tcW w:w="284" w:type="dxa"/>
                  <w:tcBorders>
                    <w:left w:val="single" w:sz="4" w:space="0" w:color="auto"/>
                    <w:right w:val="single" w:sz="4" w:space="0" w:color="auto"/>
                  </w:tcBorders>
                  <w:shd w:val="clear" w:color="auto" w:fill="00B0F0"/>
                </w:tcPr>
                <w:p w14:paraId="155FF357" w14:textId="77777777">
                  <w:pPr>
                    <w:pStyle w:val="Tabletext"/>
                    <w:keepNext/>
                  </w:pPr>
                </w:p>
              </w:tc>
              <w:tc>
                <w:tcPr>
                  <w:tcW w:w="2835" w:type="dxa"/>
                  <w:vMerge/>
                  <w:tcBorders>
                    <w:left w:val="single" w:sz="4" w:space="0" w:color="auto"/>
                  </w:tcBorders>
                  <w:shd w:val="clear" w:color="auto" w:fill="FF6600"/>
                </w:tcPr>
                <w:p w14:paraId="1D071F5C" w14:textId="77777777">
                  <w:pPr>
                    <w:pStyle w:val="Tabletext"/>
                    <w:keepNext/>
                  </w:pPr>
                </w:p>
              </w:tc>
              <w:tc>
                <w:tcPr>
                  <w:tcW w:w="1418" w:type="dxa"/>
                  <w:shd w:val="clear" w:color="auto" w:fill="FFFF00"/>
                </w:tcPr>
                <w:p w14:paraId="354ABC3A" w14:textId="77777777">
                  <w:pPr>
                    <w:pStyle w:val="Tabletext"/>
                    <w:keepNext/>
                    <w:jc w:val="center"/>
                    <w:rPr>
                      <w:i/>
                      <w:iCs/>
                      <w:noProof/>
                    </w:rPr>
                  </w:pPr>
                  <w:r>
                    <w:rPr>
                      <w:i/>
                      <w:iCs/>
                      <w:noProof/>
                    </w:rPr>
                    <w:t>… text pqr…</w:t>
                  </w:r>
                </w:p>
              </w:tc>
              <w:tc>
                <w:tcPr>
                  <w:tcW w:w="284" w:type="dxa"/>
                  <w:tcBorders>
                    <w:right w:val="single" w:sz="4" w:space="0" w:color="auto"/>
                  </w:tcBorders>
                  <w:shd w:val="clear" w:color="auto" w:fill="FF6600"/>
                </w:tcPr>
                <w:p w14:paraId="0F23D291" w14:textId="77777777">
                  <w:pPr>
                    <w:pStyle w:val="Tabletext"/>
                    <w:keepNext/>
                    <w:jc w:val="center"/>
                  </w:pPr>
                </w:p>
              </w:tc>
              <w:tc>
                <w:tcPr>
                  <w:tcW w:w="284" w:type="dxa"/>
                  <w:tcBorders>
                    <w:left w:val="single" w:sz="4" w:space="0" w:color="auto"/>
                    <w:right w:val="single" w:sz="4" w:space="0" w:color="auto"/>
                  </w:tcBorders>
                  <w:shd w:val="clear" w:color="auto" w:fill="00B0F0"/>
                </w:tcPr>
                <w:p w14:paraId="6C51C1D1" w14:textId="77777777">
                  <w:pPr>
                    <w:pStyle w:val="Tabletext"/>
                    <w:keepNext/>
                  </w:pPr>
                </w:p>
              </w:tc>
              <w:tc>
                <w:tcPr>
                  <w:tcW w:w="284" w:type="dxa"/>
                  <w:tcBorders>
                    <w:left w:val="single" w:sz="4" w:space="0" w:color="auto"/>
                    <w:right w:val="double" w:sz="4" w:space="0" w:color="auto"/>
                  </w:tcBorders>
                  <w:shd w:val="clear" w:color="auto" w:fill="CCFFCC"/>
                </w:tcPr>
                <w:p w14:paraId="17855129" w14:textId="77777777">
                  <w:pPr>
                    <w:pStyle w:val="Tabletext"/>
                    <w:keepNext/>
                  </w:pPr>
                </w:p>
              </w:tc>
              <w:tc>
                <w:tcPr>
                  <w:tcW w:w="284" w:type="dxa"/>
                  <w:tcBorders>
                    <w:left w:val="double" w:sz="4" w:space="0" w:color="auto"/>
                    <w:right w:val="double" w:sz="12" w:space="0" w:color="auto"/>
                  </w:tcBorders>
                  <w:shd w:val="clear" w:color="auto" w:fill="92D050"/>
                </w:tcPr>
                <w:p w14:paraId="70874A76" w14:textId="77777777">
                  <w:pPr>
                    <w:pStyle w:val="Tabletext"/>
                    <w:keepNext/>
                  </w:pPr>
                </w:p>
              </w:tc>
            </w:tr>
            <w:tr w14:paraId="779D4331" w14:textId="77777777">
              <w:trPr>
                <w:trHeight w:hRule="exact" w:val="113"/>
                <w:jc w:val="center"/>
              </w:trPr>
              <w:tc>
                <w:tcPr>
                  <w:tcW w:w="284" w:type="dxa"/>
                  <w:tcBorders>
                    <w:left w:val="double" w:sz="12" w:space="0" w:color="auto"/>
                    <w:right w:val="double" w:sz="4" w:space="0" w:color="auto"/>
                  </w:tcBorders>
                  <w:shd w:val="clear" w:color="auto" w:fill="92D050"/>
                </w:tcPr>
                <w:p w14:paraId="75D6482D" w14:textId="77777777">
                  <w:pPr>
                    <w:pStyle w:val="Tabletext"/>
                    <w:keepNext/>
                  </w:pPr>
                </w:p>
              </w:tc>
              <w:tc>
                <w:tcPr>
                  <w:tcW w:w="284" w:type="dxa"/>
                  <w:tcBorders>
                    <w:left w:val="double" w:sz="4" w:space="0" w:color="auto"/>
                    <w:right w:val="single" w:sz="4" w:space="0" w:color="auto"/>
                  </w:tcBorders>
                  <w:shd w:val="clear" w:color="auto" w:fill="CCFFCC"/>
                </w:tcPr>
                <w:p w14:paraId="389BDBFC" w14:textId="77777777">
                  <w:pPr>
                    <w:pStyle w:val="Tabletext"/>
                    <w:keepNext/>
                  </w:pPr>
                </w:p>
              </w:tc>
              <w:tc>
                <w:tcPr>
                  <w:tcW w:w="284" w:type="dxa"/>
                  <w:tcBorders>
                    <w:left w:val="single" w:sz="4" w:space="0" w:color="auto"/>
                    <w:right w:val="single" w:sz="4" w:space="0" w:color="auto"/>
                  </w:tcBorders>
                  <w:shd w:val="clear" w:color="auto" w:fill="00B0F0"/>
                </w:tcPr>
                <w:p w14:paraId="4E533347" w14:textId="77777777">
                  <w:pPr>
                    <w:pStyle w:val="Tabletext"/>
                    <w:keepNext/>
                  </w:pPr>
                </w:p>
              </w:tc>
              <w:tc>
                <w:tcPr>
                  <w:tcW w:w="2835" w:type="dxa"/>
                  <w:tcBorders>
                    <w:left w:val="single" w:sz="4" w:space="0" w:color="auto"/>
                    <w:bottom w:val="single" w:sz="4" w:space="0" w:color="auto"/>
                  </w:tcBorders>
                  <w:shd w:val="clear" w:color="auto" w:fill="FF6600"/>
                </w:tcPr>
                <w:p w14:paraId="68E317BD" w14:textId="77777777">
                  <w:pPr>
                    <w:pStyle w:val="Tabletext"/>
                    <w:keepNext/>
                  </w:pPr>
                </w:p>
              </w:tc>
              <w:tc>
                <w:tcPr>
                  <w:tcW w:w="1418" w:type="dxa"/>
                  <w:tcBorders>
                    <w:bottom w:val="single" w:sz="4" w:space="0" w:color="auto"/>
                  </w:tcBorders>
                  <w:shd w:val="clear" w:color="auto" w:fill="FF6600"/>
                </w:tcPr>
                <w:p w14:paraId="6B128B8B" w14:textId="77777777">
                  <w:pPr>
                    <w:pStyle w:val="Tabletext"/>
                    <w:keepNext/>
                    <w:jc w:val="center"/>
                    <w:rPr>
                      <w:i/>
                      <w:iCs/>
                      <w:noProof/>
                    </w:rPr>
                  </w:pPr>
                </w:p>
              </w:tc>
              <w:tc>
                <w:tcPr>
                  <w:tcW w:w="284" w:type="dxa"/>
                  <w:tcBorders>
                    <w:bottom w:val="single" w:sz="4" w:space="0" w:color="auto"/>
                    <w:right w:val="single" w:sz="4" w:space="0" w:color="auto"/>
                  </w:tcBorders>
                  <w:shd w:val="clear" w:color="auto" w:fill="FF6600"/>
                </w:tcPr>
                <w:p w14:paraId="41804430" w14:textId="77777777">
                  <w:pPr>
                    <w:pStyle w:val="Tabletext"/>
                    <w:keepNext/>
                    <w:jc w:val="center"/>
                  </w:pPr>
                </w:p>
              </w:tc>
              <w:tc>
                <w:tcPr>
                  <w:tcW w:w="284" w:type="dxa"/>
                  <w:tcBorders>
                    <w:left w:val="single" w:sz="4" w:space="0" w:color="auto"/>
                    <w:right w:val="single" w:sz="4" w:space="0" w:color="auto"/>
                  </w:tcBorders>
                  <w:shd w:val="clear" w:color="auto" w:fill="00B0F0"/>
                </w:tcPr>
                <w:p w14:paraId="70C4C678" w14:textId="77777777">
                  <w:pPr>
                    <w:pStyle w:val="Tabletext"/>
                    <w:keepNext/>
                  </w:pPr>
                </w:p>
              </w:tc>
              <w:tc>
                <w:tcPr>
                  <w:tcW w:w="284" w:type="dxa"/>
                  <w:tcBorders>
                    <w:left w:val="single" w:sz="4" w:space="0" w:color="auto"/>
                    <w:right w:val="double" w:sz="4" w:space="0" w:color="auto"/>
                  </w:tcBorders>
                  <w:shd w:val="clear" w:color="auto" w:fill="CCFFCC"/>
                </w:tcPr>
                <w:p w14:paraId="47FECC0D" w14:textId="77777777">
                  <w:pPr>
                    <w:pStyle w:val="Tabletext"/>
                    <w:keepNext/>
                  </w:pPr>
                </w:p>
              </w:tc>
              <w:tc>
                <w:tcPr>
                  <w:tcW w:w="284" w:type="dxa"/>
                  <w:tcBorders>
                    <w:left w:val="double" w:sz="4" w:space="0" w:color="auto"/>
                    <w:right w:val="double" w:sz="12" w:space="0" w:color="auto"/>
                  </w:tcBorders>
                  <w:shd w:val="clear" w:color="auto" w:fill="92D050"/>
                </w:tcPr>
                <w:p w14:paraId="14E6DC47" w14:textId="77777777">
                  <w:pPr>
                    <w:pStyle w:val="Tabletext"/>
                    <w:keepNext/>
                  </w:pPr>
                </w:p>
              </w:tc>
            </w:tr>
            <w:tr w14:paraId="75619CAA" w14:textId="77777777">
              <w:trPr>
                <w:trHeight w:hRule="exact" w:val="284"/>
                <w:jc w:val="center"/>
              </w:trPr>
              <w:tc>
                <w:tcPr>
                  <w:tcW w:w="284" w:type="dxa"/>
                  <w:tcBorders>
                    <w:left w:val="double" w:sz="12" w:space="0" w:color="auto"/>
                    <w:right w:val="double" w:sz="4" w:space="0" w:color="auto"/>
                  </w:tcBorders>
                  <w:shd w:val="clear" w:color="auto" w:fill="92D050"/>
                </w:tcPr>
                <w:p w14:paraId="67279FDE" w14:textId="77777777">
                  <w:pPr>
                    <w:pStyle w:val="Tabletext"/>
                    <w:keepNext/>
                  </w:pPr>
                </w:p>
              </w:tc>
              <w:tc>
                <w:tcPr>
                  <w:tcW w:w="284" w:type="dxa"/>
                  <w:tcBorders>
                    <w:left w:val="double" w:sz="4" w:space="0" w:color="auto"/>
                    <w:right w:val="single" w:sz="4" w:space="0" w:color="auto"/>
                  </w:tcBorders>
                  <w:shd w:val="clear" w:color="auto" w:fill="CCFFCC"/>
                </w:tcPr>
                <w:p w14:paraId="762CE53B" w14:textId="77777777">
                  <w:pPr>
                    <w:pStyle w:val="Tabletext"/>
                    <w:keepNext/>
                  </w:pPr>
                </w:p>
              </w:tc>
              <w:tc>
                <w:tcPr>
                  <w:tcW w:w="284" w:type="dxa"/>
                  <w:tcBorders>
                    <w:left w:val="single" w:sz="4" w:space="0" w:color="auto"/>
                    <w:bottom w:val="single" w:sz="4" w:space="0" w:color="auto"/>
                  </w:tcBorders>
                  <w:shd w:val="clear" w:color="auto" w:fill="00B0F0"/>
                </w:tcPr>
                <w:p w14:paraId="3363039E" w14:textId="77777777">
                  <w:pPr>
                    <w:pStyle w:val="Tabletext"/>
                    <w:keepNext/>
                  </w:pPr>
                </w:p>
              </w:tc>
              <w:tc>
                <w:tcPr>
                  <w:tcW w:w="2835" w:type="dxa"/>
                  <w:tcBorders>
                    <w:top w:val="single" w:sz="4" w:space="0" w:color="auto"/>
                    <w:bottom w:val="single" w:sz="4" w:space="0" w:color="auto"/>
                  </w:tcBorders>
                  <w:shd w:val="clear" w:color="auto" w:fill="00B0F0"/>
                </w:tcPr>
                <w:p w14:paraId="788E8F8C" w14:textId="77777777">
                  <w:pPr>
                    <w:pStyle w:val="Tabletext"/>
                    <w:keepNext/>
                  </w:pPr>
                </w:p>
              </w:tc>
              <w:tc>
                <w:tcPr>
                  <w:tcW w:w="1418" w:type="dxa"/>
                  <w:tcBorders>
                    <w:top w:val="single" w:sz="4" w:space="0" w:color="auto"/>
                    <w:bottom w:val="single" w:sz="4" w:space="0" w:color="auto"/>
                  </w:tcBorders>
                  <w:shd w:val="clear" w:color="auto" w:fill="00B0F0"/>
                </w:tcPr>
                <w:p w14:paraId="1025F52F" w14:textId="77777777">
                  <w:pPr>
                    <w:pStyle w:val="Tabletext"/>
                    <w:keepNext/>
                    <w:jc w:val="center"/>
                    <w:rPr>
                      <w:i/>
                      <w:iCs/>
                      <w:noProof/>
                    </w:rPr>
                  </w:pPr>
                </w:p>
              </w:tc>
              <w:tc>
                <w:tcPr>
                  <w:tcW w:w="284" w:type="dxa"/>
                  <w:tcBorders>
                    <w:top w:val="single" w:sz="4" w:space="0" w:color="auto"/>
                    <w:bottom w:val="single" w:sz="4" w:space="0" w:color="auto"/>
                  </w:tcBorders>
                  <w:shd w:val="clear" w:color="auto" w:fill="00B0F0"/>
                </w:tcPr>
                <w:p w14:paraId="1B3BC15A" w14:textId="77777777">
                  <w:pPr>
                    <w:pStyle w:val="Tabletext"/>
                    <w:keepNext/>
                    <w:jc w:val="center"/>
                  </w:pPr>
                </w:p>
              </w:tc>
              <w:tc>
                <w:tcPr>
                  <w:tcW w:w="284" w:type="dxa"/>
                  <w:tcBorders>
                    <w:bottom w:val="single" w:sz="4" w:space="0" w:color="auto"/>
                    <w:right w:val="single" w:sz="4" w:space="0" w:color="auto"/>
                  </w:tcBorders>
                  <w:shd w:val="clear" w:color="auto" w:fill="00B0F0"/>
                </w:tcPr>
                <w:p w14:paraId="5E7552CA" w14:textId="77777777">
                  <w:pPr>
                    <w:pStyle w:val="Tabletext"/>
                    <w:keepNext/>
                  </w:pPr>
                </w:p>
              </w:tc>
              <w:tc>
                <w:tcPr>
                  <w:tcW w:w="284" w:type="dxa"/>
                  <w:tcBorders>
                    <w:left w:val="single" w:sz="4" w:space="0" w:color="auto"/>
                    <w:right w:val="double" w:sz="4" w:space="0" w:color="auto"/>
                  </w:tcBorders>
                  <w:shd w:val="clear" w:color="auto" w:fill="CCFFCC"/>
                </w:tcPr>
                <w:p w14:paraId="55F5F8F5" w14:textId="77777777">
                  <w:pPr>
                    <w:pStyle w:val="Tabletext"/>
                    <w:keepNext/>
                  </w:pPr>
                </w:p>
              </w:tc>
              <w:tc>
                <w:tcPr>
                  <w:tcW w:w="284" w:type="dxa"/>
                  <w:tcBorders>
                    <w:left w:val="double" w:sz="4" w:space="0" w:color="auto"/>
                    <w:right w:val="double" w:sz="12" w:space="0" w:color="auto"/>
                  </w:tcBorders>
                  <w:shd w:val="clear" w:color="auto" w:fill="92D050"/>
                </w:tcPr>
                <w:p w14:paraId="585CA638" w14:textId="77777777">
                  <w:pPr>
                    <w:pStyle w:val="Tabletext"/>
                    <w:keepNext/>
                  </w:pPr>
                </w:p>
              </w:tc>
            </w:tr>
            <w:tr w14:paraId="06255CDD" w14:textId="77777777">
              <w:trPr>
                <w:trHeight w:hRule="exact" w:val="284"/>
                <w:jc w:val="center"/>
              </w:trPr>
              <w:tc>
                <w:tcPr>
                  <w:tcW w:w="284" w:type="dxa"/>
                  <w:tcBorders>
                    <w:left w:val="double" w:sz="12" w:space="0" w:color="auto"/>
                    <w:right w:val="double" w:sz="4" w:space="0" w:color="auto"/>
                  </w:tcBorders>
                  <w:shd w:val="clear" w:color="auto" w:fill="92D050"/>
                </w:tcPr>
                <w:p w14:paraId="3CC41C4B" w14:textId="77777777">
                  <w:pPr>
                    <w:pStyle w:val="Tabletext"/>
                    <w:keepNext/>
                  </w:pPr>
                </w:p>
              </w:tc>
              <w:tc>
                <w:tcPr>
                  <w:tcW w:w="284" w:type="dxa"/>
                  <w:tcBorders>
                    <w:left w:val="double" w:sz="4" w:space="0" w:color="auto"/>
                    <w:bottom w:val="double" w:sz="4" w:space="0" w:color="auto"/>
                  </w:tcBorders>
                  <w:shd w:val="clear" w:color="auto" w:fill="CCFFCC"/>
                </w:tcPr>
                <w:p w14:paraId="4A7E50DF" w14:textId="77777777">
                  <w:pPr>
                    <w:pStyle w:val="Tabletext"/>
                    <w:keepNext/>
                  </w:pPr>
                </w:p>
              </w:tc>
              <w:tc>
                <w:tcPr>
                  <w:tcW w:w="284" w:type="dxa"/>
                  <w:tcBorders>
                    <w:top w:val="single" w:sz="4" w:space="0" w:color="auto"/>
                    <w:bottom w:val="double" w:sz="4" w:space="0" w:color="auto"/>
                  </w:tcBorders>
                  <w:shd w:val="clear" w:color="auto" w:fill="CCFFCC"/>
                </w:tcPr>
                <w:p w14:paraId="6AF15CDE" w14:textId="77777777">
                  <w:pPr>
                    <w:pStyle w:val="Tabletext"/>
                    <w:keepNext/>
                  </w:pPr>
                </w:p>
              </w:tc>
              <w:tc>
                <w:tcPr>
                  <w:tcW w:w="2835" w:type="dxa"/>
                  <w:tcBorders>
                    <w:top w:val="single" w:sz="4" w:space="0" w:color="auto"/>
                    <w:bottom w:val="double" w:sz="4" w:space="0" w:color="auto"/>
                  </w:tcBorders>
                  <w:shd w:val="clear" w:color="auto" w:fill="CCFFCC"/>
                </w:tcPr>
                <w:p w14:paraId="48849307" w14:textId="77777777">
                  <w:pPr>
                    <w:pStyle w:val="Tabletext"/>
                    <w:keepNext/>
                  </w:pPr>
                </w:p>
              </w:tc>
              <w:tc>
                <w:tcPr>
                  <w:tcW w:w="1418" w:type="dxa"/>
                  <w:tcBorders>
                    <w:top w:val="single" w:sz="4" w:space="0" w:color="auto"/>
                    <w:bottom w:val="double" w:sz="4" w:space="0" w:color="auto"/>
                  </w:tcBorders>
                  <w:shd w:val="clear" w:color="auto" w:fill="CCFFCC"/>
                </w:tcPr>
                <w:p w14:paraId="2109606A" w14:textId="77777777">
                  <w:pPr>
                    <w:pStyle w:val="Tabletext"/>
                    <w:keepNext/>
                    <w:jc w:val="center"/>
                    <w:rPr>
                      <w:i/>
                      <w:iCs/>
                      <w:noProof/>
                    </w:rPr>
                  </w:pPr>
                </w:p>
              </w:tc>
              <w:tc>
                <w:tcPr>
                  <w:tcW w:w="284" w:type="dxa"/>
                  <w:tcBorders>
                    <w:top w:val="single" w:sz="4" w:space="0" w:color="auto"/>
                    <w:bottom w:val="double" w:sz="4" w:space="0" w:color="auto"/>
                  </w:tcBorders>
                  <w:shd w:val="clear" w:color="auto" w:fill="CCFFCC"/>
                </w:tcPr>
                <w:p w14:paraId="7FC4996C" w14:textId="77777777">
                  <w:pPr>
                    <w:pStyle w:val="Tabletext"/>
                    <w:keepNext/>
                    <w:jc w:val="center"/>
                  </w:pPr>
                </w:p>
              </w:tc>
              <w:tc>
                <w:tcPr>
                  <w:tcW w:w="284" w:type="dxa"/>
                  <w:tcBorders>
                    <w:top w:val="single" w:sz="4" w:space="0" w:color="auto"/>
                    <w:bottom w:val="double" w:sz="4" w:space="0" w:color="auto"/>
                  </w:tcBorders>
                  <w:shd w:val="clear" w:color="auto" w:fill="CCFFCC"/>
                </w:tcPr>
                <w:p w14:paraId="343EB90C" w14:textId="77777777">
                  <w:pPr>
                    <w:pStyle w:val="Tabletext"/>
                    <w:keepNext/>
                  </w:pPr>
                </w:p>
              </w:tc>
              <w:tc>
                <w:tcPr>
                  <w:tcW w:w="284" w:type="dxa"/>
                  <w:tcBorders>
                    <w:bottom w:val="double" w:sz="4" w:space="0" w:color="auto"/>
                    <w:right w:val="double" w:sz="4" w:space="0" w:color="auto"/>
                  </w:tcBorders>
                  <w:shd w:val="clear" w:color="auto" w:fill="CCFFCC"/>
                </w:tcPr>
                <w:p w14:paraId="654DE217" w14:textId="77777777">
                  <w:pPr>
                    <w:pStyle w:val="Tabletext"/>
                    <w:keepNext/>
                  </w:pPr>
                </w:p>
              </w:tc>
              <w:tc>
                <w:tcPr>
                  <w:tcW w:w="284" w:type="dxa"/>
                  <w:tcBorders>
                    <w:left w:val="double" w:sz="4" w:space="0" w:color="auto"/>
                    <w:right w:val="double" w:sz="12" w:space="0" w:color="auto"/>
                  </w:tcBorders>
                  <w:shd w:val="clear" w:color="auto" w:fill="92D050"/>
                </w:tcPr>
                <w:p w14:paraId="77E7794C" w14:textId="77777777">
                  <w:pPr>
                    <w:pStyle w:val="Tabletext"/>
                    <w:keepNext/>
                  </w:pPr>
                </w:p>
              </w:tc>
            </w:tr>
            <w:tr w14:paraId="16C73EA4" w14:textId="77777777">
              <w:trPr>
                <w:trHeight w:hRule="exact" w:val="284"/>
                <w:jc w:val="center"/>
              </w:trPr>
              <w:tc>
                <w:tcPr>
                  <w:tcW w:w="284" w:type="dxa"/>
                  <w:tcBorders>
                    <w:left w:val="double" w:sz="12" w:space="0" w:color="auto"/>
                    <w:right w:val="double" w:sz="4" w:space="0" w:color="auto"/>
                  </w:tcBorders>
                  <w:shd w:val="clear" w:color="auto" w:fill="92D050"/>
                </w:tcPr>
                <w:p w14:paraId="62682E53" w14:textId="77777777">
                  <w:pPr>
                    <w:pStyle w:val="Tabletext"/>
                    <w:keepNext/>
                  </w:pPr>
                </w:p>
              </w:tc>
              <w:tc>
                <w:tcPr>
                  <w:tcW w:w="5673" w:type="dxa"/>
                  <w:gridSpan w:val="7"/>
                  <w:tcBorders>
                    <w:top w:val="double" w:sz="4" w:space="0" w:color="auto"/>
                    <w:left w:val="double" w:sz="4" w:space="0" w:color="auto"/>
                    <w:right w:val="double" w:sz="4" w:space="0" w:color="auto"/>
                  </w:tcBorders>
                  <w:shd w:val="clear" w:color="auto" w:fill="CCFFCC"/>
                </w:tcPr>
                <w:p w14:paraId="51C60E27" w14:textId="77777777">
                  <w:pPr>
                    <w:pStyle w:val="Tabletext"/>
                    <w:keepNext/>
                    <w:rPr>
                      <w:noProof/>
                    </w:rPr>
                  </w:pPr>
                  <w:r>
                    <w:rPr>
                      <w:noProof/>
                    </w:rPr>
                    <w:t>&lt;textpart B&gt; contains</w:t>
                  </w:r>
                </w:p>
              </w:tc>
              <w:tc>
                <w:tcPr>
                  <w:tcW w:w="284" w:type="dxa"/>
                  <w:tcBorders>
                    <w:left w:val="double" w:sz="4" w:space="0" w:color="auto"/>
                    <w:right w:val="double" w:sz="12" w:space="0" w:color="auto"/>
                  </w:tcBorders>
                  <w:shd w:val="clear" w:color="auto" w:fill="92D050"/>
                </w:tcPr>
                <w:p w14:paraId="3619CC81" w14:textId="77777777">
                  <w:pPr>
                    <w:pStyle w:val="Tabletext"/>
                    <w:keepNext/>
                  </w:pPr>
                </w:p>
              </w:tc>
            </w:tr>
            <w:tr w14:paraId="65491606" w14:textId="77777777">
              <w:trPr>
                <w:trHeight w:hRule="exact" w:val="113"/>
                <w:jc w:val="center"/>
              </w:trPr>
              <w:tc>
                <w:tcPr>
                  <w:tcW w:w="284" w:type="dxa"/>
                  <w:tcBorders>
                    <w:left w:val="double" w:sz="12" w:space="0" w:color="auto"/>
                    <w:right w:val="double" w:sz="4" w:space="0" w:color="auto"/>
                  </w:tcBorders>
                  <w:shd w:val="clear" w:color="auto" w:fill="92D050"/>
                </w:tcPr>
                <w:p w14:paraId="74BAE1E2" w14:textId="77777777">
                  <w:pPr>
                    <w:pStyle w:val="Tabletext"/>
                    <w:keepNext/>
                  </w:pPr>
                </w:p>
              </w:tc>
              <w:tc>
                <w:tcPr>
                  <w:tcW w:w="284" w:type="dxa"/>
                  <w:tcBorders>
                    <w:left w:val="double" w:sz="4" w:space="0" w:color="auto"/>
                    <w:right w:val="single" w:sz="4" w:space="0" w:color="auto"/>
                  </w:tcBorders>
                  <w:shd w:val="clear" w:color="auto" w:fill="CCFFCC"/>
                </w:tcPr>
                <w:p w14:paraId="40787FCE" w14:textId="77777777">
                  <w:pPr>
                    <w:pStyle w:val="Tabletext"/>
                    <w:keepNext/>
                  </w:pPr>
                </w:p>
              </w:tc>
              <w:tc>
                <w:tcPr>
                  <w:tcW w:w="3119" w:type="dxa"/>
                  <w:gridSpan w:val="2"/>
                  <w:vMerge w:val="restart"/>
                  <w:tcBorders>
                    <w:top w:val="single" w:sz="4" w:space="0" w:color="auto"/>
                    <w:left w:val="single" w:sz="4" w:space="0" w:color="auto"/>
                  </w:tcBorders>
                  <w:shd w:val="clear" w:color="auto" w:fill="CC99FF"/>
                </w:tcPr>
                <w:p w14:paraId="69CBE078" w14:textId="77777777">
                  <w:pPr>
                    <w:pStyle w:val="Tabletext"/>
                    <w:keepNext/>
                  </w:pPr>
                  <w:r>
                    <w:t>&lt;paragraph&gt; contains</w:t>
                  </w:r>
                </w:p>
              </w:tc>
              <w:tc>
                <w:tcPr>
                  <w:tcW w:w="1418" w:type="dxa"/>
                  <w:tcBorders>
                    <w:top w:val="single" w:sz="4" w:space="0" w:color="auto"/>
                  </w:tcBorders>
                  <w:shd w:val="clear" w:color="auto" w:fill="CC99FF"/>
                </w:tcPr>
                <w:p w14:paraId="4D6F453E" w14:textId="77777777">
                  <w:pPr>
                    <w:pStyle w:val="Tabletext"/>
                    <w:keepNext/>
                    <w:jc w:val="center"/>
                    <w:rPr>
                      <w:i/>
                      <w:iCs/>
                      <w:noProof/>
                    </w:rPr>
                  </w:pPr>
                </w:p>
              </w:tc>
              <w:tc>
                <w:tcPr>
                  <w:tcW w:w="284" w:type="dxa"/>
                  <w:tcBorders>
                    <w:top w:val="single" w:sz="4" w:space="0" w:color="auto"/>
                  </w:tcBorders>
                  <w:shd w:val="clear" w:color="auto" w:fill="CC99FF"/>
                </w:tcPr>
                <w:p w14:paraId="40C039B5" w14:textId="77777777">
                  <w:pPr>
                    <w:pStyle w:val="Tabletext"/>
                    <w:keepNext/>
                    <w:jc w:val="center"/>
                  </w:pPr>
                </w:p>
              </w:tc>
              <w:tc>
                <w:tcPr>
                  <w:tcW w:w="284" w:type="dxa"/>
                  <w:tcBorders>
                    <w:top w:val="single" w:sz="4" w:space="0" w:color="auto"/>
                    <w:right w:val="single" w:sz="4" w:space="0" w:color="auto"/>
                  </w:tcBorders>
                  <w:shd w:val="clear" w:color="auto" w:fill="CC99FF"/>
                </w:tcPr>
                <w:p w14:paraId="2972BAF5" w14:textId="77777777">
                  <w:pPr>
                    <w:pStyle w:val="Tabletext"/>
                    <w:keepNext/>
                  </w:pPr>
                </w:p>
              </w:tc>
              <w:tc>
                <w:tcPr>
                  <w:tcW w:w="284" w:type="dxa"/>
                  <w:tcBorders>
                    <w:left w:val="single" w:sz="4" w:space="0" w:color="auto"/>
                    <w:right w:val="double" w:sz="4" w:space="0" w:color="auto"/>
                  </w:tcBorders>
                  <w:shd w:val="clear" w:color="auto" w:fill="CCFFCC"/>
                </w:tcPr>
                <w:p w14:paraId="317B198E" w14:textId="77777777">
                  <w:pPr>
                    <w:pStyle w:val="Tabletext"/>
                    <w:keepNext/>
                  </w:pPr>
                </w:p>
              </w:tc>
              <w:tc>
                <w:tcPr>
                  <w:tcW w:w="284" w:type="dxa"/>
                  <w:tcBorders>
                    <w:left w:val="double" w:sz="4" w:space="0" w:color="auto"/>
                    <w:right w:val="double" w:sz="12" w:space="0" w:color="auto"/>
                  </w:tcBorders>
                  <w:shd w:val="clear" w:color="auto" w:fill="92D050"/>
                </w:tcPr>
                <w:p w14:paraId="5A901A2D" w14:textId="77777777">
                  <w:pPr>
                    <w:pStyle w:val="Tabletext"/>
                    <w:keepNext/>
                  </w:pPr>
                </w:p>
              </w:tc>
            </w:tr>
            <w:tr w14:paraId="668D013A" w14:textId="77777777">
              <w:trPr>
                <w:trHeight w:hRule="exact" w:val="284"/>
                <w:jc w:val="center"/>
              </w:trPr>
              <w:tc>
                <w:tcPr>
                  <w:tcW w:w="284" w:type="dxa"/>
                  <w:tcBorders>
                    <w:left w:val="double" w:sz="12" w:space="0" w:color="auto"/>
                    <w:right w:val="double" w:sz="4" w:space="0" w:color="auto"/>
                  </w:tcBorders>
                  <w:shd w:val="clear" w:color="auto" w:fill="92D050"/>
                </w:tcPr>
                <w:p w14:paraId="3FDED0AD" w14:textId="77777777">
                  <w:pPr>
                    <w:pStyle w:val="Tabletext"/>
                    <w:keepNext/>
                  </w:pPr>
                </w:p>
              </w:tc>
              <w:tc>
                <w:tcPr>
                  <w:tcW w:w="284" w:type="dxa"/>
                  <w:tcBorders>
                    <w:left w:val="double" w:sz="4" w:space="0" w:color="auto"/>
                    <w:right w:val="single" w:sz="4" w:space="0" w:color="auto"/>
                  </w:tcBorders>
                  <w:shd w:val="clear" w:color="auto" w:fill="CCFFCC"/>
                </w:tcPr>
                <w:p w14:paraId="61F85749" w14:textId="77777777">
                  <w:pPr>
                    <w:pStyle w:val="Tabletext"/>
                    <w:keepNext/>
                  </w:pPr>
                </w:p>
              </w:tc>
              <w:tc>
                <w:tcPr>
                  <w:tcW w:w="3119" w:type="dxa"/>
                  <w:gridSpan w:val="2"/>
                  <w:vMerge/>
                  <w:tcBorders>
                    <w:left w:val="single" w:sz="4" w:space="0" w:color="auto"/>
                  </w:tcBorders>
                  <w:shd w:val="clear" w:color="auto" w:fill="CC99FF"/>
                </w:tcPr>
                <w:p w14:paraId="0F396E94" w14:textId="77777777">
                  <w:pPr>
                    <w:pStyle w:val="Tabletext"/>
                    <w:keepNext/>
                  </w:pPr>
                </w:p>
              </w:tc>
              <w:tc>
                <w:tcPr>
                  <w:tcW w:w="1418" w:type="dxa"/>
                  <w:shd w:val="clear" w:color="auto" w:fill="FFFF00"/>
                </w:tcPr>
                <w:p w14:paraId="2953DC30" w14:textId="77777777">
                  <w:pPr>
                    <w:pStyle w:val="Tabletext"/>
                    <w:keepNext/>
                    <w:jc w:val="center"/>
                    <w:rPr>
                      <w:i/>
                      <w:iCs/>
                      <w:noProof/>
                    </w:rPr>
                  </w:pPr>
                  <w:r>
                    <w:rPr>
                      <w:i/>
                      <w:iCs/>
                      <w:noProof/>
                    </w:rPr>
                    <w:t>… text stu…</w:t>
                  </w:r>
                </w:p>
              </w:tc>
              <w:tc>
                <w:tcPr>
                  <w:tcW w:w="284" w:type="dxa"/>
                  <w:shd w:val="clear" w:color="auto" w:fill="CC99FF"/>
                </w:tcPr>
                <w:p w14:paraId="1132EEAA" w14:textId="77777777">
                  <w:pPr>
                    <w:pStyle w:val="Tabletext"/>
                    <w:keepNext/>
                    <w:jc w:val="center"/>
                  </w:pPr>
                </w:p>
              </w:tc>
              <w:tc>
                <w:tcPr>
                  <w:tcW w:w="284" w:type="dxa"/>
                  <w:tcBorders>
                    <w:right w:val="single" w:sz="4" w:space="0" w:color="auto"/>
                  </w:tcBorders>
                  <w:shd w:val="clear" w:color="auto" w:fill="CC99FF"/>
                </w:tcPr>
                <w:p w14:paraId="69FA9F56" w14:textId="77777777">
                  <w:pPr>
                    <w:pStyle w:val="Tabletext"/>
                    <w:keepNext/>
                  </w:pPr>
                </w:p>
              </w:tc>
              <w:tc>
                <w:tcPr>
                  <w:tcW w:w="284" w:type="dxa"/>
                  <w:tcBorders>
                    <w:left w:val="single" w:sz="4" w:space="0" w:color="auto"/>
                    <w:right w:val="double" w:sz="4" w:space="0" w:color="auto"/>
                  </w:tcBorders>
                  <w:shd w:val="clear" w:color="auto" w:fill="CCFFCC"/>
                </w:tcPr>
                <w:p w14:paraId="4EBF8D31" w14:textId="77777777">
                  <w:pPr>
                    <w:pStyle w:val="Tabletext"/>
                    <w:keepNext/>
                  </w:pPr>
                </w:p>
              </w:tc>
              <w:tc>
                <w:tcPr>
                  <w:tcW w:w="284" w:type="dxa"/>
                  <w:tcBorders>
                    <w:left w:val="double" w:sz="4" w:space="0" w:color="auto"/>
                    <w:right w:val="double" w:sz="12" w:space="0" w:color="auto"/>
                  </w:tcBorders>
                  <w:shd w:val="clear" w:color="auto" w:fill="92D050"/>
                </w:tcPr>
                <w:p w14:paraId="259880AC" w14:textId="77777777">
                  <w:pPr>
                    <w:pStyle w:val="Tabletext"/>
                    <w:keepNext/>
                  </w:pPr>
                </w:p>
              </w:tc>
            </w:tr>
            <w:tr w14:paraId="07B8EBE9" w14:textId="77777777">
              <w:trPr>
                <w:trHeight w:hRule="exact" w:val="113"/>
                <w:jc w:val="center"/>
              </w:trPr>
              <w:tc>
                <w:tcPr>
                  <w:tcW w:w="284" w:type="dxa"/>
                  <w:tcBorders>
                    <w:left w:val="double" w:sz="12" w:space="0" w:color="auto"/>
                    <w:right w:val="double" w:sz="4" w:space="0" w:color="auto"/>
                  </w:tcBorders>
                  <w:shd w:val="clear" w:color="auto" w:fill="92D050"/>
                </w:tcPr>
                <w:p w14:paraId="4A74F77E" w14:textId="77777777">
                  <w:pPr>
                    <w:pStyle w:val="Tabletext"/>
                    <w:keepNext/>
                  </w:pPr>
                </w:p>
              </w:tc>
              <w:tc>
                <w:tcPr>
                  <w:tcW w:w="284" w:type="dxa"/>
                  <w:tcBorders>
                    <w:left w:val="double" w:sz="4" w:space="0" w:color="auto"/>
                    <w:right w:val="single" w:sz="4" w:space="0" w:color="auto"/>
                  </w:tcBorders>
                  <w:shd w:val="clear" w:color="auto" w:fill="CCFFCC"/>
                </w:tcPr>
                <w:p w14:paraId="04478C6C" w14:textId="77777777">
                  <w:pPr>
                    <w:pStyle w:val="Tabletext"/>
                    <w:keepNext/>
                  </w:pPr>
                </w:p>
              </w:tc>
              <w:tc>
                <w:tcPr>
                  <w:tcW w:w="3119" w:type="dxa"/>
                  <w:gridSpan w:val="2"/>
                  <w:tcBorders>
                    <w:left w:val="single" w:sz="4" w:space="0" w:color="auto"/>
                    <w:bottom w:val="single" w:sz="4" w:space="0" w:color="auto"/>
                  </w:tcBorders>
                  <w:shd w:val="clear" w:color="auto" w:fill="CC99FF"/>
                </w:tcPr>
                <w:p w14:paraId="47E2B113" w14:textId="77777777">
                  <w:pPr>
                    <w:pStyle w:val="Tabletext"/>
                    <w:keepNext/>
                  </w:pPr>
                </w:p>
              </w:tc>
              <w:tc>
                <w:tcPr>
                  <w:tcW w:w="1418" w:type="dxa"/>
                  <w:tcBorders>
                    <w:bottom w:val="single" w:sz="4" w:space="0" w:color="auto"/>
                  </w:tcBorders>
                  <w:shd w:val="clear" w:color="auto" w:fill="CC99FF"/>
                </w:tcPr>
                <w:p w14:paraId="5EAFF553" w14:textId="77777777">
                  <w:pPr>
                    <w:pStyle w:val="Tabletext"/>
                    <w:keepNext/>
                    <w:jc w:val="center"/>
                    <w:rPr>
                      <w:i/>
                      <w:iCs/>
                      <w:noProof/>
                    </w:rPr>
                  </w:pPr>
                </w:p>
              </w:tc>
              <w:tc>
                <w:tcPr>
                  <w:tcW w:w="284" w:type="dxa"/>
                  <w:tcBorders>
                    <w:bottom w:val="single" w:sz="4" w:space="0" w:color="auto"/>
                  </w:tcBorders>
                  <w:shd w:val="clear" w:color="auto" w:fill="CC99FF"/>
                </w:tcPr>
                <w:p w14:paraId="1F635FAD" w14:textId="77777777">
                  <w:pPr>
                    <w:pStyle w:val="Tabletext"/>
                    <w:keepNext/>
                    <w:jc w:val="center"/>
                  </w:pPr>
                </w:p>
              </w:tc>
              <w:tc>
                <w:tcPr>
                  <w:tcW w:w="284" w:type="dxa"/>
                  <w:tcBorders>
                    <w:bottom w:val="single" w:sz="4" w:space="0" w:color="auto"/>
                    <w:right w:val="single" w:sz="4" w:space="0" w:color="auto"/>
                  </w:tcBorders>
                  <w:shd w:val="clear" w:color="auto" w:fill="CC99FF"/>
                </w:tcPr>
                <w:p w14:paraId="425A2040" w14:textId="77777777">
                  <w:pPr>
                    <w:pStyle w:val="Tabletext"/>
                    <w:keepNext/>
                  </w:pPr>
                </w:p>
              </w:tc>
              <w:tc>
                <w:tcPr>
                  <w:tcW w:w="284" w:type="dxa"/>
                  <w:tcBorders>
                    <w:left w:val="single" w:sz="4" w:space="0" w:color="auto"/>
                    <w:right w:val="double" w:sz="4" w:space="0" w:color="auto"/>
                  </w:tcBorders>
                  <w:shd w:val="clear" w:color="auto" w:fill="CCFFCC"/>
                </w:tcPr>
                <w:p w14:paraId="16941E21" w14:textId="77777777">
                  <w:pPr>
                    <w:pStyle w:val="Tabletext"/>
                    <w:keepNext/>
                  </w:pPr>
                </w:p>
              </w:tc>
              <w:tc>
                <w:tcPr>
                  <w:tcW w:w="284" w:type="dxa"/>
                  <w:tcBorders>
                    <w:left w:val="double" w:sz="4" w:space="0" w:color="auto"/>
                    <w:right w:val="double" w:sz="12" w:space="0" w:color="auto"/>
                  </w:tcBorders>
                  <w:shd w:val="clear" w:color="auto" w:fill="92D050"/>
                </w:tcPr>
                <w:p w14:paraId="4B549A86" w14:textId="77777777">
                  <w:pPr>
                    <w:pStyle w:val="Tabletext"/>
                    <w:keepNext/>
                  </w:pPr>
                </w:p>
              </w:tc>
            </w:tr>
            <w:tr w14:paraId="29AB55E2" w14:textId="77777777">
              <w:trPr>
                <w:trHeight w:hRule="exact" w:val="113"/>
                <w:jc w:val="center"/>
              </w:trPr>
              <w:tc>
                <w:tcPr>
                  <w:tcW w:w="284" w:type="dxa"/>
                  <w:tcBorders>
                    <w:left w:val="double" w:sz="12" w:space="0" w:color="auto"/>
                    <w:right w:val="double" w:sz="4" w:space="0" w:color="auto"/>
                  </w:tcBorders>
                  <w:shd w:val="clear" w:color="auto" w:fill="92D050"/>
                </w:tcPr>
                <w:p w14:paraId="5C3F0C54" w14:textId="77777777">
                  <w:pPr>
                    <w:pStyle w:val="Tabletext"/>
                    <w:keepNext/>
                  </w:pPr>
                </w:p>
              </w:tc>
              <w:tc>
                <w:tcPr>
                  <w:tcW w:w="284" w:type="dxa"/>
                  <w:tcBorders>
                    <w:left w:val="double" w:sz="4" w:space="0" w:color="auto"/>
                    <w:right w:val="single" w:sz="4" w:space="0" w:color="auto"/>
                  </w:tcBorders>
                  <w:shd w:val="clear" w:color="auto" w:fill="CCFFCC"/>
                </w:tcPr>
                <w:p w14:paraId="79C8E5AD" w14:textId="77777777">
                  <w:pPr>
                    <w:pStyle w:val="Tabletext"/>
                    <w:keepNext/>
                  </w:pPr>
                </w:p>
              </w:tc>
              <w:tc>
                <w:tcPr>
                  <w:tcW w:w="3119" w:type="dxa"/>
                  <w:gridSpan w:val="2"/>
                  <w:vMerge w:val="restart"/>
                  <w:tcBorders>
                    <w:top w:val="single" w:sz="4" w:space="0" w:color="auto"/>
                    <w:left w:val="single" w:sz="4" w:space="0" w:color="auto"/>
                  </w:tcBorders>
                  <w:shd w:val="clear" w:color="auto" w:fill="CC99FF"/>
                </w:tcPr>
                <w:p w14:paraId="2B202505" w14:textId="77777777">
                  <w:pPr>
                    <w:pStyle w:val="Tabletext"/>
                    <w:keepNext/>
                  </w:pPr>
                  <w:r>
                    <w:t>&lt;paragraph&gt; contains</w:t>
                  </w:r>
                </w:p>
              </w:tc>
              <w:tc>
                <w:tcPr>
                  <w:tcW w:w="1418" w:type="dxa"/>
                  <w:tcBorders>
                    <w:top w:val="single" w:sz="4" w:space="0" w:color="auto"/>
                  </w:tcBorders>
                  <w:shd w:val="clear" w:color="auto" w:fill="CC99FF"/>
                </w:tcPr>
                <w:p w14:paraId="0B38FE5F" w14:textId="77777777">
                  <w:pPr>
                    <w:pStyle w:val="Tabletext"/>
                    <w:keepNext/>
                    <w:jc w:val="center"/>
                    <w:rPr>
                      <w:i/>
                      <w:iCs/>
                      <w:noProof/>
                    </w:rPr>
                  </w:pPr>
                </w:p>
              </w:tc>
              <w:tc>
                <w:tcPr>
                  <w:tcW w:w="284" w:type="dxa"/>
                  <w:tcBorders>
                    <w:top w:val="single" w:sz="4" w:space="0" w:color="auto"/>
                  </w:tcBorders>
                  <w:shd w:val="clear" w:color="auto" w:fill="CC99FF"/>
                </w:tcPr>
                <w:p w14:paraId="248335EA" w14:textId="77777777">
                  <w:pPr>
                    <w:pStyle w:val="Tabletext"/>
                    <w:keepNext/>
                    <w:jc w:val="center"/>
                  </w:pPr>
                </w:p>
              </w:tc>
              <w:tc>
                <w:tcPr>
                  <w:tcW w:w="284" w:type="dxa"/>
                  <w:tcBorders>
                    <w:top w:val="single" w:sz="4" w:space="0" w:color="auto"/>
                    <w:right w:val="single" w:sz="4" w:space="0" w:color="auto"/>
                  </w:tcBorders>
                  <w:shd w:val="clear" w:color="auto" w:fill="CC99FF"/>
                </w:tcPr>
                <w:p w14:paraId="58B81CB6" w14:textId="77777777">
                  <w:pPr>
                    <w:pStyle w:val="Tabletext"/>
                    <w:keepNext/>
                  </w:pPr>
                </w:p>
              </w:tc>
              <w:tc>
                <w:tcPr>
                  <w:tcW w:w="284" w:type="dxa"/>
                  <w:tcBorders>
                    <w:left w:val="single" w:sz="4" w:space="0" w:color="auto"/>
                    <w:right w:val="double" w:sz="4" w:space="0" w:color="auto"/>
                  </w:tcBorders>
                  <w:shd w:val="clear" w:color="auto" w:fill="CCFFCC"/>
                </w:tcPr>
                <w:p w14:paraId="2A324FA1" w14:textId="77777777">
                  <w:pPr>
                    <w:pStyle w:val="Tabletext"/>
                    <w:keepNext/>
                  </w:pPr>
                </w:p>
              </w:tc>
              <w:tc>
                <w:tcPr>
                  <w:tcW w:w="284" w:type="dxa"/>
                  <w:tcBorders>
                    <w:left w:val="double" w:sz="4" w:space="0" w:color="auto"/>
                    <w:right w:val="double" w:sz="12" w:space="0" w:color="auto"/>
                  </w:tcBorders>
                  <w:shd w:val="clear" w:color="auto" w:fill="92D050"/>
                </w:tcPr>
                <w:p w14:paraId="6725A156" w14:textId="77777777">
                  <w:pPr>
                    <w:pStyle w:val="Tabletext"/>
                    <w:keepNext/>
                  </w:pPr>
                </w:p>
              </w:tc>
            </w:tr>
            <w:tr w14:paraId="64667D4E" w14:textId="77777777">
              <w:trPr>
                <w:trHeight w:hRule="exact" w:val="284"/>
                <w:jc w:val="center"/>
              </w:trPr>
              <w:tc>
                <w:tcPr>
                  <w:tcW w:w="284" w:type="dxa"/>
                  <w:tcBorders>
                    <w:left w:val="double" w:sz="12" w:space="0" w:color="auto"/>
                    <w:right w:val="double" w:sz="4" w:space="0" w:color="auto"/>
                  </w:tcBorders>
                  <w:shd w:val="clear" w:color="auto" w:fill="92D050"/>
                </w:tcPr>
                <w:p w14:paraId="2D0A7953" w14:textId="77777777">
                  <w:pPr>
                    <w:pStyle w:val="Tabletext"/>
                    <w:keepNext/>
                  </w:pPr>
                </w:p>
              </w:tc>
              <w:tc>
                <w:tcPr>
                  <w:tcW w:w="284" w:type="dxa"/>
                  <w:tcBorders>
                    <w:left w:val="double" w:sz="4" w:space="0" w:color="auto"/>
                    <w:right w:val="single" w:sz="4" w:space="0" w:color="auto"/>
                  </w:tcBorders>
                  <w:shd w:val="clear" w:color="auto" w:fill="CCFFCC"/>
                </w:tcPr>
                <w:p w14:paraId="05DD1DCD" w14:textId="77777777">
                  <w:pPr>
                    <w:pStyle w:val="Tabletext"/>
                    <w:keepNext/>
                  </w:pPr>
                </w:p>
              </w:tc>
              <w:tc>
                <w:tcPr>
                  <w:tcW w:w="3119" w:type="dxa"/>
                  <w:gridSpan w:val="2"/>
                  <w:vMerge/>
                  <w:tcBorders>
                    <w:left w:val="single" w:sz="4" w:space="0" w:color="auto"/>
                  </w:tcBorders>
                  <w:shd w:val="clear" w:color="auto" w:fill="CC99FF"/>
                </w:tcPr>
                <w:p w14:paraId="0ECD013D" w14:textId="77777777">
                  <w:pPr>
                    <w:pStyle w:val="Tabletext"/>
                    <w:keepNext/>
                  </w:pPr>
                </w:p>
              </w:tc>
              <w:tc>
                <w:tcPr>
                  <w:tcW w:w="1418" w:type="dxa"/>
                  <w:shd w:val="clear" w:color="auto" w:fill="FFFF00"/>
                </w:tcPr>
                <w:p w14:paraId="69B54ABD" w14:textId="77777777">
                  <w:pPr>
                    <w:pStyle w:val="Tabletext"/>
                    <w:keepNext/>
                    <w:jc w:val="center"/>
                    <w:rPr>
                      <w:i/>
                      <w:iCs/>
                      <w:noProof/>
                    </w:rPr>
                  </w:pPr>
                  <w:r>
                    <w:rPr>
                      <w:i/>
                      <w:iCs/>
                      <w:noProof/>
                    </w:rPr>
                    <w:t>… text vwx…</w:t>
                  </w:r>
                </w:p>
              </w:tc>
              <w:tc>
                <w:tcPr>
                  <w:tcW w:w="284" w:type="dxa"/>
                  <w:shd w:val="clear" w:color="auto" w:fill="CC99FF"/>
                </w:tcPr>
                <w:p w14:paraId="6B011CBC" w14:textId="77777777">
                  <w:pPr>
                    <w:pStyle w:val="Tabletext"/>
                    <w:keepNext/>
                    <w:jc w:val="center"/>
                  </w:pPr>
                </w:p>
              </w:tc>
              <w:tc>
                <w:tcPr>
                  <w:tcW w:w="284" w:type="dxa"/>
                  <w:tcBorders>
                    <w:right w:val="single" w:sz="4" w:space="0" w:color="auto"/>
                  </w:tcBorders>
                  <w:shd w:val="clear" w:color="auto" w:fill="CC99FF"/>
                </w:tcPr>
                <w:p w14:paraId="24B83D9A" w14:textId="77777777">
                  <w:pPr>
                    <w:pStyle w:val="Tabletext"/>
                    <w:keepNext/>
                  </w:pPr>
                </w:p>
              </w:tc>
              <w:tc>
                <w:tcPr>
                  <w:tcW w:w="284" w:type="dxa"/>
                  <w:tcBorders>
                    <w:left w:val="single" w:sz="4" w:space="0" w:color="auto"/>
                    <w:right w:val="double" w:sz="4" w:space="0" w:color="auto"/>
                  </w:tcBorders>
                  <w:shd w:val="clear" w:color="auto" w:fill="CCFFCC"/>
                </w:tcPr>
                <w:p w14:paraId="4B200699" w14:textId="77777777">
                  <w:pPr>
                    <w:pStyle w:val="Tabletext"/>
                    <w:keepNext/>
                  </w:pPr>
                </w:p>
              </w:tc>
              <w:tc>
                <w:tcPr>
                  <w:tcW w:w="284" w:type="dxa"/>
                  <w:tcBorders>
                    <w:left w:val="double" w:sz="4" w:space="0" w:color="auto"/>
                    <w:right w:val="double" w:sz="12" w:space="0" w:color="auto"/>
                  </w:tcBorders>
                  <w:shd w:val="clear" w:color="auto" w:fill="92D050"/>
                </w:tcPr>
                <w:p w14:paraId="26AA0AA1" w14:textId="77777777">
                  <w:pPr>
                    <w:pStyle w:val="Tabletext"/>
                    <w:keepNext/>
                  </w:pPr>
                </w:p>
              </w:tc>
            </w:tr>
            <w:tr w14:paraId="4E379CB0" w14:textId="77777777">
              <w:trPr>
                <w:trHeight w:hRule="exact" w:val="113"/>
                <w:jc w:val="center"/>
              </w:trPr>
              <w:tc>
                <w:tcPr>
                  <w:tcW w:w="284" w:type="dxa"/>
                  <w:tcBorders>
                    <w:left w:val="double" w:sz="12" w:space="0" w:color="auto"/>
                    <w:right w:val="double" w:sz="4" w:space="0" w:color="auto"/>
                  </w:tcBorders>
                  <w:shd w:val="clear" w:color="auto" w:fill="92D050"/>
                </w:tcPr>
                <w:p w14:paraId="4AE209BA" w14:textId="77777777">
                  <w:pPr>
                    <w:pStyle w:val="Tabletext"/>
                    <w:keepNext/>
                  </w:pPr>
                </w:p>
              </w:tc>
              <w:tc>
                <w:tcPr>
                  <w:tcW w:w="284" w:type="dxa"/>
                  <w:tcBorders>
                    <w:left w:val="double" w:sz="4" w:space="0" w:color="auto"/>
                    <w:right w:val="single" w:sz="4" w:space="0" w:color="auto"/>
                  </w:tcBorders>
                  <w:shd w:val="clear" w:color="auto" w:fill="CCFFCC"/>
                </w:tcPr>
                <w:p w14:paraId="5C9C1017" w14:textId="77777777">
                  <w:pPr>
                    <w:pStyle w:val="Tabletext"/>
                    <w:keepNext/>
                  </w:pPr>
                </w:p>
              </w:tc>
              <w:tc>
                <w:tcPr>
                  <w:tcW w:w="3119" w:type="dxa"/>
                  <w:gridSpan w:val="2"/>
                  <w:tcBorders>
                    <w:left w:val="single" w:sz="4" w:space="0" w:color="auto"/>
                    <w:bottom w:val="single" w:sz="4" w:space="0" w:color="auto"/>
                  </w:tcBorders>
                  <w:shd w:val="clear" w:color="auto" w:fill="CC99FF"/>
                </w:tcPr>
                <w:p w14:paraId="6A22354B" w14:textId="77777777">
                  <w:pPr>
                    <w:pStyle w:val="Tabletext"/>
                    <w:keepNext/>
                  </w:pPr>
                </w:p>
              </w:tc>
              <w:tc>
                <w:tcPr>
                  <w:tcW w:w="1418" w:type="dxa"/>
                  <w:tcBorders>
                    <w:bottom w:val="single" w:sz="4" w:space="0" w:color="auto"/>
                  </w:tcBorders>
                  <w:shd w:val="clear" w:color="auto" w:fill="CC99FF"/>
                </w:tcPr>
                <w:p w14:paraId="3D637083" w14:textId="77777777">
                  <w:pPr>
                    <w:pStyle w:val="Tabletext"/>
                    <w:keepNext/>
                    <w:jc w:val="center"/>
                    <w:rPr>
                      <w:i/>
                      <w:iCs/>
                    </w:rPr>
                  </w:pPr>
                </w:p>
              </w:tc>
              <w:tc>
                <w:tcPr>
                  <w:tcW w:w="284" w:type="dxa"/>
                  <w:tcBorders>
                    <w:bottom w:val="single" w:sz="4" w:space="0" w:color="auto"/>
                  </w:tcBorders>
                  <w:shd w:val="clear" w:color="auto" w:fill="CC99FF"/>
                </w:tcPr>
                <w:p w14:paraId="2AE02B81" w14:textId="77777777">
                  <w:pPr>
                    <w:pStyle w:val="Tabletext"/>
                    <w:keepNext/>
                    <w:jc w:val="center"/>
                  </w:pPr>
                </w:p>
              </w:tc>
              <w:tc>
                <w:tcPr>
                  <w:tcW w:w="284" w:type="dxa"/>
                  <w:tcBorders>
                    <w:bottom w:val="single" w:sz="4" w:space="0" w:color="auto"/>
                    <w:right w:val="single" w:sz="4" w:space="0" w:color="auto"/>
                  </w:tcBorders>
                  <w:shd w:val="clear" w:color="auto" w:fill="CC99FF"/>
                </w:tcPr>
                <w:p w14:paraId="74F1CC80" w14:textId="77777777">
                  <w:pPr>
                    <w:pStyle w:val="Tabletext"/>
                    <w:keepNext/>
                  </w:pPr>
                </w:p>
              </w:tc>
              <w:tc>
                <w:tcPr>
                  <w:tcW w:w="284" w:type="dxa"/>
                  <w:tcBorders>
                    <w:left w:val="single" w:sz="4" w:space="0" w:color="auto"/>
                    <w:right w:val="double" w:sz="4" w:space="0" w:color="auto"/>
                  </w:tcBorders>
                  <w:shd w:val="clear" w:color="auto" w:fill="CCFFCC"/>
                </w:tcPr>
                <w:p w14:paraId="7B3F4621" w14:textId="77777777">
                  <w:pPr>
                    <w:pStyle w:val="Tabletext"/>
                    <w:keepNext/>
                  </w:pPr>
                </w:p>
              </w:tc>
              <w:tc>
                <w:tcPr>
                  <w:tcW w:w="284" w:type="dxa"/>
                  <w:tcBorders>
                    <w:left w:val="double" w:sz="4" w:space="0" w:color="auto"/>
                    <w:right w:val="double" w:sz="12" w:space="0" w:color="auto"/>
                  </w:tcBorders>
                  <w:shd w:val="clear" w:color="auto" w:fill="92D050"/>
                </w:tcPr>
                <w:p w14:paraId="4572551A" w14:textId="77777777">
                  <w:pPr>
                    <w:pStyle w:val="Tabletext"/>
                    <w:keepNext/>
                  </w:pPr>
                </w:p>
              </w:tc>
            </w:tr>
            <w:tr w14:paraId="3F50A37C" w14:textId="77777777">
              <w:trPr>
                <w:trHeight w:hRule="exact" w:val="284"/>
                <w:jc w:val="center"/>
              </w:trPr>
              <w:tc>
                <w:tcPr>
                  <w:tcW w:w="284" w:type="dxa"/>
                  <w:tcBorders>
                    <w:left w:val="double" w:sz="12" w:space="0" w:color="auto"/>
                    <w:right w:val="double" w:sz="4" w:space="0" w:color="auto"/>
                  </w:tcBorders>
                  <w:shd w:val="clear" w:color="auto" w:fill="92D050"/>
                </w:tcPr>
                <w:p w14:paraId="4682E866" w14:textId="77777777">
                  <w:pPr>
                    <w:pStyle w:val="Tabletext"/>
                    <w:keepNext/>
                  </w:pPr>
                </w:p>
              </w:tc>
              <w:tc>
                <w:tcPr>
                  <w:tcW w:w="284" w:type="dxa"/>
                  <w:tcBorders>
                    <w:left w:val="double" w:sz="4" w:space="0" w:color="auto"/>
                    <w:bottom w:val="double" w:sz="4" w:space="0" w:color="auto"/>
                  </w:tcBorders>
                  <w:shd w:val="clear" w:color="auto" w:fill="CCFFCC"/>
                </w:tcPr>
                <w:p w14:paraId="271A7071" w14:textId="77777777">
                  <w:pPr>
                    <w:pStyle w:val="Tabletext"/>
                    <w:keepNext/>
                  </w:pPr>
                </w:p>
              </w:tc>
              <w:tc>
                <w:tcPr>
                  <w:tcW w:w="284" w:type="dxa"/>
                  <w:tcBorders>
                    <w:top w:val="single" w:sz="4" w:space="0" w:color="auto"/>
                    <w:bottom w:val="double" w:sz="4" w:space="0" w:color="auto"/>
                  </w:tcBorders>
                  <w:shd w:val="clear" w:color="auto" w:fill="CCFFCC"/>
                </w:tcPr>
                <w:p w14:paraId="3C585B4B" w14:textId="77777777">
                  <w:pPr>
                    <w:pStyle w:val="Tabletext"/>
                    <w:keepNext/>
                  </w:pPr>
                </w:p>
              </w:tc>
              <w:tc>
                <w:tcPr>
                  <w:tcW w:w="2835" w:type="dxa"/>
                  <w:tcBorders>
                    <w:top w:val="single" w:sz="4" w:space="0" w:color="auto"/>
                    <w:bottom w:val="double" w:sz="4" w:space="0" w:color="auto"/>
                  </w:tcBorders>
                  <w:shd w:val="clear" w:color="auto" w:fill="CCFFCC"/>
                </w:tcPr>
                <w:p w14:paraId="24B32796" w14:textId="77777777">
                  <w:pPr>
                    <w:pStyle w:val="Tabletext"/>
                    <w:keepNext/>
                  </w:pPr>
                </w:p>
              </w:tc>
              <w:tc>
                <w:tcPr>
                  <w:tcW w:w="1418" w:type="dxa"/>
                  <w:tcBorders>
                    <w:top w:val="single" w:sz="4" w:space="0" w:color="auto"/>
                    <w:bottom w:val="double" w:sz="4" w:space="0" w:color="auto"/>
                  </w:tcBorders>
                  <w:shd w:val="clear" w:color="auto" w:fill="CCFFCC"/>
                </w:tcPr>
                <w:p w14:paraId="08026915" w14:textId="77777777">
                  <w:pPr>
                    <w:pStyle w:val="Tabletext"/>
                    <w:keepNext/>
                    <w:jc w:val="center"/>
                  </w:pPr>
                </w:p>
              </w:tc>
              <w:tc>
                <w:tcPr>
                  <w:tcW w:w="284" w:type="dxa"/>
                  <w:tcBorders>
                    <w:top w:val="single" w:sz="4" w:space="0" w:color="auto"/>
                    <w:bottom w:val="double" w:sz="4" w:space="0" w:color="auto"/>
                  </w:tcBorders>
                  <w:shd w:val="clear" w:color="auto" w:fill="CCFFCC"/>
                </w:tcPr>
                <w:p w14:paraId="5F85F7F5" w14:textId="77777777">
                  <w:pPr>
                    <w:pStyle w:val="Tabletext"/>
                    <w:keepNext/>
                    <w:jc w:val="center"/>
                  </w:pPr>
                </w:p>
              </w:tc>
              <w:tc>
                <w:tcPr>
                  <w:tcW w:w="284" w:type="dxa"/>
                  <w:tcBorders>
                    <w:top w:val="single" w:sz="4" w:space="0" w:color="auto"/>
                    <w:bottom w:val="double" w:sz="4" w:space="0" w:color="auto"/>
                  </w:tcBorders>
                  <w:shd w:val="clear" w:color="auto" w:fill="CCFFCC"/>
                </w:tcPr>
                <w:p w14:paraId="31866E16" w14:textId="77777777">
                  <w:pPr>
                    <w:pStyle w:val="Tabletext"/>
                    <w:keepNext/>
                  </w:pPr>
                </w:p>
              </w:tc>
              <w:tc>
                <w:tcPr>
                  <w:tcW w:w="284" w:type="dxa"/>
                  <w:tcBorders>
                    <w:bottom w:val="double" w:sz="4" w:space="0" w:color="auto"/>
                    <w:right w:val="double" w:sz="4" w:space="0" w:color="auto"/>
                  </w:tcBorders>
                  <w:shd w:val="clear" w:color="auto" w:fill="CCFFCC"/>
                </w:tcPr>
                <w:p w14:paraId="0D3A140B" w14:textId="77777777">
                  <w:pPr>
                    <w:pStyle w:val="Tabletext"/>
                    <w:keepNext/>
                  </w:pPr>
                </w:p>
              </w:tc>
              <w:tc>
                <w:tcPr>
                  <w:tcW w:w="284" w:type="dxa"/>
                  <w:tcBorders>
                    <w:left w:val="double" w:sz="4" w:space="0" w:color="auto"/>
                    <w:right w:val="double" w:sz="12" w:space="0" w:color="auto"/>
                  </w:tcBorders>
                  <w:shd w:val="clear" w:color="auto" w:fill="92D050"/>
                </w:tcPr>
                <w:p w14:paraId="081F9981" w14:textId="77777777">
                  <w:pPr>
                    <w:pStyle w:val="Tabletext"/>
                    <w:keepNext/>
                  </w:pPr>
                </w:p>
              </w:tc>
            </w:tr>
            <w:tr w14:paraId="7B516B54" w14:textId="77777777">
              <w:trPr>
                <w:trHeight w:hRule="exact" w:val="284"/>
                <w:jc w:val="center"/>
              </w:trPr>
              <w:tc>
                <w:tcPr>
                  <w:tcW w:w="284" w:type="dxa"/>
                  <w:tcBorders>
                    <w:left w:val="double" w:sz="12" w:space="0" w:color="auto"/>
                    <w:bottom w:val="double" w:sz="12" w:space="0" w:color="auto"/>
                  </w:tcBorders>
                  <w:shd w:val="clear" w:color="auto" w:fill="92D050"/>
                </w:tcPr>
                <w:p w14:paraId="139C99AD" w14:textId="77777777">
                  <w:pPr>
                    <w:pStyle w:val="Tabletext"/>
                  </w:pPr>
                </w:p>
              </w:tc>
              <w:tc>
                <w:tcPr>
                  <w:tcW w:w="284" w:type="dxa"/>
                  <w:tcBorders>
                    <w:top w:val="double" w:sz="4" w:space="0" w:color="auto"/>
                    <w:bottom w:val="double" w:sz="12" w:space="0" w:color="auto"/>
                  </w:tcBorders>
                  <w:shd w:val="clear" w:color="auto" w:fill="92D050"/>
                </w:tcPr>
                <w:p w14:paraId="79C03C37" w14:textId="77777777">
                  <w:pPr>
                    <w:pStyle w:val="Tabletext"/>
                  </w:pPr>
                </w:p>
              </w:tc>
              <w:tc>
                <w:tcPr>
                  <w:tcW w:w="284" w:type="dxa"/>
                  <w:tcBorders>
                    <w:top w:val="double" w:sz="4" w:space="0" w:color="auto"/>
                    <w:bottom w:val="double" w:sz="12" w:space="0" w:color="auto"/>
                  </w:tcBorders>
                  <w:shd w:val="clear" w:color="auto" w:fill="92D050"/>
                </w:tcPr>
                <w:p w14:paraId="5ED2F6ED" w14:textId="77777777">
                  <w:pPr>
                    <w:pStyle w:val="Tabletext"/>
                  </w:pPr>
                </w:p>
              </w:tc>
              <w:tc>
                <w:tcPr>
                  <w:tcW w:w="2835" w:type="dxa"/>
                  <w:tcBorders>
                    <w:top w:val="double" w:sz="4" w:space="0" w:color="auto"/>
                    <w:bottom w:val="double" w:sz="12" w:space="0" w:color="auto"/>
                  </w:tcBorders>
                  <w:shd w:val="clear" w:color="auto" w:fill="92D050"/>
                </w:tcPr>
                <w:p w14:paraId="5E57C022" w14:textId="77777777">
                  <w:pPr>
                    <w:pStyle w:val="Tabletext"/>
                  </w:pPr>
                </w:p>
              </w:tc>
              <w:tc>
                <w:tcPr>
                  <w:tcW w:w="1418" w:type="dxa"/>
                  <w:tcBorders>
                    <w:top w:val="double" w:sz="4" w:space="0" w:color="auto"/>
                    <w:bottom w:val="double" w:sz="12" w:space="0" w:color="auto"/>
                  </w:tcBorders>
                  <w:shd w:val="clear" w:color="auto" w:fill="92D050"/>
                </w:tcPr>
                <w:p w14:paraId="6772B09D" w14:textId="77777777">
                  <w:pPr>
                    <w:pStyle w:val="Tabletext"/>
                    <w:jc w:val="center"/>
                  </w:pPr>
                </w:p>
              </w:tc>
              <w:tc>
                <w:tcPr>
                  <w:tcW w:w="284" w:type="dxa"/>
                  <w:tcBorders>
                    <w:top w:val="double" w:sz="4" w:space="0" w:color="auto"/>
                    <w:bottom w:val="double" w:sz="12" w:space="0" w:color="auto"/>
                  </w:tcBorders>
                  <w:shd w:val="clear" w:color="auto" w:fill="92D050"/>
                </w:tcPr>
                <w:p w14:paraId="35EE7630" w14:textId="77777777">
                  <w:pPr>
                    <w:pStyle w:val="Tabletext"/>
                    <w:jc w:val="center"/>
                  </w:pPr>
                </w:p>
              </w:tc>
              <w:tc>
                <w:tcPr>
                  <w:tcW w:w="284" w:type="dxa"/>
                  <w:tcBorders>
                    <w:top w:val="double" w:sz="4" w:space="0" w:color="auto"/>
                    <w:bottom w:val="double" w:sz="12" w:space="0" w:color="auto"/>
                  </w:tcBorders>
                  <w:shd w:val="clear" w:color="auto" w:fill="92D050"/>
                </w:tcPr>
                <w:p w14:paraId="1838F2A5" w14:textId="77777777">
                  <w:pPr>
                    <w:pStyle w:val="Tabletext"/>
                  </w:pPr>
                </w:p>
              </w:tc>
              <w:tc>
                <w:tcPr>
                  <w:tcW w:w="284" w:type="dxa"/>
                  <w:tcBorders>
                    <w:top w:val="double" w:sz="4" w:space="0" w:color="auto"/>
                    <w:bottom w:val="double" w:sz="12" w:space="0" w:color="auto"/>
                  </w:tcBorders>
                  <w:shd w:val="clear" w:color="auto" w:fill="92D050"/>
                </w:tcPr>
                <w:p w14:paraId="5BC16A4C" w14:textId="77777777">
                  <w:pPr>
                    <w:pStyle w:val="Tabletext"/>
                  </w:pPr>
                </w:p>
              </w:tc>
              <w:tc>
                <w:tcPr>
                  <w:tcW w:w="284" w:type="dxa"/>
                  <w:tcBorders>
                    <w:bottom w:val="double" w:sz="12" w:space="0" w:color="auto"/>
                    <w:right w:val="double" w:sz="12" w:space="0" w:color="auto"/>
                  </w:tcBorders>
                  <w:shd w:val="clear" w:color="auto" w:fill="92D050"/>
                </w:tcPr>
                <w:p w14:paraId="2617D4F4" w14:textId="77777777">
                  <w:pPr>
                    <w:pStyle w:val="Tabletext"/>
                  </w:pPr>
                </w:p>
              </w:tc>
            </w:tr>
          </w:tbl>
          <w:p w14:paraId="7D8F7BC9" w14:textId="77777777"/>
        </w:tc>
      </w:tr>
    </w:tbl>
    <w:p w14:paraId="0FC2887E" w14:textId="6AA218C3">
      <w:r>
        <w:t>Within a TEI document, the entirety of the source text is contained within the edition division (§</w:t>
      </w:r>
      <w:r>
        <w:fldChar w:fldCharType="begin"/>
      </w:r>
      <w:r>
        <w:instrText xml:space="preserve"> REF _Ref224739111 \r \h </w:instrText>
      </w:r>
      <w:r>
        <w:fldChar w:fldCharType="separate"/>
      </w:r>
      <w:r>
        <w:t>2.3.3</w:t>
      </w:r>
      <w:r>
        <w:fldChar w:fldCharType="end"/>
      </w:r>
      <w:r>
        <w:t>), which thus also contains the entire hierarchy of intrinsic structure. Within the edition division, all of the text in an EpiDoc edition must be wrapped in block-level (§</w:t>
      </w:r>
      <w:r>
        <w:fldChar w:fldCharType="begin"/>
      </w:r>
      <w:r>
        <w:instrText xml:space="preserve"> REF _Ref224893557 \r \h </w:instrText>
      </w:r>
      <w:r>
        <w:fldChar w:fldCharType="separate"/>
      </w:r>
      <w:r>
        <w:t>2.2.2</w:t>
      </w:r>
      <w:r>
        <w:fldChar w:fldCharType="end"/>
      </w:r>
      <w:r>
        <w:t xml:space="preserve">) container elements representing units of intrinsic structure, namely “paragraphs” or “anonymous blocks” in prose </w:t>
      </w:r>
      <w:r>
        <w:rPr>
          <w:noProof/>
        </w:rPr>
        <w:t>(</w:t>
      </w:r>
      <w:r>
        <w:t>§</w:t>
      </w:r>
      <w:r>
        <w:fldChar w:fldCharType="begin"/>
      </w:r>
      <w:r>
        <w:instrText xml:space="preserve"> REF _Ref225321156 \r \h </w:instrText>
      </w:r>
      <w:r>
        <w:fldChar w:fldCharType="separate"/>
      </w:r>
      <w:r>
        <w:t>3.1.1</w:t>
      </w:r>
      <w:r>
        <w:fldChar w:fldCharType="end"/>
      </w:r>
      <w:r>
        <w:t xml:space="preserve">), and “stanzas” in verse </w:t>
      </w:r>
      <w:r>
        <w:rPr>
          <w:noProof/>
        </w:rPr>
        <w:t>(</w:t>
      </w:r>
      <w:r>
        <w:t>§</w:t>
      </w:r>
      <w:r>
        <w:fldChar w:fldCharType="begin"/>
      </w:r>
      <w:r>
        <w:instrText xml:space="preserve"> REF _Ref224740501 \r \h </w:instrText>
      </w:r>
      <w:r>
        <w:fldChar w:fldCharType="separate"/>
      </w:r>
      <w:r>
        <w:t>3.2.2</w:t>
      </w:r>
      <w:r>
        <w:fldChar w:fldCharType="end"/>
      </w:r>
      <w:r>
        <w:t>). In the simplest of cases, an edition can contain just a single block-level element, which in turn contains the entire text. Otherwise, the edition may contain a series of block-level elements, each of which contains part of the text.</w:t>
      </w:r>
    </w:p>
    <w:p w14:paraId="34FB00B2" w14:textId="77777777">
      <w:pPr>
        <w:pStyle w:val="Normlbehzs"/>
      </w:pPr>
      <w:r>
        <w:t xml:space="preserve">Any number of these basic containers may be used in any sequence as called for by the nature of the text, but to keep the encoding structure simple, in our practice these containers shall never be nested in one another, only follow one another in a simple linear sequence. That is to say, paragraphs, anonymous blocks </w:t>
      </w:r>
      <w:r>
        <w:lastRenderedPageBreak/>
        <w:t xml:space="preserve">and stanzas always occupy the same level of the hierarchy in DHARMA encoding. The containers must </w:t>
      </w:r>
      <w:r>
        <w:rPr>
          <w:rStyle w:val="Foreign"/>
        </w:rPr>
        <w:t>tessellate</w:t>
      </w:r>
      <w:r>
        <w:t>, meaning that they must seamlessly cover the entire edition in the manner of tiles. Thus, there can usually be no text in the edition which is not also contained within a paragraph, anonymous block or stanza.</w:t>
      </w:r>
    </w:p>
    <w:p w14:paraId="1C568BFA" w14:textId="77777777">
      <w:pPr>
        <w:pStyle w:val="Normlbehzs"/>
      </w:pPr>
      <w:r>
        <w:t>The hierarchy presented above can be extended by one additional step in either direction. In the downward direction, applicable only to verse, the lines of a stanza must be individually wrapped in a lower-level container in addition to the stanza container wrapping all lines as a unit. In the upward direction, higher-level blocks called textpart divisions can be used to subdivide the text into cohesive parts, each of which can contain a number of basic containers. Tessellation is a requirement applicable to all levels of this hierarchy. Thus, if verse is present, then the entire text of each stanza must be contained within one line or another, and never directly within the stanza. Conversely, if textpart divisions are present, then all of the basic containers must be within one division or another, and never directly within the edition division.</w:t>
      </w:r>
    </w:p>
    <w:p w14:paraId="3F44AB18" w14:textId="17D83139">
      <w:pPr>
        <w:pStyle w:val="Normlbehzs"/>
      </w:pPr>
      <w:r>
        <w:t>Because our documentary editions are usually concerned with short to moderate-length texts which, unlike the quintessential book, rarely involve multiple hierarchical tiers, in our practice we restrict the use of textpart divisions to a small number of cases where a major semantic boundary (in the intrinsic structure of the text as work) coincides with a salient physical boundary (in the extrinsic structure of the text as document). Textpart divisions will therefore be introduced under extrinsic structure in §</w:t>
      </w:r>
      <w:r>
        <w:fldChar w:fldCharType="begin"/>
      </w:r>
      <w:r>
        <w:instrText xml:space="preserve"> REF _Ref225778181 \r \h </w:instrText>
      </w:r>
      <w:r>
        <w:fldChar w:fldCharType="separate"/>
      </w:r>
      <w:r>
        <w:t>4.2</w:t>
      </w:r>
      <w:r>
        <w:fldChar w:fldCharType="end"/>
      </w:r>
      <w:r>
        <w:t>, and the specific cases where they are needed will be discussed in §</w:t>
      </w:r>
      <w:r>
        <w:fldChar w:fldCharType="begin"/>
      </w:r>
      <w:r>
        <w:instrText xml:space="preserve"> REF _Ref225759775 \r \h </w:instrText>
      </w:r>
      <w:r>
        <w:fldChar w:fldCharType="separate"/>
      </w:r>
      <w:r>
        <w:t>4.7.3</w:t>
      </w:r>
      <w:r>
        <w:fldChar w:fldCharType="end"/>
      </w:r>
      <w:r>
        <w:t>. Consequently, our documentary editions do not recognise intrinsic units superordinate to prose and verse blocks on a purely semantic basis.</w:t>
      </w:r>
    </w:p>
    <w:p w14:paraId="4864972D" w14:textId="663E899A">
      <w:pPr>
        <w:pStyle w:val="Normlbehzs"/>
      </w:pPr>
      <w:r>
        <w:t>In some cases, which occur only rarely in our practice, this simple hierarchy of intrinsic structure can be complicated in either of two additional ways. First, prose paragraphs may occasionally contain lists (§</w:t>
      </w:r>
      <w:r>
        <w:fldChar w:fldCharType="begin"/>
      </w:r>
      <w:r>
        <w:instrText xml:space="preserve"> REF _Ref168563127 \r \h </w:instrText>
      </w:r>
      <w:r>
        <w:fldChar w:fldCharType="separate"/>
      </w:r>
      <w:r>
        <w:t>3.2.1.3</w:t>
      </w:r>
      <w:r>
        <w:fldChar w:fldCharType="end"/>
      </w:r>
      <w:r>
        <w:t>), which in turn contain list items, thus adding two further hierarchical levels below that of the paragraph.</w:t>
      </w:r>
      <w:r>
        <w:rPr>
          <w:rStyle w:val="Lbjegyzet-hivatkozs"/>
        </w:rPr>
        <w:footnoteReference w:id="8"/>
      </w:r>
      <w:r>
        <w:t xml:space="preserve"> Tessellation is required for items within a list, but not for lists themselves. Second, forme work (§</w:t>
      </w:r>
      <w:r>
        <w:fldChar w:fldCharType="begin"/>
      </w:r>
      <w:r>
        <w:instrText xml:space="preserve"> REF _Ref43984607 \r \h </w:instrText>
      </w:r>
      <w:r>
        <w:fldChar w:fldCharType="separate"/>
      </w:r>
      <w:r>
        <w:t>4.7.2</w:t>
      </w:r>
      <w:r>
        <w:fldChar w:fldCharType="end"/>
      </w:r>
      <w:r>
        <w:t>) — basically meaning page or folio numbering in a document — is detached from the text’s intrinsic structure but has to be positioned one way or another in the XML structure of the encoded document. Because of its unusual nature, the XML element representing forme work may, in exceptional cases, appear outside the basic block-level containers (as a direct child of a division); otherwise, it is placed within a container and thus adds another hierarchical level to the XML structure.</w:t>
      </w:r>
    </w:p>
    <w:p w14:paraId="560882EC" w14:textId="77777777">
      <w:pPr>
        <w:pStyle w:val="Cmsor3"/>
      </w:pPr>
      <w:bookmarkStart w:id="59" w:name="_Ref225331879"/>
      <w:bookmarkStart w:id="60" w:name="_Ref224740240"/>
      <w:bookmarkStart w:id="61" w:name="_Ref225244409"/>
      <w:bookmarkStart w:id="62" w:name="_Ref225153899"/>
      <w:bookmarkStart w:id="63" w:name="_Ref225321156"/>
      <w:bookmarkStart w:id="64" w:name="_Toc243922599"/>
      <w:r>
        <w:t>Numeration for reference</w:t>
      </w:r>
      <w:bookmarkEnd w:id="59"/>
      <w:bookmarkEnd w:id="64"/>
    </w:p>
    <w:p w14:paraId="1F936EF4" w14:textId="1508F496">
      <w:r>
        <w:rPr>
          <w:lang w:eastAsia="en-US" w:bidi="ar-SA"/>
        </w:rPr>
        <w:t xml:space="preserve">All TEI elements can be provided with arbitrary numeration using the attribute </w:t>
      </w:r>
      <w:r>
        <w:rPr>
          <w:rStyle w:val="Codeattribute"/>
        </w:rPr>
        <w:t>@n</w:t>
      </w:r>
      <w:r>
        <w:rPr>
          <w:lang w:eastAsia="en-US" w:bidi="ar-SA"/>
        </w:rPr>
        <w:t xml:space="preserve">, primarily to be used as reference by human end users. Another </w:t>
      </w:r>
      <w:r>
        <w:t xml:space="preserve">attribute, </w:t>
      </w:r>
      <w:r>
        <w:rPr>
          <w:rStyle w:val="Codeattribute"/>
        </w:rPr>
        <w:t>@xml:id</w:t>
      </w:r>
      <w:r>
        <w:t xml:space="preserve"> </w:t>
      </w:r>
      <w:r>
        <w:rPr>
          <w:noProof/>
        </w:rPr>
        <w:t>(</w:t>
      </w:r>
      <w:r>
        <w:t>§</w:t>
      </w:r>
      <w:r>
        <w:fldChar w:fldCharType="begin"/>
      </w:r>
      <w:r>
        <w:instrText xml:space="preserve"> REF _Ref43988993 \w \h  \* MERGEFORMAT </w:instrText>
      </w:r>
      <w:r>
        <w:fldChar w:fldCharType="separate"/>
      </w:r>
      <w:r>
        <w:t>14.6.6</w:t>
      </w:r>
      <w:r>
        <w:fldChar w:fldCharType="end"/>
      </w:r>
      <w:r>
        <w:t xml:space="preserve">), is employed for the rigorous, machine-readable referencing of elements. For the purpose of referring to units of intrinsic structure, </w:t>
      </w:r>
      <w:r>
        <w:rPr>
          <w:lang w:eastAsia="en-US" w:bidi="ar-SA"/>
        </w:rPr>
        <w:t xml:space="preserve">DHARMA editions only use numeration </w:t>
      </w:r>
      <w:r>
        <w:t xml:space="preserve">involving </w:t>
      </w:r>
      <w:r>
        <w:rPr>
          <w:rStyle w:val="Codeattribute"/>
        </w:rPr>
        <w:t>@n</w:t>
      </w:r>
      <w:r>
        <w:t xml:space="preserve"> </w:t>
      </w:r>
      <w:r>
        <w:rPr>
          <w:lang w:eastAsia="en-US" w:bidi="ar-SA"/>
        </w:rPr>
        <w:t xml:space="preserve">on the containers for stanzas and verse lines (as well as for textpart divisions). </w:t>
      </w:r>
      <w:r>
        <w:t>The projectwide conventions introduced under §</w:t>
      </w:r>
      <w:r>
        <w:fldChar w:fldCharType="begin"/>
      </w:r>
      <w:r>
        <w:instrText xml:space="preserve"> REF _Ref224740501 \r \h </w:instrText>
      </w:r>
      <w:r>
        <w:fldChar w:fldCharType="separate"/>
      </w:r>
      <w:r>
        <w:t>3.2.2</w:t>
      </w:r>
      <w:r>
        <w:fldChar w:fldCharType="end"/>
      </w:r>
      <w:r>
        <w:t xml:space="preserve"> for numbering elements with </w:t>
      </w:r>
      <w:r>
        <w:rPr>
          <w:rStyle w:val="Codeattribute"/>
        </w:rPr>
        <w:t>@n</w:t>
      </w:r>
      <w:r>
        <w:t xml:space="preserve"> not only ensure consistency in our editions, but also facilitate conventional human-readable reference. For referring to text in prose, we see no advantage in numbering semantic units (as they vary greatly in size) and instead rely on the numeration of the units of extrinsic structure (§</w:t>
      </w:r>
      <w:r>
        <w:fldChar w:fldCharType="begin"/>
      </w:r>
      <w:r>
        <w:instrText xml:space="preserve"> REF _Ref225331491 \r \h </w:instrText>
      </w:r>
      <w:r>
        <w:fldChar w:fldCharType="separate"/>
      </w:r>
      <w:r>
        <w:t>4.1.1</w:t>
      </w:r>
      <w:r>
        <w:fldChar w:fldCharType="end"/>
      </w:r>
      <w:r>
        <w:t>).</w:t>
      </w:r>
    </w:p>
    <w:p w14:paraId="76144A99" w14:textId="77777777">
      <w:pPr>
        <w:pStyle w:val="Cmsor2"/>
      </w:pPr>
      <w:bookmarkStart w:id="65" w:name="_Ref225500627"/>
      <w:bookmarkStart w:id="66" w:name="_Toc243922600"/>
      <w:r>
        <w:t>Encoding with block-level containers</w:t>
      </w:r>
      <w:bookmarkEnd w:id="65"/>
      <w:bookmarkEnd w:id="66"/>
    </w:p>
    <w:p w14:paraId="037EC61F" w14:textId="77777777">
      <w:pPr>
        <w:pStyle w:val="Cmsor3"/>
      </w:pPr>
      <w:bookmarkStart w:id="67" w:name="_Ref229058843"/>
      <w:bookmarkStart w:id="68" w:name="_Toc243922601"/>
      <w:bookmarkEnd w:id="60"/>
      <w:bookmarkEnd w:id="61"/>
      <w:bookmarkEnd w:id="62"/>
      <w:r>
        <w:t>Prose containers</w:t>
      </w:r>
      <w:bookmarkEnd w:id="54"/>
      <w:bookmarkEnd w:id="55"/>
      <w:bookmarkEnd w:id="63"/>
      <w:bookmarkEnd w:id="67"/>
      <w:bookmarkEnd w:id="68"/>
    </w:p>
    <w:p w14:paraId="31835487" w14:textId="77777777">
      <w:pPr>
        <w:pStyle w:val="Cmsor4"/>
      </w:pPr>
      <w:bookmarkStart w:id="69" w:name="_xcjk45g56cuw" w:colFirst="0" w:colLast="0"/>
      <w:bookmarkStart w:id="70" w:name="_Ref43991413"/>
      <w:bookmarkEnd w:id="69"/>
      <w:r>
        <w:t>Paragraphs</w:t>
      </w:r>
      <w:bookmarkEnd w:id="70"/>
    </w:p>
    <w:p w14:paraId="164E7A8A" w14:textId="77777777">
      <w:r>
        <w:t xml:space="preserve">The default container element for prose text is the paragraph, </w:t>
      </w:r>
      <w:r>
        <w:rPr>
          <w:rStyle w:val="Code"/>
        </w:rPr>
        <w:t>&lt;p&gt;</w:t>
      </w:r>
      <w:r>
        <w:t xml:space="preserve">. Short prose inscriptions consisting of at least one complete sentence shall be wrapped in a single </w:t>
      </w:r>
      <w:r>
        <w:rPr>
          <w:rStyle w:val="Code"/>
        </w:rPr>
        <w:t>&lt;p&gt;</w:t>
      </w:r>
      <w:r>
        <w:t xml:space="preserve"> element, while longer prose passages shall be broken up into semantic paragraphs on the basis of their content. When representing original documents in TEI, the element </w:t>
      </w:r>
      <w:r>
        <w:rPr>
          <w:rStyle w:val="Code"/>
        </w:rPr>
        <w:t>&lt;p&gt;</w:t>
      </w:r>
      <w:r>
        <w:t xml:space="preserve"> is normally used for paragraphs visually demarcated as such in the original physical manifestation of a text </w:t>
      </w:r>
      <w:r>
        <w:rPr>
          <w:noProof/>
        </w:rPr>
        <w:t>(</w:t>
      </w:r>
      <w:r>
        <w:t xml:space="preserve">i.e. units that start in a new line and may begin with an indent). Our inscriptions </w:t>
      </w:r>
      <w:r>
        <w:lastRenderedPageBreak/>
        <w:t xml:space="preserve">seldom employ such visual paragraphs, yet often contain longer sections of prose that would, in a modern document, be segmented into paragraphs. In DHARMA, we therefore refer to cohesive passages within longer prose sections as semantic paragraphs and encode them with separate </w:t>
      </w:r>
      <w:r>
        <w:rPr>
          <w:rStyle w:val="Code"/>
        </w:rPr>
        <w:t>&lt;p&gt;</w:t>
      </w:r>
      <w:r>
        <w:t xml:space="preserve"> elements. This editorial segmentation is analogous to segmenting </w:t>
      </w:r>
      <w:r>
        <w:rPr>
          <w:rStyle w:val="Foreign"/>
        </w:rPr>
        <w:t>scriptio continua</w:t>
      </w:r>
      <w:r>
        <w:t xml:space="preserve"> with editorial spaces and will be likewise helpful in display and interpretation. Therefore, in our editions a new </w:t>
      </w:r>
      <w:r>
        <w:rPr>
          <w:rStyle w:val="Code"/>
        </w:rPr>
        <w:t>&lt;p&gt;</w:t>
      </w:r>
      <w:r>
        <w:t xml:space="preserve"> element shall be started at any point where you feel the topic changes sufficiently to comprise a new semantic unit. Splitting a continuously inscribed text into semantic paragraphs is arbitrary and somewhat subjective; when exercising your own judgement, it may help to imagine translating the text and to put paragraph breaks where you would start a new paragraph in your translation. </w:t>
      </w:r>
    </w:p>
    <w:p w14:paraId="5BBFBC26" w14:textId="77777777">
      <w:pPr>
        <w:pStyle w:val="Lista"/>
      </w:pPr>
      <w:r>
        <w:rPr>
          <w:rStyle w:val="Code"/>
        </w:rPr>
        <w:t>&lt;p&gt;</w:t>
      </w:r>
      <w:r>
        <w:t xml:space="preserve"> elements usually carry no attributes in our editions</w:t>
      </w:r>
    </w:p>
    <w:p w14:paraId="65A1EA99" w14:textId="76F4EB8F">
      <w:pPr>
        <w:pStyle w:val="Lista2"/>
      </w:pPr>
      <w:r>
        <w:t xml:space="preserve">the attribute </w:t>
      </w:r>
      <w:r>
        <w:rPr>
          <w:rStyle w:val="Codeattribute"/>
        </w:rPr>
        <w:t>@part</w:t>
      </w:r>
      <w:r>
        <w:t xml:space="preserve"> is added to incomplete paragraphs as per §</w:t>
      </w:r>
      <w:r>
        <w:fldChar w:fldCharType="begin"/>
      </w:r>
      <w:r>
        <w:instrText xml:space="preserve"> REF _Ref228980509 \r \h </w:instrText>
      </w:r>
      <w:r>
        <w:fldChar w:fldCharType="separate"/>
      </w:r>
      <w:r>
        <w:t>3.2.3.1</w:t>
      </w:r>
      <w:r>
        <w:fldChar w:fldCharType="end"/>
      </w:r>
      <w:r>
        <w:t xml:space="preserve"> </w:t>
      </w:r>
    </w:p>
    <w:p w14:paraId="0FB1E5E6" w14:textId="77777777">
      <w:pPr>
        <w:pStyle w:val="Cmsor4"/>
      </w:pPr>
      <w:bookmarkStart w:id="71" w:name="_28fdtwg1bdas" w:colFirst="0" w:colLast="0"/>
      <w:bookmarkStart w:id="72" w:name="_Ref43981028"/>
      <w:bookmarkEnd w:id="71"/>
      <w:r>
        <w:t>Anonymous blocks</w:t>
      </w:r>
      <w:bookmarkEnd w:id="72"/>
    </w:p>
    <w:p w14:paraId="36CD54C3" w14:textId="1C5E6967">
      <w:r>
        <w:t xml:space="preserve">In general EpiDoc usage, the entire text of an inscription is wrapped in a single </w:t>
      </w:r>
      <w:r>
        <w:rPr>
          <w:rStyle w:val="Code"/>
        </w:rPr>
        <w:t>&lt;ab&gt;</w:t>
      </w:r>
      <w:r>
        <w:t xml:space="preserve"> element (for “anonymous block” or “arbitrary block”). In DHARMA practice, we prefer segmentation into semantic paragraphs as per §</w:t>
      </w:r>
      <w:r>
        <w:fldChar w:fldCharType="begin"/>
      </w:r>
      <w:r>
        <w:instrText xml:space="preserve"> REF _Ref43991413 \r \h </w:instrText>
      </w:r>
      <w:r>
        <w:fldChar w:fldCharType="separate"/>
      </w:r>
      <w:r>
        <w:t>3.2.1.1</w:t>
      </w:r>
      <w:r>
        <w:fldChar w:fldCharType="end"/>
      </w:r>
      <w:r>
        <w:t xml:space="preserve"> and do not employ a single container for the entirety of a text. However, we do optionally use </w:t>
      </w:r>
      <w:r>
        <w:rPr>
          <w:rStyle w:val="Code"/>
        </w:rPr>
        <w:t>&lt;ab&gt;</w:t>
      </w:r>
      <w:r>
        <w:t xml:space="preserve"> instead of </w:t>
      </w:r>
      <w:r>
        <w:rPr>
          <w:rStyle w:val="Code"/>
        </w:rPr>
        <w:t>&lt;p&gt;</w:t>
      </w:r>
      <w:r>
        <w:t xml:space="preserve"> for isolated chunks of text for which the designation “paragraph” seems semantically inappropriate, as in the following cases:</w:t>
      </w:r>
    </w:p>
    <w:p w14:paraId="7E399D1F" w14:textId="77777777">
      <w:pPr>
        <w:pStyle w:val="Lista"/>
      </w:pPr>
      <w:r>
        <w:t>if the entirety of your inscription constitutes less than a complete sentence due to its shortness or lack of syntax, e.g.</w:t>
      </w:r>
    </w:p>
    <w:p w14:paraId="034D97C4" w14:textId="77777777">
      <w:pPr>
        <w:pStyle w:val="Lista2"/>
      </w:pPr>
      <w:r>
        <w:t>a sealing with just a name</w:t>
      </w:r>
    </w:p>
    <w:p w14:paraId="52C3E416" w14:textId="77777777">
      <w:pPr>
        <w:pStyle w:val="Lista2"/>
      </w:pPr>
      <w:r>
        <w:t>a label inscription on an image</w:t>
      </w:r>
    </w:p>
    <w:p w14:paraId="40120E70" w14:textId="77777777">
      <w:pPr>
        <w:pStyle w:val="Lista2"/>
      </w:pPr>
      <w:r>
        <w:t>a graffito on a monument</w:t>
      </w:r>
    </w:p>
    <w:p w14:paraId="0FC0C57E" w14:textId="73917CEB">
      <w:pPr>
        <w:pStyle w:val="Lista"/>
      </w:pPr>
      <w:r>
        <w:t>if the entirety of a textpart (§</w:t>
      </w:r>
      <w:r>
        <w:fldChar w:fldCharType="begin"/>
      </w:r>
      <w:r>
        <w:instrText xml:space="preserve"> REF _Ref225778181 \r \h </w:instrText>
      </w:r>
      <w:r>
        <w:fldChar w:fldCharType="separate"/>
      </w:r>
      <w:r>
        <w:t>4.2</w:t>
      </w:r>
      <w:r>
        <w:fldChar w:fldCharType="end"/>
      </w:r>
      <w:r>
        <w:t>) constitutes less than a complete sentence, e.g.</w:t>
      </w:r>
    </w:p>
    <w:p w14:paraId="71652E57" w14:textId="77777777">
      <w:pPr>
        <w:pStyle w:val="Lista2"/>
      </w:pPr>
      <w:r>
        <w:t xml:space="preserve">a copperplate seal with just a name </w:t>
      </w:r>
      <w:r>
        <w:rPr>
          <w:noProof/>
        </w:rPr>
        <w:t>(</w:t>
      </w:r>
      <w:r>
        <w:t>in the genitive, nominative, or without a case ending)</w:t>
      </w:r>
    </w:p>
    <w:p w14:paraId="51AFA8F4" w14:textId="77777777">
      <w:pPr>
        <w:pStyle w:val="Lista2"/>
      </w:pPr>
      <w:r>
        <w:t>an auspicious word or symbol in a field set off from the rest of the inscription</w:t>
      </w:r>
    </w:p>
    <w:p w14:paraId="5AF18177" w14:textId="77777777">
      <w:pPr>
        <w:pStyle w:val="Lista"/>
      </w:pPr>
      <w:r>
        <w:t xml:space="preserve">if a segment of the text is physically contiguous with other text, but semantically or prosodically distinct from adjacent containers </w:t>
      </w:r>
      <w:r>
        <w:rPr>
          <w:noProof/>
        </w:rPr>
        <w:t>(</w:t>
      </w:r>
      <w:r>
        <w:rPr>
          <w:rStyle w:val="Code"/>
        </w:rPr>
        <w:t>&lt;p&gt;</w:t>
      </w:r>
      <w:r>
        <w:t xml:space="preserve"> or </w:t>
      </w:r>
      <w:r>
        <w:rPr>
          <w:rStyle w:val="Code"/>
        </w:rPr>
        <w:t>&lt;lg&gt;</w:t>
      </w:r>
      <w:r>
        <w:t>), and constitutes less than a complete sentence, e.g.</w:t>
      </w:r>
    </w:p>
    <w:p w14:paraId="7E00907D" w14:textId="77777777">
      <w:pPr>
        <w:pStyle w:val="Lista2"/>
      </w:pPr>
      <w:r>
        <w:t xml:space="preserve">an opening invocation consisting only of the word </w:t>
      </w:r>
      <w:r>
        <w:rPr>
          <w:rStyle w:val="Foreign"/>
        </w:rPr>
        <w:t>siddham</w:t>
      </w:r>
      <w:r>
        <w:t xml:space="preserve"> or an auspicious symbol</w:t>
      </w:r>
    </w:p>
    <w:p w14:paraId="76B3F894" w14:textId="77777777">
      <w:pPr>
        <w:pStyle w:val="Lista2"/>
      </w:pPr>
      <w:r>
        <w:t>a colophon not comprised of complete sentences</w:t>
      </w:r>
    </w:p>
    <w:p w14:paraId="715438A1" w14:textId="77777777">
      <w:pPr>
        <w:pStyle w:val="Lista2"/>
      </w:pPr>
      <w:r>
        <w:t xml:space="preserve">a connective particle or phrase </w:t>
      </w:r>
      <w:r>
        <w:rPr>
          <w:noProof/>
        </w:rPr>
        <w:t>(</w:t>
      </w:r>
      <w:r>
        <w:t xml:space="preserve">e.g. </w:t>
      </w:r>
      <w:r>
        <w:rPr>
          <w:rStyle w:val="Foreign"/>
        </w:rPr>
        <w:t>iti</w:t>
      </w:r>
      <w:r>
        <w:t xml:space="preserve">, </w:t>
      </w:r>
      <w:r>
        <w:rPr>
          <w:rStyle w:val="Foreign"/>
        </w:rPr>
        <w:t>api ca</w:t>
      </w:r>
      <w:r>
        <w:t>) used to introduce, connect or conclude stanzas and not functioning as an integral part of the unit adjacent to the stanza</w:t>
      </w:r>
    </w:p>
    <w:p w14:paraId="470D63DC" w14:textId="77777777">
      <w:pPr>
        <w:pStyle w:val="Lista"/>
      </w:pPr>
      <w:r>
        <w:t>if a section of text is so heavily damaged that you cannot determine whether it is in prose or verse</w:t>
      </w:r>
    </w:p>
    <w:p w14:paraId="67BCD3FF" w14:textId="77777777">
      <w:pPr>
        <w:pStyle w:val="Lista"/>
      </w:pPr>
      <w:r>
        <w:rPr>
          <w:rStyle w:val="Code"/>
        </w:rPr>
        <w:t>&lt;ab&gt;</w:t>
      </w:r>
      <w:r>
        <w:t xml:space="preserve"> elements usually carry no attributes in our editions</w:t>
      </w:r>
    </w:p>
    <w:p w14:paraId="521DDF1D" w14:textId="4D1E7595">
      <w:pPr>
        <w:pStyle w:val="Lista2"/>
      </w:pPr>
      <w:r>
        <w:t xml:space="preserve">the attribute </w:t>
      </w:r>
      <w:r>
        <w:rPr>
          <w:rStyle w:val="Codeattribute"/>
        </w:rPr>
        <w:t>@part</w:t>
      </w:r>
      <w:r>
        <w:t xml:space="preserve"> is added to incomplete blocks as per §</w:t>
      </w:r>
      <w:r>
        <w:fldChar w:fldCharType="begin"/>
      </w:r>
      <w:r>
        <w:instrText xml:space="preserve"> REF _Ref228980509 \r \h </w:instrText>
      </w:r>
      <w:r>
        <w:fldChar w:fldCharType="separate"/>
      </w:r>
      <w:r>
        <w:t>3.2.3.1</w:t>
      </w:r>
      <w:r>
        <w:fldChar w:fldCharType="end"/>
      </w:r>
      <w:r>
        <w:t xml:space="preserve"> </w:t>
      </w:r>
    </w:p>
    <w:p w14:paraId="5F053094" w14:textId="77777777">
      <w:pPr>
        <w:pStyle w:val="Cmsor4"/>
      </w:pPr>
      <w:bookmarkStart w:id="73" w:name="_twhqkur5z3w2" w:colFirst="0" w:colLast="0"/>
      <w:bookmarkStart w:id="74" w:name="_Ref168563127"/>
      <w:bookmarkStart w:id="75" w:name="_Ref43978871"/>
      <w:bookmarkEnd w:id="73"/>
      <w:r>
        <w:t>Lists in the edition</w:t>
      </w:r>
      <w:bookmarkEnd w:id="74"/>
    </w:p>
    <w:p w14:paraId="65257DD2" w14:textId="1041B484">
      <w:r>
        <w:t>The encoding of lists is primarily applicable to sections in a modern language, such as the translation and the commentary, as discussed in §</w:t>
      </w:r>
      <w:r>
        <w:fldChar w:fldCharType="begin"/>
      </w:r>
      <w:r>
        <w:instrText xml:space="preserve"> REF _Ref233279232 \r \h </w:instrText>
      </w:r>
      <w:r>
        <w:fldChar w:fldCharType="separate"/>
      </w:r>
      <w:r>
        <w:t>14.3.3</w:t>
      </w:r>
      <w:r>
        <w:fldChar w:fldCharType="end"/>
      </w:r>
      <w:r>
        <w:t>. Structured lists may, at the encoder’s option, also be used in the edition, in the following manner.</w:t>
      </w:r>
    </w:p>
    <w:p w14:paraId="6A58DC3E" w14:textId="77777777">
      <w:pPr>
        <w:pStyle w:val="Lista"/>
      </w:pPr>
      <w:r>
        <w:t xml:space="preserve">to encode a list, create a </w:t>
      </w:r>
      <w:r>
        <w:rPr>
          <w:rStyle w:val="Code"/>
        </w:rPr>
        <w:t>&lt;list&gt;</w:t>
      </w:r>
      <w:r>
        <w:t xml:space="preserve"> element within an already existing </w:t>
      </w:r>
      <w:r>
        <w:rPr>
          <w:rStyle w:val="Code"/>
        </w:rPr>
        <w:t>&lt;p&gt;</w:t>
      </w:r>
      <w:r>
        <w:t xml:space="preserve"> element</w:t>
      </w:r>
    </w:p>
    <w:p w14:paraId="6E06397F" w14:textId="77777777">
      <w:pPr>
        <w:pStyle w:val="Lista2"/>
      </w:pPr>
      <w:r>
        <w:rPr>
          <w:rStyle w:val="Code"/>
        </w:rPr>
        <w:t>&lt;list&gt;</w:t>
      </w:r>
      <w:r>
        <w:t xml:space="preserve"> elements are not required to tessellate, so a </w:t>
      </w:r>
      <w:r>
        <w:rPr>
          <w:rStyle w:val="Code"/>
        </w:rPr>
        <w:t>&lt;p&gt;</w:t>
      </w:r>
      <w:r>
        <w:t xml:space="preserve"> element may contain text alongside (i.e. before and/or after) a list</w:t>
      </w:r>
    </w:p>
    <w:p w14:paraId="7FD8AA74" w14:textId="77777777">
      <w:pPr>
        <w:pStyle w:val="Lista"/>
      </w:pPr>
      <w:r>
        <w:t xml:space="preserve">within </w:t>
      </w:r>
      <w:r>
        <w:rPr>
          <w:rStyle w:val="Code"/>
        </w:rPr>
        <w:t>&lt;list&gt;</w:t>
      </w:r>
      <w:r>
        <w:t xml:space="preserve">, create an </w:t>
      </w:r>
      <w:r>
        <w:rPr>
          <w:rStyle w:val="Code"/>
        </w:rPr>
        <w:t>&lt;item&gt;</w:t>
      </w:r>
      <w:r>
        <w:t xml:space="preserve"> element as a container for each list item</w:t>
      </w:r>
    </w:p>
    <w:p w14:paraId="361024F1" w14:textId="77777777">
      <w:pPr>
        <w:pStyle w:val="Lista2"/>
      </w:pPr>
      <w:r>
        <w:rPr>
          <w:rStyle w:val="Code"/>
        </w:rPr>
        <w:t>&lt;item&gt;</w:t>
      </w:r>
      <w:r>
        <w:t xml:space="preserve"> elements are required to tessellate, so a </w:t>
      </w:r>
      <w:r>
        <w:rPr>
          <w:rStyle w:val="Code"/>
        </w:rPr>
        <w:t>&lt;list&gt;</w:t>
      </w:r>
      <w:r>
        <w:t xml:space="preserve"> cannot contain anything outside an </w:t>
      </w:r>
      <w:r>
        <w:rPr>
          <w:rStyle w:val="Code"/>
        </w:rPr>
        <w:t>&lt;item&gt;</w:t>
      </w:r>
    </w:p>
    <w:p w14:paraId="246614AF" w14:textId="58C33AD9">
      <w:pPr>
        <w:pStyle w:val="Lista"/>
      </w:pPr>
      <w:r>
        <w:t>the additional variations of list encoding introduced in §</w:t>
      </w:r>
      <w:r>
        <w:fldChar w:fldCharType="begin"/>
      </w:r>
      <w:r>
        <w:instrText xml:space="preserve"> REF _Ref233279232 \r \h </w:instrText>
      </w:r>
      <w:r>
        <w:fldChar w:fldCharType="separate"/>
      </w:r>
      <w:r>
        <w:t>14.3.3</w:t>
      </w:r>
      <w:r>
        <w:fldChar w:fldCharType="end"/>
      </w:r>
      <w:r>
        <w:t xml:space="preserve"> are not permitted in the edition</w:t>
      </w:r>
    </w:p>
    <w:p w14:paraId="7B343CF6" w14:textId="77777777">
      <w:pPr>
        <w:pStyle w:val="Cmsor3"/>
      </w:pPr>
      <w:bookmarkStart w:id="76" w:name="_Ref224740501"/>
      <w:bookmarkStart w:id="77" w:name="_Toc243922602"/>
      <w:r>
        <w:t>Verse containers</w:t>
      </w:r>
      <w:bookmarkEnd w:id="75"/>
      <w:bookmarkEnd w:id="76"/>
      <w:bookmarkEnd w:id="77"/>
    </w:p>
    <w:p w14:paraId="1E139CD6" w14:textId="4A2614FD">
      <w:r>
        <w:t xml:space="preserve">Verse must always be marked up as distinct from prose. Although we segment prose into paragraphs on a semantic basis, verse will only be segmented on a metrical basis. It follows from this that we employ no special markup for stanzas comprising a semantic unit with preceding or following prose paragraphs or </w:t>
      </w:r>
      <w:r>
        <w:lastRenderedPageBreak/>
        <w:t xml:space="preserve">other stanzas. A general illustration of verse encoding is shown in </w:t>
      </w:r>
      <w:r>
        <w:fldChar w:fldCharType="begin"/>
      </w:r>
      <w:r>
        <w:instrText xml:space="preserve"> REF _Ref181625172 \h </w:instrText>
      </w:r>
      <w:r>
        <w:fldChar w:fldCharType="separate"/>
      </w:r>
      <w:r>
        <w:t xml:space="preserve">Exhibit </w:t>
      </w:r>
      <w:r>
        <w:rPr>
          <w:noProof/>
        </w:rPr>
        <w:t>3.2</w:t>
      </w:r>
      <w:r>
        <w:t>.</w:t>
      </w:r>
      <w:r>
        <w:rPr>
          <w:noProof/>
        </w:rPr>
        <w:t>A</w:t>
      </w:r>
      <w:r>
        <w:fldChar w:fldCharType="end"/>
      </w:r>
      <w:r>
        <w:t>, while other exhibits throughout this section illustrate the encoding of various features.</w:t>
      </w:r>
    </w:p>
    <w:p w14:paraId="71746DC5" w14:textId="77777777">
      <w:pPr>
        <w:pStyle w:val="Normlbehzs"/>
        <w:rPr>
          <w:lang w:eastAsia="en-US" w:bidi="ar-SA"/>
        </w:rPr>
      </w:pPr>
      <w:r>
        <w:t xml:space="preserve">This section has been written primarily with Sanskrit syllabo-quantitative verse </w:t>
      </w:r>
      <w:r>
        <w:rPr>
          <w:noProof/>
        </w:rPr>
        <w:t>(</w:t>
      </w:r>
      <w:r>
        <w:rPr>
          <w:rStyle w:val="Foreign"/>
        </w:rPr>
        <w:t>varṇavr̥tta</w:t>
      </w:r>
      <w:r>
        <w:t>) in view, but it applies to all verse forms in all languages relevant to our project.</w:t>
      </w:r>
      <w:bookmarkStart w:id="78" w:name="_ddoyoa12vnxb" w:colFirst="0" w:colLast="0"/>
      <w:bookmarkStart w:id="79" w:name="_kb9xljnic52a" w:colFirst="0" w:colLast="0"/>
      <w:bookmarkEnd w:id="78"/>
      <w:bookmarkEnd w:id="79"/>
    </w:p>
    <w:tbl>
      <w:tblPr>
        <w:tblStyle w:val="CodeSampleTable"/>
        <w:tblpPr w:leftFromText="181" w:rightFromText="181" w:vertAnchor="text" w:horzAnchor="margin" w:tblpXSpec="right" w:tblpY="1"/>
        <w:tblOverlap w:val="never"/>
        <w:tblW w:w="4253" w:type="dxa"/>
        <w:tblLook w:val="04A0" w:firstRow="1" w:lastRow="0" w:firstColumn="1" w:lastColumn="0" w:noHBand="0" w:noVBand="1"/>
      </w:tblPr>
      <w:tblGrid>
        <w:gridCol w:w="4253"/>
      </w:tblGrid>
      <w:tr w14:paraId="21F8C2E0"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AA408F8" w14:textId="020D1682">
            <w:pPr>
              <w:pStyle w:val="Kpalrs"/>
            </w:pPr>
            <w:bookmarkStart w:id="80" w:name="_Ref181625172"/>
            <w:bookmarkStart w:id="81" w:name="_Ref224721717"/>
            <w:r>
              <w:t xml:space="preserve">Exhibit </w:t>
            </w:r>
            <w:fldSimple w:instr=" STYLEREF 2 \s ">
              <w:r>
                <w:rPr>
                  <w:noProof/>
                </w:rPr>
                <w:t>3.2</w:t>
              </w:r>
            </w:fldSimple>
            <w:r>
              <w:t>.</w:t>
            </w:r>
            <w:fldSimple w:instr=" SEQ Exhibit \* ALPHABETIC \s 2 ">
              <w:r>
                <w:rPr>
                  <w:noProof/>
                </w:rPr>
                <w:t>A</w:t>
              </w:r>
            </w:fldSimple>
            <w:bookmarkEnd w:id="80"/>
            <w:r>
              <w:t>: basic markup for verse structure</w:t>
            </w:r>
            <w:bookmarkEnd w:id="81"/>
          </w:p>
        </w:tc>
      </w:tr>
      <w:tr w14:paraId="6C0B9271" w14:textId="77777777">
        <w:tc>
          <w:tcPr>
            <w:tcW w:w="5000" w:type="pct"/>
          </w:tcPr>
          <w:p w14:paraId="5F58C85D" w14:textId="77777777">
            <w:pPr>
              <w:pStyle w:val="CodeParagraph"/>
            </w:pPr>
            <w:r>
              <w:rPr>
                <w:rStyle w:val="Code"/>
              </w:rPr>
              <w:t xml:space="preserve">&lt;lg </w:t>
            </w:r>
            <w:r>
              <w:rPr>
                <w:rStyle w:val="Codeattribute"/>
              </w:rPr>
              <w:t>n</w:t>
            </w:r>
            <w:r>
              <w:rPr>
                <w:rStyle w:val="Code"/>
              </w:rPr>
              <w:t>=</w:t>
            </w:r>
            <w:r>
              <w:rPr>
                <w:rStyle w:val="Codevalue"/>
              </w:rPr>
              <w:t>"3"</w:t>
            </w:r>
            <w:r>
              <w:rPr>
                <w:rStyle w:val="Code"/>
              </w:rPr>
              <w:t xml:space="preserve"> </w:t>
            </w:r>
            <w:r>
              <w:rPr>
                <w:rStyle w:val="Codeattribute"/>
              </w:rPr>
              <w:t>met</w:t>
            </w:r>
            <w:r>
              <w:rPr>
                <w:rStyle w:val="Code"/>
              </w:rPr>
              <w:t>=</w:t>
            </w:r>
            <w:r>
              <w:rPr>
                <w:rStyle w:val="Codevalue"/>
              </w:rPr>
              <w:t>"anuṣṭubh"</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w:t>
            </w:r>
            <w:r>
              <w:rPr>
                <w:rStyle w:val="Code"/>
              </w:rPr>
              <w:t>&gt;</w:t>
            </w:r>
            <w:r>
              <w:rPr>
                <w:rStyle w:val="Codetext"/>
              </w:rPr>
              <w:t>sva-dattāṁ para-dattāṁ vā</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"b"</w:t>
            </w:r>
            <w:r>
              <w:rPr>
                <w:rStyle w:val="Code"/>
              </w:rPr>
              <w:t>&gt;</w:t>
            </w:r>
            <w:r>
              <w:rPr>
                <w:rStyle w:val="Codetext"/>
              </w:rPr>
              <w:t>yo hareta vasundharāM</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"c"</w:t>
            </w:r>
            <w:r>
              <w:rPr>
                <w:rStyle w:val="Code"/>
              </w:rPr>
              <w:t>&gt;</w:t>
            </w:r>
            <w:r>
              <w:rPr>
                <w:rStyle w:val="Codetext"/>
              </w:rPr>
              <w:t>ṣaṣṭiṁ varṣa-sahasrāṇi</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"d"</w:t>
            </w:r>
            <w:r>
              <w:rPr>
                <w:rStyle w:val="Code"/>
              </w:rPr>
              <w:t>&gt;</w:t>
            </w:r>
            <w:r>
              <w:rPr>
                <w:rStyle w:val="Codetext"/>
              </w:rPr>
              <w:t>svargge modati bhūmi-daḥ</w:t>
            </w:r>
            <w:r>
              <w:rPr>
                <w:rStyle w:val="Code"/>
              </w:rPr>
              <w:t>&lt;/l&gt;</w:t>
            </w:r>
            <w:r>
              <w:rPr>
                <w:rStyle w:val="Codetext"/>
              </w:rPr>
              <w:br/>
            </w:r>
            <w:r>
              <w:rPr>
                <w:rStyle w:val="Code"/>
              </w:rPr>
              <w:t>&lt;/lg&gt;</w:t>
            </w:r>
          </w:p>
        </w:tc>
      </w:tr>
    </w:tbl>
    <w:p w14:paraId="12FDE028" w14:textId="77777777">
      <w:pPr>
        <w:pStyle w:val="Lista"/>
      </w:pPr>
      <w:r>
        <w:t xml:space="preserve">stanzas as a whole must be wrapped in the element </w:t>
      </w:r>
      <w:r>
        <w:rPr>
          <w:rStyle w:val="Code"/>
        </w:rPr>
        <w:t>&lt;lg&gt;</w:t>
      </w:r>
      <w:r>
        <w:t xml:space="preserve"> </w:t>
      </w:r>
      <w:r>
        <w:rPr>
          <w:noProof/>
        </w:rPr>
        <w:t>(</w:t>
      </w:r>
      <w:r>
        <w:t>for “line group”), with the following attributes</w:t>
      </w:r>
    </w:p>
    <w:p w14:paraId="308D0F9C" w14:textId="46EB3A46">
      <w:pPr>
        <w:pStyle w:val="Lista2"/>
      </w:pPr>
      <w:r>
        <w:t xml:space="preserve">mandatorily, </w:t>
      </w:r>
      <w:r>
        <w:rPr>
          <w:rStyle w:val="Codeattribute"/>
        </w:rPr>
        <w:t>@n</w:t>
      </w:r>
      <w:r>
        <w:t xml:space="preserve"> to assign a number to the stanza </w:t>
      </w:r>
      <w:r>
        <w:rPr>
          <w:noProof/>
        </w:rPr>
        <w:t>as per</w:t>
      </w:r>
      <w:r>
        <w:t xml:space="preserve"> §</w:t>
      </w:r>
      <w:r>
        <w:fldChar w:fldCharType="begin"/>
      </w:r>
      <w:r>
        <w:instrText xml:space="preserve"> REF _Ref181609101 \r \h </w:instrText>
      </w:r>
      <w:r>
        <w:fldChar w:fldCharType="separate"/>
      </w:r>
      <w:r>
        <w:t>3.2.2.1</w:t>
      </w:r>
      <w:r>
        <w:fldChar w:fldCharType="end"/>
      </w:r>
    </w:p>
    <w:p w14:paraId="2E9CAC8A" w14:textId="09431F21">
      <w:pPr>
        <w:pStyle w:val="Lista2"/>
      </w:pPr>
      <w:r>
        <w:t xml:space="preserve">mandatorily, </w:t>
      </w:r>
      <w:r>
        <w:rPr>
          <w:rStyle w:val="Codeattribute"/>
        </w:rPr>
        <w:t>@met</w:t>
      </w:r>
      <w:r>
        <w:t xml:space="preserve"> to identify the metre of the stanza by a conventional name </w:t>
      </w:r>
      <w:r>
        <w:rPr>
          <w:noProof/>
        </w:rPr>
        <w:t xml:space="preserve">as per </w:t>
      </w:r>
      <w:r>
        <w:t>§</w:t>
      </w:r>
      <w:r>
        <w:fldChar w:fldCharType="begin"/>
      </w:r>
      <w:r>
        <w:instrText xml:space="preserve"> REF _Ref225323884 \r \h </w:instrText>
      </w:r>
      <w:r>
        <w:fldChar w:fldCharType="separate"/>
      </w:r>
      <w:r>
        <w:t>3.3.1</w:t>
      </w:r>
      <w:r>
        <w:fldChar w:fldCharType="end"/>
      </w:r>
    </w:p>
    <w:p w14:paraId="4B93EDF1" w14:textId="02BE98DD">
      <w:pPr>
        <w:pStyle w:val="Lista2"/>
      </w:pPr>
      <w:r>
        <w:t xml:space="preserve">as applicable, </w:t>
      </w:r>
      <w:r>
        <w:rPr>
          <w:rStyle w:val="Codeattribute"/>
        </w:rPr>
        <w:t>@part</w:t>
      </w:r>
      <w:r>
        <w:t xml:space="preserve"> for incomplete stanzas as per §</w:t>
      </w:r>
      <w:r>
        <w:fldChar w:fldCharType="begin"/>
      </w:r>
      <w:r>
        <w:instrText xml:space="preserve"> REF _Ref228980509 \r \h </w:instrText>
      </w:r>
      <w:r>
        <w:fldChar w:fldCharType="separate"/>
      </w:r>
      <w:r>
        <w:t>3.2.3.1</w:t>
      </w:r>
      <w:r>
        <w:fldChar w:fldCharType="end"/>
      </w:r>
      <w:r>
        <w:t xml:space="preserve"> </w:t>
      </w:r>
    </w:p>
    <w:p w14:paraId="051C1F28" w14:textId="77777777">
      <w:pPr>
        <w:pStyle w:val="Lista"/>
      </w:pPr>
      <w:r>
        <w:t xml:space="preserve">within a stanza, each individual line must be wrapped in </w:t>
      </w:r>
      <w:r>
        <w:rPr>
          <w:rStyle w:val="Code"/>
        </w:rPr>
        <w:t>&lt;l&gt;</w:t>
      </w:r>
      <w:r>
        <w:t xml:space="preserve"> </w:t>
      </w:r>
      <w:r>
        <w:rPr>
          <w:noProof/>
        </w:rPr>
        <w:t>(</w:t>
      </w:r>
      <w:r>
        <w:t>for “line”), with the following attributes</w:t>
      </w:r>
    </w:p>
    <w:p w14:paraId="22E3E486" w14:textId="0F337E30">
      <w:pPr>
        <w:pStyle w:val="Lista2"/>
      </w:pPr>
      <w:r>
        <w:t xml:space="preserve">mandatorily, </w:t>
      </w:r>
      <w:r>
        <w:rPr>
          <w:rStyle w:val="Codeattribute"/>
        </w:rPr>
        <w:t>@n</w:t>
      </w:r>
      <w:r>
        <w:t xml:space="preserve"> to assign a number to the line as per §</w:t>
      </w:r>
      <w:r>
        <w:fldChar w:fldCharType="begin"/>
      </w:r>
      <w:r>
        <w:instrText xml:space="preserve"> REF _Ref181706499 \r \h </w:instrText>
      </w:r>
      <w:r>
        <w:fldChar w:fldCharType="separate"/>
      </w:r>
      <w:r>
        <w:t>3.2.2.2</w:t>
      </w:r>
      <w:r>
        <w:fldChar w:fldCharType="end"/>
      </w:r>
    </w:p>
    <w:p w14:paraId="1BC2BBDA" w14:textId="632FC59E">
      <w:pPr>
        <w:pStyle w:val="Lista2"/>
      </w:pPr>
      <w:r>
        <w:t xml:space="preserve">as applicable, </w:t>
      </w:r>
      <w:r>
        <w:rPr>
          <w:rStyle w:val="Codeattribute"/>
        </w:rPr>
        <w:t>@met</w:t>
      </w:r>
      <w:r>
        <w:t xml:space="preserve"> (§</w:t>
      </w:r>
      <w:r>
        <w:fldChar w:fldCharType="begin"/>
      </w:r>
      <w:r>
        <w:instrText xml:space="preserve"> REF _Ref225323861 \r \h </w:instrText>
      </w:r>
      <w:r>
        <w:fldChar w:fldCharType="separate"/>
      </w:r>
      <w:r>
        <w:t>3.3.1</w:t>
      </w:r>
      <w:r>
        <w:fldChar w:fldCharType="end"/>
      </w:r>
      <w:r>
        <w:t xml:space="preserve">) and/or </w:t>
      </w:r>
      <w:r>
        <w:rPr>
          <w:rStyle w:val="Codeattribute"/>
        </w:rPr>
        <w:t>@real</w:t>
      </w:r>
      <w:r>
        <w:t xml:space="preserve"> (§</w:t>
      </w:r>
      <w:r>
        <w:fldChar w:fldCharType="begin"/>
      </w:r>
      <w:r>
        <w:instrText xml:space="preserve"> REF _Ref181701741 \r \h </w:instrText>
      </w:r>
      <w:r>
        <w:fldChar w:fldCharType="separate"/>
      </w:r>
      <w:r>
        <w:t>3.3.2</w:t>
      </w:r>
      <w:r>
        <w:fldChar w:fldCharType="end"/>
      </w:r>
      <w:r>
        <w:t>) for lines that do not conform to the metrical template of the parent stanza, as called for in the subsections of §</w:t>
      </w:r>
      <w:r>
        <w:fldChar w:fldCharType="begin"/>
      </w:r>
      <w:r>
        <w:instrText xml:space="preserve"> REF _Ref225324441 \r \h </w:instrText>
      </w:r>
      <w:r>
        <w:fldChar w:fldCharType="separate"/>
      </w:r>
      <w:r>
        <w:t>3.3.3.1</w:t>
      </w:r>
      <w:r>
        <w:fldChar w:fldCharType="end"/>
      </w:r>
      <w:r>
        <w:t xml:space="preserve"> </w:t>
      </w:r>
    </w:p>
    <w:p w14:paraId="18AD6580" w14:textId="06572B4E">
      <w:pPr>
        <w:pStyle w:val="Lista2"/>
      </w:pPr>
      <w:r>
        <w:t xml:space="preserve">as applicable, </w:t>
      </w:r>
      <w:r>
        <w:rPr>
          <w:rStyle w:val="Codeattribute"/>
        </w:rPr>
        <w:t>@enjamb</w:t>
      </w:r>
      <w:r>
        <w:t xml:space="preserve"> (§</w:t>
      </w:r>
      <w:r>
        <w:fldChar w:fldCharType="begin"/>
      </w:r>
      <w:r>
        <w:instrText xml:space="preserve"> REF _Ref224901083 \r \h </w:instrText>
      </w:r>
      <w:r>
        <w:fldChar w:fldCharType="separate"/>
      </w:r>
      <w:r>
        <w:t>3.2.4.1</w:t>
      </w:r>
      <w:r>
        <w:fldChar w:fldCharType="end"/>
      </w:r>
      <w:r>
        <w:t xml:space="preserve">) with the value </w:t>
      </w:r>
      <w:r>
        <w:rPr>
          <w:rStyle w:val="Codevalue"/>
        </w:rPr>
        <w:t>"yes"</w:t>
      </w:r>
      <w:r>
        <w:t xml:space="preserve"> for lines which do not end at a word boundary</w:t>
      </w:r>
    </w:p>
    <w:p w14:paraId="4F1BA808" w14:textId="7DAD02ED">
      <w:pPr>
        <w:pStyle w:val="Lista2"/>
      </w:pPr>
      <w:r>
        <w:t xml:space="preserve">as applicable, </w:t>
      </w:r>
      <w:r>
        <w:rPr>
          <w:rStyle w:val="Codeattribute"/>
        </w:rPr>
        <w:t>@part</w:t>
      </w:r>
      <w:r>
        <w:t xml:space="preserve"> for incomplete lines as per §</w:t>
      </w:r>
      <w:r>
        <w:fldChar w:fldCharType="begin"/>
      </w:r>
      <w:r>
        <w:instrText xml:space="preserve"> REF _Ref228980509 \r \h </w:instrText>
      </w:r>
      <w:r>
        <w:fldChar w:fldCharType="separate"/>
      </w:r>
      <w:r>
        <w:t>3.2.3.1</w:t>
      </w:r>
      <w:r>
        <w:fldChar w:fldCharType="end"/>
      </w:r>
      <w:r>
        <w:t xml:space="preserve"> </w:t>
      </w:r>
    </w:p>
    <w:p w14:paraId="730A0E26" w14:textId="77777777">
      <w:pPr>
        <w:pStyle w:val="Lista"/>
      </w:pPr>
      <w:r>
        <w:t>editorial punctuation must never be supplied for the ends of hemistichs and stanzas</w:t>
      </w:r>
    </w:p>
    <w:p w14:paraId="63CDC070" w14:textId="1555F9A6">
      <w:pPr>
        <w:pStyle w:val="Lista"/>
      </w:pPr>
      <w:r>
        <w:t>any original punctuation must be retained at its actual locus, following the usual method for encoding peripheral graphemes (§</w:t>
      </w:r>
      <w:r>
        <w:fldChar w:fldCharType="begin"/>
      </w:r>
      <w:r>
        <w:instrText xml:space="preserve"> REF _Ref226033363 \r \h </w:instrText>
      </w:r>
      <w:r>
        <w:fldChar w:fldCharType="separate"/>
      </w:r>
      <w:r>
        <w:t>5.3</w:t>
      </w:r>
      <w:r>
        <w:fldChar w:fldCharType="end"/>
      </w:r>
      <w:r>
        <w:t>)</w:t>
      </w:r>
    </w:p>
    <w:p w14:paraId="675C739C" w14:textId="77777777">
      <w:pPr>
        <w:pStyle w:val="Cmsor4"/>
      </w:pPr>
      <w:bookmarkStart w:id="82" w:name="_ean8zao6bcdz" w:colFirst="0" w:colLast="0"/>
      <w:bookmarkStart w:id="83" w:name="_Ref181609101"/>
      <w:bookmarkStart w:id="84" w:name="_Ref181699020"/>
      <w:bookmarkStart w:id="85" w:name="_Ref224900137"/>
      <w:bookmarkStart w:id="86" w:name="_Ref134018245"/>
      <w:bookmarkEnd w:id="82"/>
      <w:r>
        <w:t>Numbering</w:t>
      </w:r>
      <w:bookmarkEnd w:id="83"/>
      <w:r>
        <w:t xml:space="preserve"> stanzas</w:t>
      </w:r>
    </w:p>
    <w:p w14:paraId="60CC093A" w14:textId="77777777">
      <w:pPr>
        <w:pStyle w:val="Lista"/>
      </w:pPr>
      <w:r>
        <w:rPr>
          <w:b/>
          <w:bCs/>
        </w:rPr>
        <w:t>editorial numeration</w:t>
      </w:r>
      <w:r>
        <w:t xml:space="preserve"> must never be supplied in the text of stanzas</w:t>
      </w:r>
    </w:p>
    <w:p w14:paraId="0E8AE2F2" w14:textId="77777777">
      <w:pPr>
        <w:pStyle w:val="Lista"/>
      </w:pPr>
      <w:r>
        <w:t xml:space="preserve">instead, every stanza in your edition must have a number encoded in the </w:t>
      </w:r>
      <w:r>
        <w:rPr>
          <w:rStyle w:val="Codeattribute"/>
        </w:rPr>
        <w:t>@n</w:t>
      </w:r>
      <w:r>
        <w:t xml:space="preserve"> attribute of the corresponding </w:t>
      </w:r>
      <w:r>
        <w:rPr>
          <w:rStyle w:val="Code"/>
        </w:rPr>
        <w:t>&lt;lg&gt;</w:t>
      </w:r>
      <w:r>
        <w:t xml:space="preserve"> element</w:t>
      </w:r>
    </w:p>
    <w:p w14:paraId="01310E79" w14:textId="77777777">
      <w:pPr>
        <w:pStyle w:val="Lista"/>
      </w:pPr>
      <w:r>
        <w:t xml:space="preserve">the value of </w:t>
      </w:r>
      <w:r>
        <w:rPr>
          <w:rStyle w:val="Codeattribute"/>
        </w:rPr>
        <w:t>@n</w:t>
      </w:r>
      <w:r>
        <w:t xml:space="preserve"> must always be an Arabic numeral, as a rule starting from 1</w:t>
      </w:r>
    </w:p>
    <w:p w14:paraId="5204E00B" w14:textId="77777777">
      <w:pPr>
        <w:pStyle w:val="Lista2"/>
      </w:pPr>
      <w:r>
        <w:t>never start stanza numbers from 0</w:t>
      </w:r>
    </w:p>
    <w:p w14:paraId="2013E6A8" w14:textId="77777777">
      <w:pPr>
        <w:pStyle w:val="Lista2"/>
      </w:pPr>
      <w:r>
        <w:t>the first stanza of a text may be numbered other than 1 if so dictated by circumstances (e.g. in a text whose beginning is lost, but the number of stanzas preceding the first extant one can be estimated)</w:t>
      </w:r>
    </w:p>
    <w:p w14:paraId="3684861C" w14:textId="6702A456">
      <w:pPr>
        <w:pStyle w:val="Lista"/>
      </w:pPr>
      <w:r>
        <w:t xml:space="preserve">by default, stanzas shall be numbered consecutively throughout an inscription, except when an inscription includes boxlike partitions </w:t>
      </w:r>
      <w:r>
        <w:rPr>
          <w:noProof/>
        </w:rPr>
        <w:t>(</w:t>
      </w:r>
      <w:r>
        <w:t>§</w:t>
      </w:r>
      <w:r>
        <w:fldChar w:fldCharType="begin"/>
      </w:r>
      <w:r>
        <w:instrText xml:space="preserve"> REF _Ref225778181 \r \h </w:instrText>
      </w:r>
      <w:r>
        <w:fldChar w:fldCharType="separate"/>
      </w:r>
      <w:r>
        <w:t>4.2</w:t>
      </w:r>
      <w:r>
        <w:fldChar w:fldCharType="end"/>
      </w:r>
      <w:r>
        <w:t>), in which case stanza numbering is normally restarted in each textpart division (§</w:t>
      </w:r>
      <w:r>
        <w:fldChar w:fldCharType="begin"/>
      </w:r>
      <w:r>
        <w:instrText xml:space="preserve"> REF _Ref225324541 \r \h </w:instrText>
      </w:r>
      <w:r>
        <w:fldChar w:fldCharType="separate"/>
      </w:r>
      <w:r>
        <w:t>4.2.1.4</w:t>
      </w:r>
      <w:r>
        <w:fldChar w:fldCharType="end"/>
      </w:r>
      <w:r>
        <w:t>)</w:t>
      </w:r>
    </w:p>
    <w:p w14:paraId="1519BA2A" w14:textId="76285E17">
      <w:pPr>
        <w:pStyle w:val="Lista2"/>
      </w:pPr>
      <w:r>
        <w:t xml:space="preserve">however, stanza numbering must never be reset after pagelike partitions </w:t>
      </w:r>
      <w:r>
        <w:rPr>
          <w:noProof/>
        </w:rPr>
        <w:t>(</w:t>
      </w:r>
      <w:r>
        <w:t>§</w:t>
      </w:r>
      <w:r>
        <w:fldChar w:fldCharType="begin"/>
      </w:r>
      <w:r>
        <w:instrText xml:space="preserve"> REF _Ref43986994 \r \h </w:instrText>
      </w:r>
      <w:r>
        <w:fldChar w:fldCharType="separate"/>
      </w:r>
      <w:r>
        <w:t>4.4.4</w:t>
      </w:r>
      <w:r>
        <w:fldChar w:fldCharType="end"/>
      </w:r>
      <w:r>
        <w:t>)</w:t>
      </w:r>
    </w:p>
    <w:p w14:paraId="17079681" w14:textId="77777777">
      <w:pPr>
        <w:pStyle w:val="Lista"/>
      </w:pPr>
      <w:bookmarkStart w:id="87" w:name="_6q9v7bx41h3i" w:colFirst="0" w:colLast="0"/>
      <w:bookmarkStart w:id="88" w:name="_Ref43980265"/>
      <w:bookmarkEnd w:id="87"/>
      <w:r>
        <w:rPr>
          <w:b/>
          <w:bCs/>
        </w:rPr>
        <w:t>original stanza numbers</w:t>
      </w:r>
      <w:r>
        <w:t>, if present, must be treated as part of the text, i.e.</w:t>
      </w:r>
    </w:p>
    <w:p w14:paraId="1925A403" w14:textId="77777777">
      <w:pPr>
        <w:pStyle w:val="Lista2"/>
      </w:pPr>
      <w:r>
        <w:t xml:space="preserve">placed at their actual locus within the </w:t>
      </w:r>
      <w:r>
        <w:rPr>
          <w:rStyle w:val="Code"/>
        </w:rPr>
        <w:t>&lt;l&gt;</w:t>
      </w:r>
      <w:r>
        <w:t xml:space="preserve"> element for the line in which they appear</w:t>
      </w:r>
    </w:p>
    <w:p w14:paraId="5411D610" w14:textId="49A0901D">
      <w:pPr>
        <w:pStyle w:val="Lista2"/>
      </w:pPr>
      <w:r>
        <w:t xml:space="preserve">tagged as any other number in the text </w:t>
      </w:r>
      <w:r>
        <w:rPr>
          <w:noProof/>
        </w:rPr>
        <w:t>(</w:t>
      </w:r>
      <w:r>
        <w:t>see §</w:t>
      </w:r>
      <w:r>
        <w:fldChar w:fldCharType="begin"/>
      </w:r>
      <w:r>
        <w:instrText xml:space="preserve"> REF _Ref43980607 \r \h  \* MERGEFORMAT </w:instrText>
      </w:r>
      <w:r>
        <w:fldChar w:fldCharType="separate"/>
      </w:r>
      <w:r>
        <w:t>9.1</w:t>
      </w:r>
      <w:r>
        <w:fldChar w:fldCharType="end"/>
      </w:r>
      <w:r>
        <w:t xml:space="preserve"> about encoding the value of numerals, and §</w:t>
      </w:r>
      <w:r>
        <w:fldChar w:fldCharType="begin"/>
      </w:r>
      <w:r>
        <w:instrText xml:space="preserve"> REF _Ref182551676 \r \h </w:instrText>
      </w:r>
      <w:r>
        <w:fldChar w:fldCharType="separate"/>
      </w:r>
      <w:r>
        <w:t>5.3.5</w:t>
      </w:r>
      <w:r>
        <w:fldChar w:fldCharType="end"/>
      </w:r>
      <w:r>
        <w:t xml:space="preserve"> about numeric characters other than decimal digits)</w:t>
      </w:r>
    </w:p>
    <w:p w14:paraId="4B4E0EE2" w14:textId="77777777">
      <w:pPr>
        <w:pStyle w:val="Lista"/>
      </w:pPr>
      <w:r>
        <w:t>if a text includes original stanza numeration, editorial stanza numbering must still follow the rules stated above, even if this results in a discrepancy with the original numbering</w:t>
      </w:r>
    </w:p>
    <w:p w14:paraId="0C9DE399" w14:textId="77777777">
      <w:pPr>
        <w:pStyle w:val="Cmsor4"/>
      </w:pPr>
      <w:bookmarkStart w:id="89" w:name="_Ref181706499"/>
      <w:bookmarkEnd w:id="88"/>
      <w:r>
        <w:t>Numbering</w:t>
      </w:r>
      <w:bookmarkEnd w:id="89"/>
      <w:r>
        <w:t xml:space="preserve"> verse lines</w:t>
      </w:r>
    </w:p>
    <w:p w14:paraId="203122DA" w14:textId="77777777">
      <w:pPr>
        <w:pStyle w:val="Lista"/>
      </w:pPr>
      <w:r>
        <w:t xml:space="preserve">every verse line encoded as </w:t>
      </w:r>
      <w:r>
        <w:rPr>
          <w:rStyle w:val="Code"/>
        </w:rPr>
        <w:t>&lt;l&gt;</w:t>
      </w:r>
      <w:r>
        <w:t xml:space="preserve"> must be editorially numbered with </w:t>
      </w:r>
      <w:r>
        <w:rPr>
          <w:rStyle w:val="Codeattribute"/>
        </w:rPr>
        <w:t>@n</w:t>
      </w:r>
      <w:r>
        <w:t xml:space="preserve"> elements</w:t>
      </w:r>
    </w:p>
    <w:p w14:paraId="1812B680" w14:textId="77777777">
      <w:pPr>
        <w:pStyle w:val="Lista"/>
      </w:pPr>
      <w:r>
        <w:t xml:space="preserve">the value of </w:t>
      </w:r>
      <w:r>
        <w:rPr>
          <w:rStyle w:val="Codeattribute"/>
        </w:rPr>
        <w:t>@n</w:t>
      </w:r>
      <w:r>
        <w:t xml:space="preserve"> shall be as follows</w:t>
      </w:r>
    </w:p>
    <w:p w14:paraId="20F013E9" w14:textId="1C46FE77">
      <w:pPr>
        <w:pStyle w:val="Lista2"/>
      </w:pPr>
      <w:r>
        <w:t xml:space="preserve">use lowercase Latin letters </w:t>
      </w:r>
      <w:r>
        <w:rPr>
          <w:noProof/>
        </w:rPr>
        <w:t>(</w:t>
      </w:r>
      <w:r>
        <w:t xml:space="preserve">a, b, c, d; continued if necessary in exceptional cases) in general and by default, as in </w:t>
      </w:r>
      <w:r>
        <w:fldChar w:fldCharType="begin"/>
      </w:r>
      <w:r>
        <w:instrText xml:space="preserve"> REF _Ref181625172 \h </w:instrText>
      </w:r>
      <w:r>
        <w:fldChar w:fldCharType="separate"/>
      </w:r>
      <w:r>
        <w:t xml:space="preserve">Exhibit </w:t>
      </w:r>
      <w:r>
        <w:rPr>
          <w:noProof/>
        </w:rPr>
        <w:t>3.2</w:t>
      </w:r>
      <w:r>
        <w:t>.</w:t>
      </w:r>
      <w:r>
        <w:rPr>
          <w:noProof/>
        </w:rPr>
        <w:t>A</w:t>
      </w:r>
      <w:r>
        <w:fldChar w:fldCharType="end"/>
      </w:r>
    </w:p>
    <w:p w14:paraId="35388918" w14:textId="63E8A6FB">
      <w:pPr>
        <w:pStyle w:val="Lista2"/>
      </w:pPr>
      <w:r>
        <w:t xml:space="preserve">use pairs of lowercase Latin letters </w:t>
      </w:r>
      <w:r>
        <w:rPr>
          <w:noProof/>
        </w:rPr>
        <w:t>(</w:t>
      </w:r>
      <w:r>
        <w:t xml:space="preserve">ab, cd; continued if necessary in exceptional cases) in Sanskritic moraic verse, where </w:t>
      </w:r>
      <w:r>
        <w:rPr>
          <w:rStyle w:val="Code"/>
        </w:rPr>
        <w:t>&lt;l&gt;</w:t>
      </w:r>
      <w:r>
        <w:t xml:space="preserve"> elements correspond to hemistichs by our convention, as in </w:t>
      </w:r>
      <w:r>
        <w:fldChar w:fldCharType="begin"/>
      </w:r>
      <w:r>
        <w:instrText xml:space="preserve"> REF _Ref181625483 \h </w:instrText>
      </w:r>
      <w:r>
        <w:fldChar w:fldCharType="separate"/>
      </w:r>
      <w:r>
        <w:t xml:space="preserve">Exhibit </w:t>
      </w:r>
      <w:r>
        <w:rPr>
          <w:noProof/>
        </w:rPr>
        <w:t>3.2</w:t>
      </w:r>
      <w:r>
        <w:t>.</w:t>
      </w:r>
      <w:r>
        <w:rPr>
          <w:noProof/>
        </w:rPr>
        <w:t>B</w:t>
      </w:r>
      <w:r>
        <w:fldChar w:fldCharType="end"/>
      </w:r>
    </w:p>
    <w:p w14:paraId="54F02114" w14:textId="77777777">
      <w:pPr>
        <w:pStyle w:val="Lista2"/>
      </w:pPr>
      <w:r>
        <w:t xml:space="preserve">use Arabic numerals </w:t>
      </w:r>
      <w:r>
        <w:rPr>
          <w:noProof/>
        </w:rPr>
        <w:t>(</w:t>
      </w:r>
      <w:r>
        <w:t>1, 2, 3, etc.) in verse where stanzas do not have a conventionally set number of lines, including</w:t>
      </w:r>
    </w:p>
    <w:p w14:paraId="1B31E16C" w14:textId="1EEF4BF5">
      <w:pPr>
        <w:pStyle w:val="Lista3"/>
      </w:pPr>
      <w:r>
        <w:t xml:space="preserve">Tamil verse, as in </w:t>
      </w:r>
      <w:r>
        <w:fldChar w:fldCharType="begin"/>
      </w:r>
      <w:r>
        <w:instrText xml:space="preserve"> REF _Ref181698022 \h </w:instrText>
      </w:r>
      <w:r>
        <w:fldChar w:fldCharType="separate"/>
      </w:r>
      <w:r>
        <w:t xml:space="preserve">Exhibit </w:t>
      </w:r>
      <w:r>
        <w:rPr>
          <w:noProof/>
        </w:rPr>
        <w:t>3.2</w:t>
      </w:r>
      <w:r>
        <w:t>.</w:t>
      </w:r>
      <w:r>
        <w:rPr>
          <w:noProof/>
        </w:rPr>
        <w:t>C</w:t>
      </w:r>
      <w:r>
        <w:fldChar w:fldCharType="end"/>
      </w:r>
    </w:p>
    <w:p w14:paraId="63A1A7F3" w14:textId="77777777">
      <w:pPr>
        <w:pStyle w:val="Lista3"/>
      </w:pPr>
      <w:r>
        <w:lastRenderedPageBreak/>
        <w:t>free octosyllabic versification found in some Old Sundanese and Old Javanese works</w:t>
      </w:r>
    </w:p>
    <w:p w14:paraId="4BB50C90" w14:textId="3FE96D7D">
      <w:pPr>
        <w:pStyle w:val="Lista3"/>
      </w:pPr>
      <w:r>
        <w:t>free verse (§</w:t>
      </w:r>
      <w:r>
        <w:fldChar w:fldCharType="begin"/>
      </w:r>
      <w:r>
        <w:instrText xml:space="preserve"> REF _Ref224727363 \r \h </w:instrText>
      </w:r>
      <w:r>
        <w:fldChar w:fldCharType="separate"/>
      </w:r>
      <w:r>
        <w:t>3.3.3.4</w:t>
      </w:r>
      <w:r>
        <w:fldChar w:fldCharType="end"/>
      </w:r>
      <w:r>
        <w:t>)</w:t>
      </w:r>
    </w:p>
    <w:p w14:paraId="7BAFD0BE" w14:textId="77777777">
      <w:pPr>
        <w:pStyle w:val="Lista"/>
      </w:pPr>
      <w:bookmarkStart w:id="90" w:name="_7tlyzfn6s88r" w:colFirst="0" w:colLast="0"/>
      <w:bookmarkEnd w:id="90"/>
      <w:r>
        <w:t xml:space="preserve">for stanzas anomalously consisting of more or fewer than the expected number of lines, simply encode the actual number of lines, numbering them in sequence </w:t>
      </w:r>
      <w:r>
        <w:rPr>
          <w:noProof/>
        </w:rPr>
        <w:t xml:space="preserve">and </w:t>
      </w:r>
      <w:r>
        <w:t>extending the applicable numbering scheme as needed</w:t>
      </w:r>
    </w:p>
    <w:tbl>
      <w:tblPr>
        <w:tblStyle w:val="CodeSampleTable"/>
        <w:tblW w:w="5000" w:type="pct"/>
        <w:tblLook w:val="04A0" w:firstRow="1" w:lastRow="0" w:firstColumn="1" w:lastColumn="0" w:noHBand="0" w:noVBand="1"/>
      </w:tblPr>
      <w:tblGrid>
        <w:gridCol w:w="9628"/>
      </w:tblGrid>
      <w:tr w14:paraId="2AF0F7F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9667706" w14:textId="0DDD1B3B">
            <w:pPr>
              <w:pStyle w:val="Kpalrs"/>
            </w:pPr>
            <w:bookmarkStart w:id="91" w:name="_Ref181625483"/>
            <w:r>
              <w:t xml:space="preserve">Exhibit </w:t>
            </w:r>
            <w:fldSimple w:instr=" STYLEREF 2 \s ">
              <w:r>
                <w:rPr>
                  <w:noProof/>
                </w:rPr>
                <w:t>3.2</w:t>
              </w:r>
            </w:fldSimple>
            <w:r>
              <w:t>.</w:t>
            </w:r>
            <w:fldSimple w:instr=" SEQ Exhibit \* ALPHABETIC \s 2 ">
              <w:r>
                <w:rPr>
                  <w:noProof/>
                </w:rPr>
                <w:t>B</w:t>
              </w:r>
            </w:fldSimple>
            <w:bookmarkEnd w:id="91"/>
            <w:r>
              <w:t xml:space="preserve">: line numbering in </w:t>
            </w:r>
            <w:r>
              <w:rPr>
                <w:rStyle w:val="Foreign"/>
              </w:rPr>
              <w:t>moraic</w:t>
            </w:r>
            <w:r>
              <w:t xml:space="preserve"> verse</w:t>
            </w:r>
          </w:p>
        </w:tc>
      </w:tr>
      <w:tr w14:paraId="2ED05F49" w14:textId="77777777">
        <w:tc>
          <w:tcPr>
            <w:tcW w:w="5000" w:type="pct"/>
          </w:tcPr>
          <w:p w14:paraId="7964E5CA" w14:textId="77777777">
            <w:pPr>
              <w:pStyle w:val="CodeParagraph"/>
              <w:keepNext/>
            </w:pPr>
            <w:r>
              <w:rPr>
                <w:rStyle w:val="Code"/>
              </w:rPr>
              <w:t xml:space="preserve">&lt;lg </w:t>
            </w:r>
            <w:r>
              <w:rPr>
                <w:rStyle w:val="Codeattribute"/>
              </w:rPr>
              <w:t>n</w:t>
            </w:r>
            <w:r>
              <w:rPr>
                <w:rStyle w:val="Code"/>
              </w:rPr>
              <w:t>=</w:t>
            </w:r>
            <w:r>
              <w:rPr>
                <w:rStyle w:val="Codevalue"/>
              </w:rPr>
              <w:t>"42"</w:t>
            </w:r>
            <w:r>
              <w:rPr>
                <w:rStyle w:val="Code"/>
              </w:rPr>
              <w:t xml:space="preserve"> </w:t>
            </w:r>
            <w:r>
              <w:rPr>
                <w:rStyle w:val="Codeattribute"/>
              </w:rPr>
              <w:t>met</w:t>
            </w:r>
            <w:r>
              <w:rPr>
                <w:rStyle w:val="Code"/>
              </w:rPr>
              <w:t>=</w:t>
            </w:r>
            <w:r>
              <w:rPr>
                <w:rStyle w:val="Codevalue"/>
              </w:rPr>
              <w:t>"āryā"</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"ab"</w:t>
            </w:r>
            <w:r>
              <w:rPr>
                <w:rStyle w:val="Code"/>
              </w:rPr>
              <w:t>&gt;</w:t>
            </w:r>
            <w:r>
              <w:rPr>
                <w:rStyle w:val="Codetext"/>
              </w:rPr>
              <w:t>śaśineva nabho vimalaṁ kaustubha-maṇineva śārṅgiṇo vakṣaḥ|</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"cd"</w:t>
            </w:r>
            <w:r>
              <w:rPr>
                <w:rStyle w:val="Code"/>
              </w:rPr>
              <w:t>&gt;</w:t>
            </w:r>
            <w:r>
              <w:rPr>
                <w:rStyle w:val="Codetext"/>
              </w:rPr>
              <w:t>bhavana-vareṇa tathedaṁ puram akhilam alaṁkr̥tam udāraṁ||</w:t>
            </w:r>
            <w:r>
              <w:rPr>
                <w:rStyle w:val="Code"/>
              </w:rPr>
              <w:t>&lt;/l&gt;</w:t>
            </w:r>
            <w:r>
              <w:rPr>
                <w:rStyle w:val="Codetext"/>
              </w:rPr>
              <w:br/>
            </w:r>
            <w:r>
              <w:rPr>
                <w:rStyle w:val="Code"/>
              </w:rPr>
              <w:t>&lt;/lg&gt;</w:t>
            </w:r>
          </w:p>
        </w:tc>
      </w:tr>
    </w:tbl>
    <w:p w14:paraId="0AE43263" w14:textId="77777777"/>
    <w:tbl>
      <w:tblPr>
        <w:tblStyle w:val="CodeSampleTable"/>
        <w:tblW w:w="5000" w:type="pct"/>
        <w:tblLook w:val="04A0" w:firstRow="1" w:lastRow="0" w:firstColumn="1" w:lastColumn="0" w:noHBand="0" w:noVBand="1"/>
      </w:tblPr>
      <w:tblGrid>
        <w:gridCol w:w="9628"/>
      </w:tblGrid>
      <w:tr w14:paraId="60D14D78"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F6DC2A6" w14:textId="6DC35FB0">
            <w:pPr>
              <w:pStyle w:val="Kpalrs"/>
            </w:pPr>
            <w:bookmarkStart w:id="92" w:name="_Ref181698022"/>
            <w:r>
              <w:t xml:space="preserve">Exhibit </w:t>
            </w:r>
            <w:fldSimple w:instr=" STYLEREF 2 \s ">
              <w:r>
                <w:rPr>
                  <w:noProof/>
                </w:rPr>
                <w:t>3.2</w:t>
              </w:r>
            </w:fldSimple>
            <w:r>
              <w:t>.</w:t>
            </w:r>
            <w:fldSimple w:instr=" SEQ Exhibit \* ALPHABETIC \s 2 ">
              <w:r>
                <w:rPr>
                  <w:noProof/>
                </w:rPr>
                <w:t>C</w:t>
              </w:r>
            </w:fldSimple>
            <w:bookmarkEnd w:id="92"/>
            <w:r>
              <w:t>: line numbering in Tamil verse</w:t>
            </w:r>
          </w:p>
        </w:tc>
      </w:tr>
      <w:tr w14:paraId="151F9502" w14:textId="77777777">
        <w:tc>
          <w:tcPr>
            <w:tcW w:w="5000" w:type="pct"/>
          </w:tcPr>
          <w:p w14:paraId="5895D57A" w14:textId="77777777">
            <w:pPr>
              <w:pStyle w:val="CodeParagraph"/>
              <w:rPr>
                <w:rStyle w:val="Code"/>
              </w:rPr>
            </w:pPr>
            <w:r>
              <w:rPr>
                <w:rStyle w:val="Code"/>
              </w:rPr>
              <w:t xml:space="preserve">&lt;lg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"āciriyappā"</w:t>
            </w:r>
            <w:r>
              <w:rPr>
                <w:rStyle w:val="Code"/>
              </w:rPr>
              <w:t>&gt;</w:t>
            </w:r>
            <w:r>
              <w:rPr>
                <w:rStyle w:val="Codetext"/>
              </w:rPr>
              <w:br/>
            </w:r>
            <w:r>
              <w:rPr>
                <w:rStyle w:val="Code"/>
              </w:rPr>
              <w:t xml:space="preserve">  &lt;l </w:t>
            </w:r>
            <w:r>
              <w:rPr>
                <w:rStyle w:val="Codeattribute"/>
              </w:rPr>
              <w:t>n=</w:t>
            </w:r>
            <w:r>
              <w:rPr>
                <w:rStyle w:val="Codevalue"/>
              </w:rPr>
              <w:t>"1"</w:t>
            </w:r>
            <w:r>
              <w:rPr>
                <w:rStyle w:val="Code"/>
              </w:rPr>
              <w:t>&gt;</w:t>
            </w:r>
            <w:r>
              <w:rPr>
                <w:rStyle w:val="Codetext"/>
              </w:rPr>
              <w:t>tiṅkaḷēr taru taṉ toṅkal veṇ-kuṭai-k kīḻ</w:t>
            </w:r>
            <w:r>
              <w:rPr>
                <w:rStyle w:val="Code"/>
              </w:rPr>
              <w:t>&lt;/l&gt;</w:t>
            </w:r>
          </w:p>
          <w:p w14:paraId="072B7DD8" w14:textId="77777777">
            <w:pPr>
              <w:pStyle w:val="CodeParagraph"/>
              <w:rPr>
                <w:rStyle w:val="Code"/>
              </w:rPr>
            </w:pPr>
            <w:r>
              <w:rPr>
                <w:rStyle w:val="Code"/>
              </w:rPr>
              <w:t xml:space="preserve">  &lt;l </w:t>
            </w:r>
            <w:r>
              <w:rPr>
                <w:rStyle w:val="Codeattribute"/>
              </w:rPr>
              <w:t>n=</w:t>
            </w:r>
            <w:r>
              <w:rPr>
                <w:rStyle w:val="Codevalue"/>
              </w:rPr>
              <w:t>"2"</w:t>
            </w:r>
            <w:r>
              <w:rPr>
                <w:rStyle w:val="Code"/>
              </w:rPr>
              <w:t>&gt;</w:t>
            </w:r>
            <w:r>
              <w:rPr>
                <w:rStyle w:val="Codetext"/>
              </w:rPr>
              <w:t>nila-makaḷ nilava malar-makaṭ-p puṇara</w:t>
            </w:r>
            <w:r>
              <w:rPr>
                <w:rStyle w:val="Code"/>
              </w:rPr>
              <w:t>&lt;/l&gt;</w:t>
            </w:r>
          </w:p>
          <w:p w14:paraId="2A8776C0" w14:textId="77777777">
            <w:pPr>
              <w:pStyle w:val="CodeParagraph"/>
              <w:rPr>
                <w:rStyle w:val="Code"/>
              </w:rPr>
            </w:pPr>
            <w:r>
              <w:rPr>
                <w:rStyle w:val="Code"/>
              </w:rPr>
              <w:t xml:space="preserve">  &lt;l </w:t>
            </w:r>
            <w:r>
              <w:rPr>
                <w:rStyle w:val="Codeattribute"/>
              </w:rPr>
              <w:t>n=</w:t>
            </w:r>
            <w:r>
              <w:rPr>
                <w:rStyle w:val="Codevalue"/>
              </w:rPr>
              <w:t>"3"</w:t>
            </w:r>
            <w:r>
              <w:rPr>
                <w:rStyle w:val="Code"/>
              </w:rPr>
              <w:t>&gt;</w:t>
            </w:r>
            <w:r>
              <w:rPr>
                <w:rStyle w:val="Codetext"/>
              </w:rPr>
              <w:t>ceṅkol ōcci-k karuṅ kali kaṭintuṭaṉ</w:t>
            </w:r>
            <w:r>
              <w:rPr>
                <w:rStyle w:val="Code"/>
              </w:rPr>
              <w:t>&lt;/l&gt;</w:t>
            </w:r>
          </w:p>
          <w:p w14:paraId="29E36ED4" w14:textId="77777777">
            <w:pPr>
              <w:pStyle w:val="CodeParagraph"/>
            </w:pPr>
            <w:r>
              <w:rPr>
                <w:rStyle w:val="Codetext"/>
              </w:rPr>
              <w:t xml:space="preserve">  ...</w:t>
            </w:r>
            <w:r>
              <w:rPr>
                <w:rStyle w:val="Codetext"/>
              </w:rPr>
              <w:br/>
            </w:r>
            <w:r>
              <w:rPr>
                <w:rStyle w:val="Code"/>
              </w:rPr>
              <w:t>&lt;/lg&gt;</w:t>
            </w:r>
          </w:p>
        </w:tc>
      </w:tr>
    </w:tbl>
    <w:p w14:paraId="77A426F8" w14:textId="77777777">
      <w:pPr>
        <w:pStyle w:val="Cmsor3"/>
      </w:pPr>
      <w:bookmarkStart w:id="93" w:name="_Ref224901082"/>
      <w:bookmarkStart w:id="94" w:name="_Toc243922603"/>
      <w:r>
        <w:t>Interrupted container boundaries</w:t>
      </w:r>
      <w:bookmarkEnd w:id="94"/>
    </w:p>
    <w:p w14:paraId="6F77EF9A" w14:textId="77777777">
      <w:pPr>
        <w:pStyle w:val="Cmsor4"/>
      </w:pPr>
      <w:bookmarkStart w:id="95" w:name="_Ref228980509"/>
      <w:r>
        <w:t>Block-level containers split into parts</w:t>
      </w:r>
      <w:bookmarkEnd w:id="95"/>
    </w:p>
    <w:p w14:paraId="672FDC5B" w14:textId="77777777">
      <w:r>
        <w:t>Paragraphs and stanzas (sometimes along with verse lines) may be split into non-contiguous parts in a text, typically in one of three scenarios. First, when an inscription is fragmented, part of a unit may be lost or be located on a separate and unconnected fragment encoded as a textpart division. Second, the composer may deliberately break up a unit, as in drama or in a base text with commentary. Third, a unit may have been accidentally left incomplete, and then later completed at a physically different part of the document. TEI provides methods for linking container elements to indicate that they together represent an integral whole. DHARMA encoding practice does not employ linking in order to keep the complexity of the code down, but we do add a small amount of extra code to mark up split containers.</w:t>
      </w:r>
    </w:p>
    <w:p w14:paraId="3225812D" w14:textId="77777777">
      <w:pPr>
        <w:pStyle w:val="Normlbehzs"/>
      </w:pPr>
      <w:r>
        <w:t>This applies only to cases where the complete unit was (at least presumably) written. If a unit was never complete, for example because the composer deliberately included only a partial stanza, or because the engraver left an inscription unfinished, then simply encode the container with the available text normally.</w:t>
      </w:r>
    </w:p>
    <w:p w14:paraId="63D96753" w14:textId="77777777">
      <w:pPr>
        <w:pStyle w:val="Lista"/>
      </w:pPr>
      <w:r>
        <w:t xml:space="preserve">if a block-level container element contains only part of a semantic paragraph, part of a stanza, or part of a verse line, while the rest of that textual unit is written elsewhere or altogether lost, add the attribute </w:t>
      </w:r>
      <w:r>
        <w:rPr>
          <w:rStyle w:val="Codeattribute"/>
        </w:rPr>
        <w:t>@part</w:t>
      </w:r>
      <w:r>
        <w:t xml:space="preserve"> to each incomplete container with values as follows:</w:t>
      </w:r>
    </w:p>
    <w:p w14:paraId="265DBC09" w14:textId="77777777">
      <w:pPr>
        <w:pStyle w:val="Lista2"/>
      </w:pPr>
      <w:r>
        <w:rPr>
          <w:rStyle w:val="Codevalue"/>
        </w:rPr>
        <w:t>"I"</w:t>
      </w:r>
      <w:r>
        <w:t xml:space="preserve"> for the initial part of a container (the end of which is lost or elsewhere)</w:t>
      </w:r>
    </w:p>
    <w:p w14:paraId="750379C9" w14:textId="77777777">
      <w:pPr>
        <w:pStyle w:val="Lista2"/>
      </w:pPr>
      <w:r>
        <w:rPr>
          <w:rStyle w:val="Codevalue"/>
        </w:rPr>
        <w:t>"F"</w:t>
      </w:r>
      <w:r>
        <w:t xml:space="preserve"> for the final part of a container (the beginning of which lost or elsewhere)</w:t>
      </w:r>
    </w:p>
    <w:p w14:paraId="21641007" w14:textId="77777777">
      <w:pPr>
        <w:pStyle w:val="Lista2"/>
      </w:pPr>
      <w:r>
        <w:rPr>
          <w:rStyle w:val="Codevalue"/>
        </w:rPr>
        <w:t>"M"</w:t>
      </w:r>
      <w:r>
        <w:t xml:space="preserve"> for a medial part of a container (both the beginning and end of which are lost or elsewhere)</w:t>
      </w:r>
    </w:p>
    <w:p w14:paraId="16C7A7B3" w14:textId="7A05FA98">
      <w:pPr>
        <w:pStyle w:val="Lista"/>
      </w:pPr>
      <w:r>
        <w:t>if a substantial portion of an inscription is lost, see §</w:t>
      </w:r>
      <w:r>
        <w:fldChar w:fldCharType="begin"/>
      </w:r>
      <w:r>
        <w:instrText xml:space="preserve"> REF _Ref43981711 \r \h </w:instrText>
      </w:r>
      <w:r>
        <w:fldChar w:fldCharType="separate"/>
      </w:r>
      <w:r>
        <w:t>6.5.4</w:t>
      </w:r>
      <w:r>
        <w:fldChar w:fldCharType="end"/>
      </w:r>
      <w:r>
        <w:t xml:space="preserve"> for further instructions and examples</w:t>
      </w:r>
    </w:p>
    <w:p w14:paraId="047938A0" w14:textId="04C71789">
      <w:pPr>
        <w:pStyle w:val="Lista2"/>
      </w:pPr>
      <w:r>
        <w:t>however, smaller lacunae should instead be treated as per §</w:t>
      </w:r>
      <w:r>
        <w:fldChar w:fldCharType="begin"/>
      </w:r>
      <w:r>
        <w:instrText xml:space="preserve"> REF _Ref43988016 \r \h </w:instrText>
      </w:r>
      <w:r>
        <w:fldChar w:fldCharType="separate"/>
      </w:r>
      <w:r>
        <w:t>6.5.2</w:t>
      </w:r>
      <w:r>
        <w:fldChar w:fldCharType="end"/>
      </w:r>
    </w:p>
    <w:p w14:paraId="397E0740" w14:textId="4CDA422B">
      <w:pPr>
        <w:pStyle w:val="Lista"/>
      </w:pPr>
      <w:r>
        <w:t>if partial containers are found on two or more fragments, see also §</w:t>
      </w:r>
      <w:r>
        <w:fldChar w:fldCharType="begin"/>
      </w:r>
      <w:r>
        <w:instrText xml:space="preserve"> REF _Ref225346692 \r \h </w:instrText>
      </w:r>
      <w:r>
        <w:fldChar w:fldCharType="separate"/>
      </w:r>
      <w:r>
        <w:t>4.7.3.2</w:t>
      </w:r>
      <w:r>
        <w:fldChar w:fldCharType="end"/>
      </w:r>
      <w:r>
        <w:t xml:space="preserve"> about encoding fragments as textpart divisions</w:t>
      </w:r>
    </w:p>
    <w:p w14:paraId="32E8F3C6" w14:textId="04E2027C">
      <w:pPr>
        <w:pStyle w:val="Lista"/>
      </w:pPr>
      <w:r>
        <w:t>for a base text interspersed with glosses in another language, see §</w:t>
      </w:r>
      <w:r>
        <w:fldChar w:fldCharType="begin"/>
      </w:r>
      <w:r>
        <w:instrText xml:space="preserve"> REF _Ref232063409 \r \h </w:instrText>
      </w:r>
      <w:r>
        <w:fldChar w:fldCharType="separate"/>
      </w:r>
      <w:r>
        <w:t>8.1.2.4</w:t>
      </w:r>
      <w:r>
        <w:fldChar w:fldCharType="end"/>
      </w:r>
    </w:p>
    <w:p w14:paraId="2DDCBE62" w14:textId="77777777">
      <w:pPr>
        <w:pStyle w:val="Cmsor4"/>
      </w:pPr>
      <w:r>
        <w:t>Split containers or scribal addition?</w:t>
      </w:r>
    </w:p>
    <w:p w14:paraId="08808C13" w14:textId="77777777">
      <w:r>
        <w:t>When split units are fully present in a document, but their parts are out of sequence and this is not deemed to be a deliberate compositional decision (as in drama or commented text), the following choice must be made at your discretion.</w:t>
      </w:r>
    </w:p>
    <w:p w14:paraId="468A598B" w14:textId="77777777">
      <w:pPr>
        <w:pStyle w:val="Lista"/>
      </w:pPr>
      <w:r>
        <w:t xml:space="preserve">either encode the items in their </w:t>
      </w:r>
      <w:r>
        <w:rPr>
          <w:b/>
          <w:bCs/>
        </w:rPr>
        <w:t>logical sequence, as scribal correction</w:t>
      </w:r>
      <w:r>
        <w:t xml:space="preserve"> by addition</w:t>
      </w:r>
    </w:p>
    <w:p w14:paraId="4499FC84" w14:textId="77777777">
      <w:pPr>
        <w:pStyle w:val="Lista2"/>
      </w:pPr>
      <w:r>
        <w:t>this interpretation is preferable when the intended logical sequence of parts is clear, especially</w:t>
      </w:r>
    </w:p>
    <w:p w14:paraId="627937AE" w14:textId="77777777">
      <w:pPr>
        <w:pStyle w:val="Lista3"/>
      </w:pPr>
      <w:r>
        <w:t>if the part missing at its proper spot is inscribed outside the basic sequence of the text, e.g. between lines or in the margins</w:t>
      </w:r>
    </w:p>
    <w:p w14:paraId="5F5A0558" w14:textId="77777777">
      <w:pPr>
        <w:pStyle w:val="Lista3"/>
      </w:pPr>
      <w:r>
        <w:lastRenderedPageBreak/>
        <w:t>if scribal marks are present to indicate where the missing and separately supplied part must be read</w:t>
      </w:r>
    </w:p>
    <w:p w14:paraId="1B8BF9D5" w14:textId="3D968E58">
      <w:pPr>
        <w:pStyle w:val="Lista2"/>
      </w:pPr>
      <w:r>
        <w:t xml:space="preserve">in such a case, proceed as in </w:t>
      </w:r>
      <w:r>
        <w:fldChar w:fldCharType="begin"/>
      </w:r>
      <w:r>
        <w:instrText xml:space="preserve"> REF _Ref54603376 \h </w:instrText>
      </w:r>
      <w:r>
        <w:fldChar w:fldCharType="separate"/>
      </w:r>
      <w:r>
        <w:t xml:space="preserve">Exhibit </w:t>
      </w:r>
      <w:r>
        <w:rPr>
          <w:noProof/>
        </w:rPr>
        <w:t>3.2</w:t>
      </w:r>
      <w:r>
        <w:t>.</w:t>
      </w:r>
      <w:r>
        <w:rPr>
          <w:noProof/>
        </w:rPr>
        <w:t>D</w:t>
      </w:r>
      <w:r>
        <w:fldChar w:fldCharType="end"/>
      </w:r>
      <w:r>
        <w:t>, namely:</w:t>
      </w:r>
    </w:p>
    <w:p w14:paraId="63FC1354" w14:textId="77777777">
      <w:pPr>
        <w:pStyle w:val="Lista3"/>
      </w:pPr>
      <w:r>
        <w:t xml:space="preserve">include the out-of-sequence text at its </w:t>
      </w:r>
      <w:r>
        <w:rPr>
          <w:i/>
          <w:iCs/>
        </w:rPr>
        <w:t>logical</w:t>
      </w:r>
      <w:r>
        <w:t xml:space="preserve"> rather than its </w:t>
      </w:r>
      <w:r>
        <w:rPr>
          <w:i/>
          <w:iCs/>
        </w:rPr>
        <w:t>physical</w:t>
      </w:r>
      <w:r>
        <w:t xml:space="preserve"> place</w:t>
      </w:r>
    </w:p>
    <w:p w14:paraId="587E6B22" w14:textId="42BDF3FF">
      <w:pPr>
        <w:pStyle w:val="Lista3"/>
      </w:pPr>
      <w:r>
        <w:t>mark it up as an addition (§</w:t>
      </w:r>
      <w:r>
        <w:fldChar w:fldCharType="begin"/>
      </w:r>
      <w:r>
        <w:instrText xml:space="preserve"> REF _Ref43978471 \r \h </w:instrText>
      </w:r>
      <w:r>
        <w:fldChar w:fldCharType="separate"/>
      </w:r>
      <w:r>
        <w:t>5.5.2</w:t>
      </w:r>
      <w:r>
        <w:fldChar w:fldCharType="end"/>
      </w:r>
      <w:r>
        <w:t xml:space="preserve">) with a value of </w:t>
      </w:r>
      <w:r>
        <w:rPr>
          <w:rStyle w:val="Codeattribute"/>
        </w:rPr>
        <w:t>@place</w:t>
      </w:r>
      <w:r>
        <w:t xml:space="preserve"> that best approximates its physical location</w:t>
      </w:r>
    </w:p>
    <w:p w14:paraId="04E0ED98" w14:textId="49C0209D">
      <w:pPr>
        <w:pStyle w:val="Lista4"/>
      </w:pPr>
      <w:r>
        <w:t>if such an addition takes up one or more entire physical lines, encode line beginnings (§</w:t>
      </w:r>
      <w:r>
        <w:fldChar w:fldCharType="begin"/>
      </w:r>
      <w:r>
        <w:instrText xml:space="preserve"> REF _Ref43980100 \r \h </w:instrText>
      </w:r>
      <w:r>
        <w:fldChar w:fldCharType="separate"/>
      </w:r>
      <w:r>
        <w:t>4.5.1</w:t>
      </w:r>
      <w:r>
        <w:fldChar w:fldCharType="end"/>
      </w:r>
      <w:r>
        <w:t xml:space="preserve">) within the </w:t>
      </w:r>
      <w:r>
        <w:rPr>
          <w:rStyle w:val="Code"/>
        </w:rPr>
        <w:t>&lt;add&gt;</w:t>
      </w:r>
      <w:r>
        <w:t xml:space="preserve"> tags as permitted under §</w:t>
      </w:r>
      <w:r>
        <w:fldChar w:fldCharType="begin"/>
      </w:r>
      <w:r>
        <w:instrText xml:space="preserve"> REF _Ref43978471 \r \h </w:instrText>
      </w:r>
      <w:r>
        <w:fldChar w:fldCharType="separate"/>
      </w:r>
      <w:r>
        <w:t>5.5.2</w:t>
      </w:r>
      <w:r>
        <w:fldChar w:fldCharType="end"/>
      </w:r>
    </w:p>
    <w:p w14:paraId="44078575" w14:textId="77777777">
      <w:pPr>
        <w:pStyle w:val="Lista3"/>
      </w:pPr>
      <w:r>
        <w:t>the fact that the addition interrupts a different part of the text at such and such a point can be indicated in your annotation</w:t>
      </w:r>
    </w:p>
    <w:tbl>
      <w:tblPr>
        <w:tblStyle w:val="CodeSampleTable"/>
        <w:tblW w:w="5000" w:type="pct"/>
        <w:tblLook w:val="04A0" w:firstRow="1" w:lastRow="0" w:firstColumn="1" w:lastColumn="0" w:noHBand="0" w:noVBand="1"/>
      </w:tblPr>
      <w:tblGrid>
        <w:gridCol w:w="9628"/>
      </w:tblGrid>
      <w:tr w14:paraId="2B5D5668"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F97BDE8" w14:textId="7CBBB08B">
            <w:pPr>
              <w:pStyle w:val="Kpalrs"/>
            </w:pPr>
            <w:bookmarkStart w:id="96" w:name="_Ref54603376"/>
            <w:r>
              <w:t xml:space="preserve">Exhibit </w:t>
            </w:r>
            <w:fldSimple w:instr=" STYLEREF 2 \s ">
              <w:r>
                <w:rPr>
                  <w:noProof/>
                </w:rPr>
                <w:t>3.2</w:t>
              </w:r>
            </w:fldSimple>
            <w:r>
              <w:t>.</w:t>
            </w:r>
            <w:fldSimple w:instr=" SEQ Exhibit \* ALPHABETIC \s 2 ">
              <w:r>
                <w:rPr>
                  <w:noProof/>
                </w:rPr>
                <w:t>D</w:t>
              </w:r>
            </w:fldSimple>
            <w:bookmarkEnd w:id="96"/>
            <w:r>
              <w:t>: part of a stanza inscribed below the rest of the text</w:t>
            </w:r>
          </w:p>
        </w:tc>
      </w:tr>
      <w:tr w14:paraId="5E5E4C4C" w14:textId="77777777">
        <w:tc>
          <w:tcPr>
            <w:tcW w:w="5000" w:type="pct"/>
          </w:tcPr>
          <w:p w14:paraId="36C8A7A0" w14:textId="77777777">
            <w:pPr>
              <w:pStyle w:val="CodeParagraph"/>
              <w:keepNext/>
              <w:rPr>
                <w:rStyle w:val="Code"/>
              </w:rPr>
            </w:pPr>
            <w:r>
              <w:rPr>
                <w:rStyle w:val="Code"/>
              </w:rPr>
              <w:t xml:space="preserve">&lt;lg </w:t>
            </w:r>
            <w:r>
              <w:rPr>
                <w:rStyle w:val="Codeattribute"/>
              </w:rPr>
              <w:t>n</w:t>
            </w:r>
            <w:r>
              <w:rPr>
                <w:rStyle w:val="Codetext"/>
              </w:rPr>
              <w:t>=</w:t>
            </w:r>
            <w:r>
              <w:rPr>
                <w:rStyle w:val="Codevalue"/>
              </w:rPr>
              <w:t>"4"</w:t>
            </w:r>
            <w:r>
              <w:rPr>
                <w:rStyle w:val="Code"/>
              </w:rPr>
              <w:t xml:space="preserve"> </w:t>
            </w:r>
            <w:r>
              <w:rPr>
                <w:rStyle w:val="Codeattribute"/>
              </w:rPr>
              <w:t>met</w:t>
            </w:r>
            <w:r>
              <w:rPr>
                <w:rStyle w:val="Codetext"/>
              </w:rPr>
              <w:t>=</w:t>
            </w:r>
            <w:r>
              <w:rPr>
                <w:rStyle w:val="Codevalue"/>
              </w:rPr>
              <w:t>"anuṣṭubh"</w:t>
            </w:r>
            <w:r>
              <w:rPr>
                <w:rStyle w:val="Code"/>
              </w:rPr>
              <w:t>&gt;</w:t>
            </w:r>
          </w:p>
          <w:p w14:paraId="4AD388C7" w14:textId="77777777">
            <w:pPr>
              <w:pStyle w:val="CodeParagraph"/>
              <w:keepNext/>
              <w:rPr>
                <w:rStyle w:val="Code"/>
              </w:rPr>
            </w:pPr>
            <w:r>
              <w:rPr>
                <w:rStyle w:val="Code"/>
              </w:rPr>
              <w:t xml:space="preserve">  &lt;l </w:t>
            </w:r>
            <w:r>
              <w:rPr>
                <w:rStyle w:val="Codeattribute"/>
              </w:rPr>
              <w:t>n</w:t>
            </w:r>
            <w:r>
              <w:rPr>
                <w:rStyle w:val="Codetext"/>
              </w:rPr>
              <w:t>=</w:t>
            </w:r>
            <w:r>
              <w:rPr>
                <w:rStyle w:val="Codevalue"/>
              </w:rPr>
              <w:t>"a"</w:t>
            </w:r>
            <w:r>
              <w:rPr>
                <w:rStyle w:val="Code"/>
              </w:rPr>
              <w:t xml:space="preserve">&gt;&lt;lb </w:t>
            </w:r>
            <w:r>
              <w:rPr>
                <w:rStyle w:val="Codeattribute"/>
              </w:rPr>
              <w:t>n</w:t>
            </w:r>
            <w:r>
              <w:rPr>
                <w:rStyle w:val="Codetext"/>
              </w:rPr>
              <w:t>=</w:t>
            </w:r>
            <w:r>
              <w:rPr>
                <w:rStyle w:val="Codevalue"/>
              </w:rPr>
              <w:t>"7"</w:t>
            </w:r>
            <w:r>
              <w:rPr>
                <w:rStyle w:val="Code"/>
              </w:rPr>
              <w:t>/&gt;</w:t>
            </w:r>
            <w:r>
              <w:rPr>
                <w:rStyle w:val="Codetext"/>
              </w:rPr>
              <w:t>samanta-putras sthaviraḥ</w:t>
            </w:r>
            <w:r>
              <w:rPr>
                <w:rStyle w:val="Code"/>
              </w:rPr>
              <w:t>&lt;/l&gt;</w:t>
            </w:r>
          </w:p>
          <w:p w14:paraId="30332A76" w14:textId="77777777">
            <w:pPr>
              <w:pStyle w:val="CodeParagraph"/>
              <w:keepNext/>
              <w:rPr>
                <w:rStyle w:val="Code"/>
              </w:rPr>
            </w:pPr>
            <w:r>
              <w:rPr>
                <w:rStyle w:val="Code"/>
              </w:rPr>
              <w:t xml:space="preserve">  &lt;l </w:t>
            </w:r>
            <w:r>
              <w:rPr>
                <w:rStyle w:val="Codeattribute"/>
              </w:rPr>
              <w:t>n</w:t>
            </w:r>
            <w:r>
              <w:rPr>
                <w:rStyle w:val="Codetext"/>
              </w:rPr>
              <w:t>=</w:t>
            </w:r>
            <w:r>
              <w:rPr>
                <w:rStyle w:val="Codevalue"/>
              </w:rPr>
              <w:t>"b"</w:t>
            </w:r>
            <w:r>
              <w:rPr>
                <w:rStyle w:val="Code"/>
              </w:rPr>
              <w:t>&gt;</w:t>
            </w:r>
            <w:r>
              <w:rPr>
                <w:rStyle w:val="Codetext"/>
              </w:rPr>
              <w:t>buddhanirvvāṇa-saṁjñakaḥ</w:t>
            </w:r>
            <w:r>
              <w:rPr>
                <w:rStyle w:val="Code"/>
              </w:rPr>
              <w:t>&lt;/l&gt;</w:t>
            </w:r>
          </w:p>
          <w:p w14:paraId="35F0C77C" w14:textId="77777777">
            <w:pPr>
              <w:pStyle w:val="CodeParagraph"/>
              <w:keepNext/>
              <w:rPr>
                <w:rStyle w:val="Code"/>
              </w:rPr>
            </w:pPr>
            <w:r>
              <w:rPr>
                <w:rStyle w:val="Code"/>
              </w:rPr>
              <w:t xml:space="preserve">  &lt;l </w:t>
            </w:r>
            <w:r>
              <w:rPr>
                <w:rStyle w:val="Codeattribute"/>
              </w:rPr>
              <w:t>n</w:t>
            </w:r>
            <w:r>
              <w:rPr>
                <w:rStyle w:val="Codetext"/>
              </w:rPr>
              <w:t>=</w:t>
            </w:r>
            <w:r>
              <w:rPr>
                <w:rStyle w:val="Codevalue"/>
              </w:rPr>
              <w:t>"c"</w:t>
            </w:r>
            <w:r>
              <w:rPr>
                <w:rStyle w:val="Code"/>
              </w:rPr>
              <w:t xml:space="preserve">&gt;&lt;add </w:t>
            </w:r>
            <w:r>
              <w:rPr>
                <w:rStyle w:val="Codeattribute"/>
              </w:rPr>
              <w:t>place</w:t>
            </w:r>
            <w:r>
              <w:rPr>
                <w:rStyle w:val="Codetext"/>
              </w:rPr>
              <w:t>=</w:t>
            </w:r>
            <w:r>
              <w:rPr>
                <w:rStyle w:val="Codevalue"/>
              </w:rPr>
              <w:t>"bottom"</w:t>
            </w:r>
            <w:r>
              <w:rPr>
                <w:rStyle w:val="Code"/>
              </w:rPr>
              <w:t xml:space="preserve"> </w:t>
            </w:r>
            <w:r>
              <w:rPr>
                <w:rStyle w:val="Codeattribute"/>
              </w:rPr>
              <w:t>rend</w:t>
            </w:r>
            <w:r>
              <w:rPr>
                <w:rStyle w:val="Codetext"/>
              </w:rPr>
              <w:t>=</w:t>
            </w:r>
            <w:r>
              <w:rPr>
                <w:rStyle w:val="Codevalue"/>
              </w:rPr>
              <w:t>"mark"</w:t>
            </w:r>
            <w:r>
              <w:rPr>
                <w:rStyle w:val="Code"/>
              </w:rPr>
              <w:t xml:space="preserve">&gt;&lt;lb </w:t>
            </w:r>
            <w:r>
              <w:rPr>
                <w:rStyle w:val="Codeattribute"/>
              </w:rPr>
              <w:t>n</w:t>
            </w:r>
            <w:r>
              <w:rPr>
                <w:rStyle w:val="Codetext"/>
              </w:rPr>
              <w:t>=</w:t>
            </w:r>
            <w:r>
              <w:rPr>
                <w:rStyle w:val="Codevalue"/>
              </w:rPr>
              <w:t>"15"</w:t>
            </w:r>
            <w:r>
              <w:rPr>
                <w:rStyle w:val="Code"/>
              </w:rPr>
              <w:t>/&gt;</w:t>
            </w:r>
            <w:r>
              <w:rPr>
                <w:rStyle w:val="Codetext"/>
              </w:rPr>
              <w:t>kāvyasya karaṇañ cakre</w:t>
            </w:r>
            <w:r>
              <w:rPr>
                <w:rStyle w:val="Code"/>
              </w:rPr>
              <w:t>&lt;/add&gt;&lt;/l&gt;</w:t>
            </w:r>
          </w:p>
          <w:p w14:paraId="7121B8FC" w14:textId="77777777">
            <w:pPr>
              <w:pStyle w:val="CodeParagraph"/>
              <w:keepNext/>
              <w:rPr>
                <w:rStyle w:val="Code"/>
              </w:rPr>
            </w:pPr>
            <w:r>
              <w:rPr>
                <w:rStyle w:val="Code"/>
              </w:rPr>
              <w:t xml:space="preserve">  &lt;l </w:t>
            </w:r>
            <w:r>
              <w:rPr>
                <w:rStyle w:val="Codeattribute"/>
              </w:rPr>
              <w:t>n</w:t>
            </w:r>
            <w:r>
              <w:rPr>
                <w:rStyle w:val="Codetext"/>
              </w:rPr>
              <w:t>=</w:t>
            </w:r>
            <w:r>
              <w:rPr>
                <w:rStyle w:val="Codevalue"/>
              </w:rPr>
              <w:t>"d"</w:t>
            </w:r>
            <w:r>
              <w:rPr>
                <w:rStyle w:val="Code"/>
              </w:rPr>
              <w:t xml:space="preserve">&gt;&lt;add </w:t>
            </w:r>
            <w:r>
              <w:rPr>
                <w:rStyle w:val="Codeattribute"/>
              </w:rPr>
              <w:t>place</w:t>
            </w:r>
            <w:r>
              <w:rPr>
                <w:rStyle w:val="Codetext"/>
              </w:rPr>
              <w:t>=</w:t>
            </w:r>
            <w:r>
              <w:rPr>
                <w:rStyle w:val="Codevalue"/>
              </w:rPr>
              <w:t>"bottom"</w:t>
            </w:r>
            <w:r>
              <w:rPr>
                <w:rStyle w:val="Code"/>
              </w:rPr>
              <w:t xml:space="preserve"> </w:t>
            </w:r>
            <w:r>
              <w:rPr>
                <w:rStyle w:val="Codeattribute"/>
              </w:rPr>
              <w:t>rend</w:t>
            </w:r>
            <w:r>
              <w:rPr>
                <w:rStyle w:val="Codetext"/>
              </w:rPr>
              <w:t>=</w:t>
            </w:r>
            <w:r>
              <w:rPr>
                <w:rStyle w:val="Codevalue"/>
              </w:rPr>
              <w:t>"mark"</w:t>
            </w:r>
            <w:r>
              <w:rPr>
                <w:rStyle w:val="Code"/>
              </w:rPr>
              <w:t xml:space="preserve">&gt;&lt;lb </w:t>
            </w:r>
            <w:r>
              <w:rPr>
                <w:rStyle w:val="Codeattribute"/>
              </w:rPr>
              <w:t>n</w:t>
            </w:r>
            <w:r>
              <w:rPr>
                <w:rStyle w:val="Codetext"/>
              </w:rPr>
              <w:t>=</w:t>
            </w:r>
            <w:r>
              <w:rPr>
                <w:rStyle w:val="Codevalue"/>
              </w:rPr>
              <w:t>"16"</w:t>
            </w:r>
            <w:r>
              <w:rPr>
                <w:rStyle w:val="Code"/>
              </w:rPr>
              <w:t>/&gt;</w:t>
            </w:r>
            <w:r>
              <w:rPr>
                <w:rStyle w:val="Codetext"/>
              </w:rPr>
              <w:t>jñātaye bhūtale nr̥ṇām·</w:t>
            </w:r>
            <w:r>
              <w:rPr>
                <w:rStyle w:val="Code"/>
              </w:rPr>
              <w:t xml:space="preserve">&lt;/add&gt;&lt;/l&gt; </w:t>
            </w:r>
          </w:p>
          <w:p w14:paraId="35C28CB1" w14:textId="77777777">
            <w:pPr>
              <w:pStyle w:val="CodeParagraph"/>
              <w:keepNext/>
              <w:rPr>
                <w:rStyle w:val="Code"/>
              </w:rPr>
            </w:pPr>
            <w:r>
              <w:rPr>
                <w:rStyle w:val="Code"/>
              </w:rPr>
              <w:t>&lt;/lg&gt;</w:t>
            </w:r>
          </w:p>
          <w:p w14:paraId="039C2092" w14:textId="77777777">
            <w:pPr>
              <w:pStyle w:val="CodeParagraph"/>
              <w:keepNext/>
              <w:rPr>
                <w:rStyle w:val="Code"/>
              </w:rPr>
            </w:pPr>
            <w:r>
              <w:rPr>
                <w:rStyle w:val="Code"/>
              </w:rPr>
              <w:t xml:space="preserve">&lt;p </w:t>
            </w:r>
            <w:r>
              <w:rPr>
                <w:rStyle w:val="Codeattribute"/>
              </w:rPr>
              <w:t>xml:lang</w:t>
            </w:r>
            <w:r>
              <w:rPr>
                <w:rStyle w:val="Codetext"/>
              </w:rPr>
              <w:t>=</w:t>
            </w:r>
            <w:r>
              <w:rPr>
                <w:rStyle w:val="Codevalue"/>
              </w:rPr>
              <w:t>"ocm-Latn"&gt;</w:t>
            </w:r>
            <w:r>
              <w:rPr>
                <w:rStyle w:val="Code"/>
              </w:rPr>
              <w:t xml:space="preserve">&lt;lb </w:t>
            </w:r>
            <w:r>
              <w:rPr>
                <w:rStyle w:val="Codeattribute"/>
              </w:rPr>
              <w:t>n</w:t>
            </w:r>
            <w:r>
              <w:rPr>
                <w:rStyle w:val="Codetext"/>
              </w:rPr>
              <w:t>=</w:t>
            </w:r>
            <w:r>
              <w:rPr>
                <w:rStyle w:val="Codevalue"/>
              </w:rPr>
              <w:t>"8"</w:t>
            </w:r>
            <w:r>
              <w:rPr>
                <w:rStyle w:val="Code"/>
              </w:rPr>
              <w:t>/&gt;</w:t>
            </w:r>
            <w:r>
              <w:rPr>
                <w:rStyle w:val="Codetext"/>
              </w:rPr>
              <w:t>humā pralauṅ·</w:t>
            </w:r>
            <w:r>
              <w:rPr>
                <w:rStyle w:val="Code"/>
              </w:rPr>
              <w:t xml:space="preserve">&lt;g </w:t>
            </w:r>
            <w:r>
              <w:rPr>
                <w:rStyle w:val="Codeattribute"/>
              </w:rPr>
              <w:t>ref</w:t>
            </w:r>
            <w:r>
              <w:rPr>
                <w:rStyle w:val="Codetext"/>
              </w:rPr>
              <w:t>=</w:t>
            </w:r>
            <w:r>
              <w:rPr>
                <w:rStyle w:val="Codevalue"/>
              </w:rPr>
              <w:t>"sym:doubleBar"</w:t>
            </w:r>
            <w:r>
              <w:rPr>
                <w:rStyle w:val="Code"/>
              </w:rPr>
              <w:t>&gt;</w:t>
            </w:r>
            <w:r>
              <w:rPr>
                <w:rStyle w:val="Codetext"/>
              </w:rPr>
              <w:t>.</w:t>
            </w:r>
            <w:r>
              <w:rPr>
                <w:rStyle w:val="Code"/>
              </w:rPr>
              <w:t>&lt;/g&gt;</w:t>
            </w:r>
            <w:r>
              <w:rPr>
                <w:rStyle w:val="Codetext"/>
              </w:rPr>
              <w:t xml:space="preserve"> humā padaiṅ·</w:t>
            </w:r>
            <w:r>
              <w:rPr>
                <w:rStyle w:val="Code"/>
              </w:rPr>
              <w:t xml:space="preserve">&lt;g </w:t>
            </w:r>
            <w:r>
              <w:rPr>
                <w:rStyle w:val="Codeattribute"/>
              </w:rPr>
              <w:t>ref</w:t>
            </w:r>
            <w:r>
              <w:rPr>
                <w:rStyle w:val="Codetext"/>
              </w:rPr>
              <w:t>=</w:t>
            </w:r>
            <w:r>
              <w:rPr>
                <w:rStyle w:val="Codevalue"/>
              </w:rPr>
              <w:t>"sym:doubleBar"</w:t>
            </w:r>
            <w:r>
              <w:rPr>
                <w:rStyle w:val="Code"/>
              </w:rPr>
              <w:t>&gt;</w:t>
            </w:r>
            <w:r>
              <w:rPr>
                <w:rStyle w:val="Codetext"/>
              </w:rPr>
              <w:t>.</w:t>
            </w:r>
            <w:r>
              <w:rPr>
                <w:rStyle w:val="Code"/>
              </w:rPr>
              <w:t>&lt;/g&gt;</w:t>
            </w:r>
            <w:r>
              <w:rPr>
                <w:rStyle w:val="Codetext"/>
              </w:rPr>
              <w:t xml:space="preserve"> ney· śaka vanuḥ humā dvā nan·</w:t>
            </w:r>
          </w:p>
          <w:p w14:paraId="179A3258" w14:textId="77777777">
            <w:pPr>
              <w:pStyle w:val="CodeParagraph"/>
              <w:keepNext/>
              <w:rPr>
                <w:rStyle w:val="Code"/>
              </w:rPr>
            </w:pPr>
            <w:r>
              <w:rPr>
                <w:rStyle w:val="Code"/>
              </w:rPr>
              <w:t xml:space="preserve">&lt;lb </w:t>
            </w:r>
            <w:r>
              <w:rPr>
                <w:rStyle w:val="Codeattribute"/>
              </w:rPr>
              <w:t>n</w:t>
            </w:r>
            <w:r>
              <w:rPr>
                <w:rStyle w:val="Codetext"/>
              </w:rPr>
              <w:t>=</w:t>
            </w:r>
            <w:r>
              <w:rPr>
                <w:rStyle w:val="Codevalue"/>
              </w:rPr>
              <w:t>"9"</w:t>
            </w:r>
            <w:r>
              <w:rPr>
                <w:rStyle w:val="Code"/>
              </w:rPr>
              <w:t>/&gt;</w:t>
            </w:r>
            <w:r>
              <w:rPr>
                <w:rStyle w:val="Codetext"/>
              </w:rPr>
              <w:t>...</w:t>
            </w:r>
          </w:p>
          <w:p w14:paraId="118A2161" w14:textId="77777777">
            <w:pPr>
              <w:pStyle w:val="CodeParagraph"/>
              <w:keepNext/>
              <w:rPr>
                <w:rStyle w:val="Code"/>
              </w:rPr>
            </w:pPr>
            <w:r>
              <w:rPr>
                <w:rStyle w:val="Codetext"/>
              </w:rPr>
              <w:t>...</w:t>
            </w:r>
          </w:p>
          <w:p w14:paraId="7B2F3DAF" w14:textId="77777777">
            <w:pPr>
              <w:pStyle w:val="CodeParagraph"/>
              <w:keepNext/>
            </w:pPr>
            <w:r>
              <w:rPr>
                <w:rStyle w:val="Code"/>
              </w:rPr>
              <w:t xml:space="preserve">&lt;lb </w:t>
            </w:r>
            <w:r>
              <w:rPr>
                <w:rStyle w:val="Codeattribute"/>
              </w:rPr>
              <w:t>n</w:t>
            </w:r>
            <w:r>
              <w:rPr>
                <w:rStyle w:val="Codetext"/>
              </w:rPr>
              <w:t>=</w:t>
            </w:r>
            <w:r>
              <w:rPr>
                <w:rStyle w:val="Codevalue"/>
              </w:rPr>
              <w:t>"14"</w:t>
            </w:r>
            <w:r>
              <w:rPr>
                <w:rStyle w:val="Code"/>
              </w:rPr>
              <w:t>/&gt;</w:t>
            </w:r>
            <w:r>
              <w:rPr>
                <w:rStyle w:val="Codetext"/>
              </w:rPr>
              <w:t>...</w:t>
            </w:r>
            <w:r>
              <w:rPr>
                <w:rStyle w:val="Code"/>
              </w:rPr>
              <w:t>&lt;/p&gt;</w:t>
            </w:r>
          </w:p>
        </w:tc>
      </w:tr>
      <w:tr w14:paraId="6456DA8A" w14:textId="77777777">
        <w:tc>
          <w:tcPr>
            <w:tcW w:w="5000" w:type="pct"/>
          </w:tcPr>
          <w:p w14:paraId="62A1E4D6" w14:textId="77777777">
            <w:pPr>
              <w:pStyle w:val="TableNote"/>
            </w:pPr>
            <w:r>
              <w:t>the first half of stanza 4 is inscribed as line 7 of the text, but the second hemistich was omitted there</w:t>
            </w:r>
          </w:p>
          <w:p w14:paraId="77D4CECA" w14:textId="77777777">
            <w:pPr>
              <w:pStyle w:val="TableNote"/>
            </w:pPr>
            <w:r>
              <w:t>the text continues with (Old Cham) prose in lines 8 to 14</w:t>
            </w:r>
          </w:p>
          <w:p w14:paraId="3A0E0E8C" w14:textId="77777777">
            <w:pPr>
              <w:pStyle w:val="TableNote"/>
            </w:pPr>
            <w:r>
              <w:t>the omitted hemistich has been added at the bottom, as lines 15 and 16, but it is encoded at its logical place</w:t>
            </w:r>
          </w:p>
          <w:p w14:paraId="4850F1BE" w14:textId="77777777">
            <w:pPr>
              <w:pStyle w:val="TableNote"/>
              <w:rPr>
                <w:rStyle w:val="Code"/>
                <w:rFonts w:ascii="Calibri" w:hAnsi="Calibri" w:cs="Arial Unicode MS"/>
                <w:noProof w:val="0"/>
                <w:color w:val="auto"/>
                <w:shd w:val="clear" w:color="auto" w:fill="auto"/>
              </w:rPr>
            </w:pPr>
            <w:r>
              <w:rPr>
                <w:rStyle w:val="Code"/>
                <w:rFonts w:ascii="Calibri" w:hAnsi="Calibri" w:cs="Arial Unicode MS"/>
                <w:noProof w:val="0"/>
                <w:color w:val="auto"/>
                <w:shd w:val="clear" w:color="auto" w:fill="auto"/>
              </w:rPr>
              <w:t xml:space="preserve">the tags for lines 15 and 16 are placed within the tags for </w:t>
            </w:r>
            <w:r>
              <w:t>addition</w:t>
            </w:r>
          </w:p>
        </w:tc>
      </w:tr>
    </w:tbl>
    <w:p w14:paraId="02AC1C29" w14:textId="77777777">
      <w:pPr>
        <w:pStyle w:val="Lista"/>
      </w:pPr>
      <w:bookmarkStart w:id="97" w:name="_wdva3plgupk6" w:colFirst="0" w:colLast="0"/>
      <w:bookmarkEnd w:id="97"/>
      <w:r>
        <w:t xml:space="preserve">alternatively, encode the items in their </w:t>
      </w:r>
      <w:r>
        <w:rPr>
          <w:b/>
          <w:bCs/>
        </w:rPr>
        <w:t>physical sequence, as split containers</w:t>
      </w:r>
    </w:p>
    <w:p w14:paraId="1FC104AC" w14:textId="77777777">
      <w:pPr>
        <w:pStyle w:val="Lista2"/>
      </w:pPr>
      <w:r>
        <w:t>this interpretation is preferable</w:t>
      </w:r>
    </w:p>
    <w:p w14:paraId="4ADD01AB" w14:textId="77777777">
      <w:pPr>
        <w:pStyle w:val="Lista3"/>
      </w:pPr>
      <w:r>
        <w:t>if the intended logical sequence of parts cannot be confidently established (as in a seriously garbled text with several large chunks out of sequence)</w:t>
      </w:r>
    </w:p>
    <w:p w14:paraId="1B95DD08" w14:textId="77777777">
      <w:pPr>
        <w:pStyle w:val="Lista3"/>
      </w:pPr>
      <w:r>
        <w:t>if the misplaced part of a unit is fully integrated into the physical sequence of the text at another place (written as part of the regular lines within the regular field, without scribal marks to indicate correction)</w:t>
      </w:r>
    </w:p>
    <w:p w14:paraId="5F4D4290" w14:textId="000121D0">
      <w:pPr>
        <w:pStyle w:val="Lista3"/>
      </w:pPr>
      <w:r>
        <w:t>if a verse contains extrametrical additions (for which see also §</w:t>
      </w:r>
      <w:r>
        <w:fldChar w:fldCharType="begin"/>
      </w:r>
      <w:r>
        <w:instrText xml:space="preserve"> REF _Ref232089040 \r \h </w:instrText>
      </w:r>
      <w:r>
        <w:fldChar w:fldCharType="separate"/>
      </w:r>
      <w:r>
        <w:t>3.2.3.3</w:t>
      </w:r>
      <w:r>
        <w:fldChar w:fldCharType="end"/>
      </w:r>
      <w:r>
        <w:t xml:space="preserve">), such as </w:t>
      </w:r>
      <w:r>
        <w:rPr>
          <w:rStyle w:val="Foreign"/>
        </w:rPr>
        <w:t>śrī</w:t>
      </w:r>
      <w:r>
        <w:t xml:space="preserve"> tagged on to names, so that the prosody is correct without these additions and incorrect with them</w:t>
      </w:r>
    </w:p>
    <w:p w14:paraId="31FF732B" w14:textId="2B43765F">
      <w:pPr>
        <w:pStyle w:val="Lista2"/>
      </w:pPr>
      <w:r>
        <w:t xml:space="preserve">in such a case, proceed as in </w:t>
      </w:r>
      <w:r>
        <w:fldChar w:fldCharType="begin"/>
      </w:r>
      <w:r>
        <w:instrText xml:space="preserve"> REF _Ref181707534 \h </w:instrText>
      </w:r>
      <w:r>
        <w:fldChar w:fldCharType="separate"/>
      </w:r>
      <w:r>
        <w:t xml:space="preserve">Exhibit </w:t>
      </w:r>
      <w:r>
        <w:rPr>
          <w:noProof/>
        </w:rPr>
        <w:t>3.2</w:t>
      </w:r>
      <w:r>
        <w:t>.</w:t>
      </w:r>
      <w:r>
        <w:rPr>
          <w:noProof/>
        </w:rPr>
        <w:t>E</w:t>
      </w:r>
      <w:r>
        <w:fldChar w:fldCharType="end"/>
      </w:r>
      <w:r>
        <w:t>, namely:</w:t>
      </w:r>
    </w:p>
    <w:p w14:paraId="2FF1FED5" w14:textId="77777777">
      <w:pPr>
        <w:pStyle w:val="Lista3"/>
        <w:jc w:val="both"/>
      </w:pPr>
      <w:r>
        <w:t xml:space="preserve">include all text at its </w:t>
      </w:r>
      <w:r>
        <w:rPr>
          <w:i/>
          <w:iCs/>
        </w:rPr>
        <w:t>physical</w:t>
      </w:r>
      <w:r>
        <w:t xml:space="preserve"> place, creating prose and/or verse containers as applicable</w:t>
      </w:r>
    </w:p>
    <w:p w14:paraId="71C9EC6B" w14:textId="77777777">
      <w:pPr>
        <w:pStyle w:val="Lista3"/>
        <w:jc w:val="both"/>
      </w:pPr>
      <w:r>
        <w:t xml:space="preserve">add </w:t>
      </w:r>
      <w:r>
        <w:rPr>
          <w:rStyle w:val="Codeattribute"/>
        </w:rPr>
        <w:t>@part</w:t>
      </w:r>
      <w:r>
        <w:t>, with values as applicable, to all incomplete containers</w:t>
      </w:r>
    </w:p>
    <w:p w14:paraId="6A7FCA2B" w14:textId="77777777">
      <w:pPr>
        <w:pStyle w:val="Lista3"/>
      </w:pPr>
      <w:r>
        <w:t>if a stanza is split at a line boundary,</w:t>
      </w:r>
    </w:p>
    <w:p w14:paraId="437BB2DB" w14:textId="77777777">
      <w:pPr>
        <w:pStyle w:val="Lista4"/>
      </w:pPr>
      <w:r>
        <w:t>use the same number (</w:t>
      </w:r>
      <w:r>
        <w:rPr>
          <w:rStyle w:val="Codeattribute"/>
        </w:rPr>
        <w:t>@n</w:t>
      </w:r>
      <w:r>
        <w:t xml:space="preserve">) for both (or all) incomplete </w:t>
      </w:r>
      <w:r>
        <w:rPr>
          <w:rStyle w:val="Code"/>
        </w:rPr>
        <w:t>&lt;lg&gt;</w:t>
      </w:r>
      <w:r>
        <w:t xml:space="preserve"> elements and number the lines consecutively in them</w:t>
      </w:r>
    </w:p>
    <w:p w14:paraId="7B895039" w14:textId="77777777">
      <w:pPr>
        <w:pStyle w:val="Lista3"/>
      </w:pPr>
      <w:r>
        <w:t>if a stanza is split within a verse line,</w:t>
      </w:r>
    </w:p>
    <w:p w14:paraId="5DD7A4A6" w14:textId="77777777">
      <w:pPr>
        <w:pStyle w:val="Lista4"/>
      </w:pPr>
      <w:r>
        <w:t xml:space="preserve">add </w:t>
      </w:r>
      <w:r>
        <w:rPr>
          <w:rStyle w:val="Codeattribute"/>
        </w:rPr>
        <w:t>@part</w:t>
      </w:r>
      <w:r>
        <w:t xml:space="preserve"> to the incomplete </w:t>
      </w:r>
      <w:r>
        <w:rPr>
          <w:rStyle w:val="Code"/>
        </w:rPr>
        <w:t>&lt;l&gt;</w:t>
      </w:r>
      <w:r>
        <w:t xml:space="preserve"> elements as well as to the </w:t>
      </w:r>
      <w:r>
        <w:rPr>
          <w:rStyle w:val="Code"/>
        </w:rPr>
        <w:t>&lt;lg&gt;</w:t>
      </w:r>
      <w:r>
        <w:t xml:space="preserve"> elements</w:t>
      </w:r>
    </w:p>
    <w:p w14:paraId="34D45D94" w14:textId="77777777">
      <w:pPr>
        <w:pStyle w:val="Lista4"/>
      </w:pPr>
      <w:r>
        <w:t>use the same number (</w:t>
      </w:r>
      <w:r>
        <w:rPr>
          <w:rStyle w:val="Codeattribute"/>
        </w:rPr>
        <w:t>@n</w:t>
      </w:r>
      <w:r>
        <w:t xml:space="preserve">) for both (or all) incomplete </w:t>
      </w:r>
      <w:r>
        <w:rPr>
          <w:rStyle w:val="Code"/>
        </w:rPr>
        <w:t>&lt;l&gt;</w:t>
      </w:r>
      <w:r>
        <w:t xml:space="preserve"> elements</w:t>
      </w:r>
    </w:p>
    <w:p w14:paraId="5216D879" w14:textId="77777777">
      <w:pPr>
        <w:pStyle w:val="Lista2"/>
      </w:pPr>
      <w:r>
        <w:t>discuss the logical sequence in your annotation</w:t>
      </w:r>
    </w:p>
    <w:tbl>
      <w:tblPr>
        <w:tblStyle w:val="CodeSampleTable"/>
        <w:tblW w:w="5000" w:type="pct"/>
        <w:tblLook w:val="04A0" w:firstRow="1" w:lastRow="0" w:firstColumn="1" w:lastColumn="0" w:noHBand="0" w:noVBand="1"/>
      </w:tblPr>
      <w:tblGrid>
        <w:gridCol w:w="9628"/>
      </w:tblGrid>
      <w:tr w14:paraId="07473419"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17B6E67" w14:textId="65CE586B">
            <w:pPr>
              <w:pStyle w:val="Kpalrs"/>
            </w:pPr>
            <w:bookmarkStart w:id="98" w:name="_Ref181707534"/>
            <w:r>
              <w:lastRenderedPageBreak/>
              <w:t xml:space="preserve">Exhibit </w:t>
            </w:r>
            <w:fldSimple w:instr=" STYLEREF 2 \s ">
              <w:r>
                <w:rPr>
                  <w:noProof/>
                </w:rPr>
                <w:t>3.2</w:t>
              </w:r>
            </w:fldSimple>
            <w:r>
              <w:t>.</w:t>
            </w:r>
            <w:fldSimple w:instr=" SEQ Exhibit \* ALPHABETIC \s 2 ">
              <w:r>
                <w:rPr>
                  <w:noProof/>
                </w:rPr>
                <w:t>E</w:t>
              </w:r>
            </w:fldSimple>
            <w:bookmarkEnd w:id="98"/>
            <w:r>
              <w:t>: stanza interrupted by prose</w:t>
            </w:r>
          </w:p>
        </w:tc>
      </w:tr>
      <w:tr w14:paraId="29B01821" w14:textId="77777777">
        <w:tc>
          <w:tcPr>
            <w:tcW w:w="5000" w:type="pct"/>
          </w:tcPr>
          <w:p w14:paraId="51A64BEB" w14:textId="77777777">
            <w:pPr>
              <w:pStyle w:val="CodeParagraph"/>
              <w:keepNext/>
              <w:rPr>
                <w:rStyle w:val="Code"/>
              </w:rPr>
            </w:pPr>
            <w:r>
              <w:rPr>
                <w:rStyle w:val="Code"/>
              </w:rPr>
              <w:t xml:space="preserve">&lt;lg </w:t>
            </w:r>
            <w:r>
              <w:rPr>
                <w:rStyle w:val="Codeattribute"/>
              </w:rPr>
              <w:t>n</w:t>
            </w:r>
            <w:r>
              <w:rPr>
                <w:rStyle w:val="Codetext"/>
              </w:rPr>
              <w:t>=</w:t>
            </w:r>
            <w:r>
              <w:rPr>
                <w:rStyle w:val="Codevalue"/>
              </w:rPr>
              <w:t>"1"</w:t>
            </w:r>
            <w:r>
              <w:rPr>
                <w:rStyle w:val="Code"/>
              </w:rPr>
              <w:t xml:space="preserve"> </w:t>
            </w:r>
            <w:r>
              <w:rPr>
                <w:rStyle w:val="Codeattribute"/>
              </w:rPr>
              <w:t>part</w:t>
            </w:r>
            <w:r>
              <w:rPr>
                <w:rStyle w:val="Codetext"/>
              </w:rPr>
              <w:t>=</w:t>
            </w:r>
            <w:r>
              <w:rPr>
                <w:rStyle w:val="Codevalue"/>
              </w:rPr>
              <w:t>"I"</w:t>
            </w:r>
            <w:r>
              <w:rPr>
                <w:rStyle w:val="Code"/>
              </w:rPr>
              <w:t xml:space="preserve"> </w:t>
            </w:r>
            <w:r>
              <w:rPr>
                <w:rStyle w:val="Codeattribute"/>
              </w:rPr>
              <w:t>met</w:t>
            </w:r>
            <w:r>
              <w:rPr>
                <w:rStyle w:val="Codetext"/>
              </w:rPr>
              <w:t>=</w:t>
            </w:r>
            <w:r>
              <w:rPr>
                <w:rStyle w:val="Codevalue"/>
              </w:rPr>
              <w:t>"anuṣṭubh"</w:t>
            </w:r>
            <w:r>
              <w:rPr>
                <w:rStyle w:val="Code"/>
              </w:rPr>
              <w:t>&gt;</w:t>
            </w:r>
          </w:p>
          <w:p w14:paraId="73BB4FFC" w14:textId="77777777">
            <w:pPr>
              <w:pStyle w:val="CodeParagraph"/>
              <w:keepNext/>
              <w:rPr>
                <w:rStyle w:val="Code"/>
              </w:rPr>
            </w:pPr>
            <w:r>
              <w:rPr>
                <w:rStyle w:val="Code"/>
              </w:rPr>
              <w:t xml:space="preserve">  &lt;l </w:t>
            </w:r>
            <w:r>
              <w:rPr>
                <w:rStyle w:val="Codeattribute"/>
              </w:rPr>
              <w:t>n</w:t>
            </w:r>
            <w:r>
              <w:rPr>
                <w:rStyle w:val="Codetext"/>
              </w:rPr>
              <w:t>=</w:t>
            </w:r>
            <w:r>
              <w:rPr>
                <w:rStyle w:val="Codevalue"/>
              </w:rPr>
              <w:t>"a"</w:t>
            </w:r>
            <w:r>
              <w:rPr>
                <w:rStyle w:val="Code"/>
              </w:rPr>
              <w:t xml:space="preserve">&gt;&lt;lb </w:t>
            </w:r>
            <w:r>
              <w:rPr>
                <w:rStyle w:val="Codeattribute"/>
              </w:rPr>
              <w:t>n</w:t>
            </w:r>
            <w:r>
              <w:rPr>
                <w:rStyle w:val="Codetext"/>
              </w:rPr>
              <w:t>=</w:t>
            </w:r>
            <w:r>
              <w:rPr>
                <w:rStyle w:val="Codevalue"/>
              </w:rPr>
              <w:t>"12"</w:t>
            </w:r>
            <w:r>
              <w:rPr>
                <w:rStyle w:val="Code"/>
              </w:rPr>
              <w:t>/&gt;</w:t>
            </w:r>
            <w:r>
              <w:rPr>
                <w:rStyle w:val="Codetext"/>
              </w:rPr>
              <w:t>sva-dattāṁ para-dattām vā</w:t>
            </w:r>
            <w:r>
              <w:rPr>
                <w:rStyle w:val="Code"/>
              </w:rPr>
              <w:t>&lt;/l&gt;</w:t>
            </w:r>
          </w:p>
          <w:p w14:paraId="73F859AD" w14:textId="77777777">
            <w:pPr>
              <w:pStyle w:val="CodeParagraph"/>
              <w:keepNext/>
              <w:rPr>
                <w:rStyle w:val="Code"/>
              </w:rPr>
            </w:pPr>
            <w:r>
              <w:rPr>
                <w:rStyle w:val="Code"/>
              </w:rPr>
              <w:t xml:space="preserve">  &lt;l </w:t>
            </w:r>
            <w:r>
              <w:rPr>
                <w:rStyle w:val="Codeattribute"/>
              </w:rPr>
              <w:t>n</w:t>
            </w:r>
            <w:r>
              <w:rPr>
                <w:rStyle w:val="Codetext"/>
              </w:rPr>
              <w:t>=</w:t>
            </w:r>
            <w:r>
              <w:rPr>
                <w:rStyle w:val="Codevalue"/>
              </w:rPr>
              <w:t>"b"</w:t>
            </w:r>
            <w:r>
              <w:rPr>
                <w:rStyle w:val="Code"/>
              </w:rPr>
              <w:t>&gt;</w:t>
            </w:r>
            <w:r>
              <w:rPr>
                <w:rStyle w:val="Codetext"/>
              </w:rPr>
              <w:t>yo hareta vasundharāṁ</w:t>
            </w:r>
            <w:r>
              <w:rPr>
                <w:rStyle w:val="Code"/>
              </w:rPr>
              <w:t>&lt;/l&gt;</w:t>
            </w:r>
          </w:p>
          <w:p w14:paraId="199527AE" w14:textId="77777777">
            <w:pPr>
              <w:pStyle w:val="CodeParagraph"/>
              <w:keepNext/>
              <w:rPr>
                <w:rStyle w:val="Code"/>
              </w:rPr>
            </w:pPr>
            <w:r>
              <w:rPr>
                <w:rStyle w:val="Code"/>
              </w:rPr>
              <w:t>&lt;/lg&gt;</w:t>
            </w:r>
          </w:p>
          <w:p w14:paraId="0A1FEBFF" w14:textId="77777777">
            <w:pPr>
              <w:pStyle w:val="CodeParagraph"/>
              <w:keepNext/>
              <w:rPr>
                <w:rStyle w:val="Code"/>
              </w:rPr>
            </w:pPr>
            <w:r>
              <w:rPr>
                <w:rStyle w:val="Code"/>
              </w:rPr>
              <w:t>&lt;p&gt;</w:t>
            </w:r>
            <w:r>
              <w:rPr>
                <w:rStyle w:val="Codetext"/>
              </w:rPr>
              <w:t>bhūmi-dāna-saṁbaddhāḥ ślokā bhavanti</w:t>
            </w:r>
            <w:r>
              <w:rPr>
                <w:rStyle w:val="Code"/>
              </w:rPr>
              <w:t>&lt;/p&gt;</w:t>
            </w:r>
          </w:p>
          <w:p w14:paraId="05AD4871" w14:textId="77777777">
            <w:pPr>
              <w:pStyle w:val="CodeParagraph"/>
              <w:keepNext/>
              <w:rPr>
                <w:rStyle w:val="Code"/>
              </w:rPr>
            </w:pPr>
            <w:r>
              <w:rPr>
                <w:rStyle w:val="Code"/>
              </w:rPr>
              <w:t xml:space="preserve">&lt;lg </w:t>
            </w:r>
            <w:r>
              <w:rPr>
                <w:rStyle w:val="Codeattribute"/>
              </w:rPr>
              <w:t>n</w:t>
            </w:r>
            <w:r>
              <w:rPr>
                <w:rStyle w:val="Codetext"/>
              </w:rPr>
              <w:t>=</w:t>
            </w:r>
            <w:r>
              <w:rPr>
                <w:rStyle w:val="Codevalue"/>
              </w:rPr>
              <w:t>"1"</w:t>
            </w:r>
            <w:r>
              <w:rPr>
                <w:rStyle w:val="Code"/>
              </w:rPr>
              <w:t xml:space="preserve"> </w:t>
            </w:r>
            <w:r>
              <w:rPr>
                <w:rStyle w:val="Codeattribute"/>
              </w:rPr>
              <w:t>part</w:t>
            </w:r>
            <w:r>
              <w:rPr>
                <w:rStyle w:val="Codetext"/>
              </w:rPr>
              <w:t>=</w:t>
            </w:r>
            <w:r>
              <w:rPr>
                <w:rStyle w:val="Codevalue"/>
              </w:rPr>
              <w:t>"F"</w:t>
            </w:r>
            <w:r>
              <w:rPr>
                <w:rStyle w:val="Code"/>
              </w:rPr>
              <w:t xml:space="preserve"> </w:t>
            </w:r>
            <w:r>
              <w:rPr>
                <w:rStyle w:val="Codeattribute"/>
              </w:rPr>
              <w:t>met</w:t>
            </w:r>
            <w:r>
              <w:rPr>
                <w:rStyle w:val="Codetext"/>
              </w:rPr>
              <w:t>=</w:t>
            </w:r>
            <w:r>
              <w:rPr>
                <w:rStyle w:val="Codevalue"/>
              </w:rPr>
              <w:t>"anuṣṭubh"</w:t>
            </w:r>
            <w:r>
              <w:rPr>
                <w:rStyle w:val="Code"/>
              </w:rPr>
              <w:t>&gt;</w:t>
            </w:r>
          </w:p>
          <w:p w14:paraId="63C0D05E" w14:textId="77777777">
            <w:pPr>
              <w:pStyle w:val="CodeParagraph"/>
              <w:keepNext/>
              <w:rPr>
                <w:rStyle w:val="Code"/>
              </w:rPr>
            </w:pPr>
            <w:r>
              <w:rPr>
                <w:rStyle w:val="Code"/>
              </w:rPr>
              <w:t xml:space="preserve">  &lt;l </w:t>
            </w:r>
            <w:r>
              <w:rPr>
                <w:rStyle w:val="Codeattribute"/>
              </w:rPr>
              <w:t>n</w:t>
            </w:r>
            <w:r>
              <w:rPr>
                <w:rStyle w:val="Codetext"/>
              </w:rPr>
              <w:t>=</w:t>
            </w:r>
            <w:r>
              <w:rPr>
                <w:rStyle w:val="Codevalue"/>
              </w:rPr>
              <w:t>"c"</w:t>
            </w:r>
            <w:r>
              <w:rPr>
                <w:rStyle w:val="Code"/>
              </w:rPr>
              <w:t xml:space="preserve">&gt;&lt;lb </w:t>
            </w:r>
            <w:r>
              <w:rPr>
                <w:rStyle w:val="Codeattribute"/>
              </w:rPr>
              <w:t>n</w:t>
            </w:r>
            <w:r>
              <w:rPr>
                <w:rStyle w:val="Codetext"/>
              </w:rPr>
              <w:t>=</w:t>
            </w:r>
            <w:r>
              <w:rPr>
                <w:rStyle w:val="Codevalue"/>
              </w:rPr>
              <w:t>"13"</w:t>
            </w:r>
            <w:r>
              <w:rPr>
                <w:rStyle w:val="Code"/>
              </w:rPr>
              <w:t>/&gt;</w:t>
            </w:r>
            <w:r>
              <w:rPr>
                <w:rStyle w:val="Codetext"/>
              </w:rPr>
              <w:t>sa viṣṭhāyāṁ kr̥mir bhūtvā</w:t>
            </w:r>
            <w:r>
              <w:rPr>
                <w:rStyle w:val="Code"/>
              </w:rPr>
              <w:t>&lt;/l&gt;</w:t>
            </w:r>
          </w:p>
          <w:p w14:paraId="7706A4A0" w14:textId="77777777">
            <w:pPr>
              <w:pStyle w:val="CodeParagraph"/>
              <w:keepNext/>
              <w:rPr>
                <w:rStyle w:val="Code"/>
              </w:rPr>
            </w:pPr>
            <w:r>
              <w:rPr>
                <w:rStyle w:val="Code"/>
              </w:rPr>
              <w:t xml:space="preserve">  &lt;l </w:t>
            </w:r>
            <w:r>
              <w:rPr>
                <w:rStyle w:val="Codeattribute"/>
              </w:rPr>
              <w:t>n</w:t>
            </w:r>
            <w:r>
              <w:rPr>
                <w:rStyle w:val="Codetext"/>
              </w:rPr>
              <w:t>=</w:t>
            </w:r>
            <w:r>
              <w:rPr>
                <w:rStyle w:val="Codevalue"/>
              </w:rPr>
              <w:t>"d"</w:t>
            </w:r>
            <w:r>
              <w:rPr>
                <w:rStyle w:val="Code"/>
              </w:rPr>
              <w:t>&gt;</w:t>
            </w:r>
            <w:r>
              <w:rPr>
                <w:rStyle w:val="Codetext"/>
              </w:rPr>
              <w:t>pitr̥bhiḥ saha pacyate</w:t>
            </w:r>
            <w:r>
              <w:rPr>
                <w:rStyle w:val="Code"/>
              </w:rPr>
              <w:t>&lt;/l&gt;</w:t>
            </w:r>
          </w:p>
          <w:p w14:paraId="54E67F57" w14:textId="77777777">
            <w:pPr>
              <w:pStyle w:val="CodeParagraph"/>
              <w:keepNext/>
            </w:pPr>
            <w:r>
              <w:rPr>
                <w:rStyle w:val="Code"/>
              </w:rPr>
              <w:t>&lt;/lg&gt;</w:t>
            </w:r>
          </w:p>
        </w:tc>
      </w:tr>
      <w:tr w14:paraId="4BCF5277" w14:textId="77777777">
        <w:tc>
          <w:tcPr>
            <w:tcW w:w="5000" w:type="pct"/>
          </w:tcPr>
          <w:p w14:paraId="639A7690" w14:textId="77777777">
            <w:pPr>
              <w:pStyle w:val="TableNote"/>
              <w:rPr>
                <w:rFonts w:ascii="Arial" w:hAnsi="Arial" w:cs="Arial"/>
                <w:sz w:val="18"/>
                <w:szCs w:val="18"/>
              </w:rPr>
            </w:pPr>
            <w:r>
              <w:t>the first half of stanza 1 is inscribed in line 12</w:t>
            </w:r>
          </w:p>
          <w:p w14:paraId="37C36494" w14:textId="77777777">
            <w:pPr>
              <w:pStyle w:val="TableNote"/>
            </w:pPr>
            <w:r>
              <w:t>at this point the engraver apparently realised that he had forgotten to engrave the prose introducing the admonitory stanzas and engraved that right after the first hemistich</w:t>
            </w:r>
          </w:p>
          <w:p w14:paraId="5DF65BAE" w14:textId="77777777">
            <w:pPr>
              <w:pStyle w:val="TableNote"/>
              <w:rPr>
                <w:rFonts w:ascii="Arial" w:hAnsi="Arial" w:cs="Arial"/>
                <w:sz w:val="18"/>
                <w:szCs w:val="18"/>
              </w:rPr>
            </w:pPr>
            <w:r>
              <w:t>then, at the beginning of line 13, he continued with the rest of the stanza</w:t>
            </w:r>
          </w:p>
          <w:p w14:paraId="4F27FADA" w14:textId="77777777">
            <w:pPr>
              <w:pStyle w:val="TableNote"/>
            </w:pPr>
            <w:r>
              <w:t>since the out-of-sequence part is integrated into the physical sequence of the text without any indication that this is a correction, the text was encoded with a split container</w:t>
            </w:r>
          </w:p>
        </w:tc>
      </w:tr>
    </w:tbl>
    <w:p w14:paraId="6B9B6DD4" w14:textId="77777777">
      <w:pPr>
        <w:pStyle w:val="Cmsor4"/>
      </w:pPr>
      <w:bookmarkStart w:id="99" w:name="_Ref232089040"/>
      <w:bookmarkStart w:id="100" w:name="_Ref225324784"/>
      <w:r>
        <w:t>Extrametrical additions to verse</w:t>
      </w:r>
      <w:bookmarkEnd w:id="99"/>
    </w:p>
    <w:p w14:paraId="44D14C9C" w14:textId="77777777">
      <w:r>
        <w:t xml:space="preserve">Stanzas occasionally come with extrametrical additions, such as an introductory connective phrase (e.g. </w:t>
      </w:r>
      <w:r>
        <w:rPr>
          <w:rStyle w:val="Foreign"/>
        </w:rPr>
        <w:t>api ca</w:t>
      </w:r>
      <w:r>
        <w:t xml:space="preserve">), an opening label denoting a verse passage (e.g. </w:t>
      </w:r>
      <w:r>
        <w:rPr>
          <w:rStyle w:val="Foreign"/>
        </w:rPr>
        <w:t>ślokāḥ</w:t>
      </w:r>
      <w:r>
        <w:t xml:space="preserve">), an honorific (e.g. </w:t>
      </w:r>
      <w:r>
        <w:rPr>
          <w:rStyle w:val="Foreign"/>
        </w:rPr>
        <w:t>śrī</w:t>
      </w:r>
      <w:r>
        <w:t xml:space="preserve">) tagged on to names, or a closing </w:t>
      </w:r>
      <w:r>
        <w:rPr>
          <w:rStyle w:val="Foreign"/>
        </w:rPr>
        <w:t>iti</w:t>
      </w:r>
      <w:r>
        <w:t xml:space="preserve"> added at the end. Such supplementary pieces of text must be encoded outside the stanza structure, thus:</w:t>
      </w:r>
    </w:p>
    <w:p w14:paraId="2C74DA69" w14:textId="77777777">
      <w:pPr>
        <w:pStyle w:val="Lista"/>
      </w:pPr>
      <w:r>
        <w:t>if the extrametrical addition is at the beginning or end of a stanza and can be conceived of as belonging to the previous or next container (i.e. when the adjacent container is prose and the addition is semantically contiguous with its content), then simply treat the addition as part of the adjacent container</w:t>
      </w:r>
    </w:p>
    <w:p w14:paraId="19EBAA8A" w14:textId="79E82AE7">
      <w:pPr>
        <w:pStyle w:val="Lista"/>
      </w:pPr>
      <w:r>
        <w:t xml:space="preserve">if the extrametrical addition is at the beginning or end of a stanza but cannot be conceived of as belonging to the previous or next container (i.e. when the adjacent container is verse or the addition is semantically separate from its content), then create a separate </w:t>
      </w:r>
      <w:r>
        <w:rPr>
          <w:rStyle w:val="Code"/>
        </w:rPr>
        <w:t>&lt;ab&gt;</w:t>
      </w:r>
      <w:r>
        <w:t xml:space="preserve"> container (§</w:t>
      </w:r>
      <w:r>
        <w:fldChar w:fldCharType="begin"/>
      </w:r>
      <w:r>
        <w:instrText xml:space="preserve"> REF _Ref43981028 \r \h </w:instrText>
      </w:r>
      <w:r>
        <w:fldChar w:fldCharType="separate"/>
      </w:r>
      <w:r>
        <w:t>3.2.1.2</w:t>
      </w:r>
      <w:r>
        <w:fldChar w:fldCharType="end"/>
      </w:r>
      <w:r>
        <w:t xml:space="preserve">) for the addition as in </w:t>
      </w:r>
      <w:r>
        <w:fldChar w:fldCharType="begin"/>
      </w:r>
      <w:r>
        <w:instrText xml:space="preserve"> REF _Ref137825293 \h </w:instrText>
      </w:r>
      <w:r>
        <w:fldChar w:fldCharType="separate"/>
      </w:r>
      <w:r>
        <w:t xml:space="preserve">Exhibit </w:t>
      </w:r>
      <w:r>
        <w:rPr>
          <w:noProof/>
        </w:rPr>
        <w:t>3.2</w:t>
      </w:r>
      <w:r>
        <w:t>.</w:t>
      </w:r>
      <w:r>
        <w:rPr>
          <w:noProof/>
        </w:rPr>
        <w:t>F</w:t>
      </w:r>
      <w:r>
        <w:fldChar w:fldCharType="end"/>
      </w:r>
    </w:p>
    <w:p w14:paraId="00FA330C" w14:textId="02ADEBF0">
      <w:pPr>
        <w:pStyle w:val="Lista"/>
      </w:pPr>
      <w:r>
        <w:t>if the extrametrical addition is within a stanza, then split up the stanza as per §</w:t>
      </w:r>
      <w:r>
        <w:fldChar w:fldCharType="begin"/>
      </w:r>
      <w:r>
        <w:instrText xml:space="preserve"> REF _Ref228980509 \r \h </w:instrText>
      </w:r>
      <w:r>
        <w:fldChar w:fldCharType="separate"/>
      </w:r>
      <w:r>
        <w:t>3.2.3.1</w:t>
      </w:r>
      <w:r>
        <w:fldChar w:fldCharType="end"/>
      </w:r>
      <w:r>
        <w:t xml:space="preserve"> and create a separate </w:t>
      </w:r>
      <w:r>
        <w:rPr>
          <w:rStyle w:val="Code"/>
        </w:rPr>
        <w:t>&lt;ab&gt;</w:t>
      </w:r>
      <w:r>
        <w:t xml:space="preserve"> container for the addition</w:t>
      </w:r>
    </w:p>
    <w:p w14:paraId="19850EB5" w14:textId="0A4AB9E0">
      <w:pPr>
        <w:pStyle w:val="Lista"/>
      </w:pPr>
      <w:r>
        <w:t>additional instructions for treating vowel fusion sandhi across container boundaries are given in §</w:t>
      </w:r>
      <w:r>
        <w:fldChar w:fldCharType="begin"/>
      </w:r>
      <w:r>
        <w:instrText xml:space="preserve"> REF _Ref225324953 \r \h </w:instrText>
      </w:r>
      <w:r>
        <w:fldChar w:fldCharType="separate"/>
      </w:r>
      <w:r>
        <w:t>3.2.4.4</w:t>
      </w:r>
      <w:r>
        <w:fldChar w:fldCharType="end"/>
      </w:r>
    </w:p>
    <w:tbl>
      <w:tblPr>
        <w:tblStyle w:val="CodeSampleTable"/>
        <w:tblW w:w="5000" w:type="pct"/>
        <w:tblLook w:val="04A0" w:firstRow="1" w:lastRow="0" w:firstColumn="1" w:lastColumn="0" w:noHBand="0" w:noVBand="1"/>
      </w:tblPr>
      <w:tblGrid>
        <w:gridCol w:w="9628"/>
      </w:tblGrid>
      <w:tr w14:paraId="4985AF38"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7DE62EC" w14:textId="0A069C3E">
            <w:pPr>
              <w:pStyle w:val="Kpalrs"/>
            </w:pPr>
            <w:bookmarkStart w:id="101" w:name="_Ref137825293"/>
            <w:bookmarkStart w:id="102" w:name="_Ref137825286"/>
            <w:r>
              <w:t xml:space="preserve">Exhibit </w:t>
            </w:r>
            <w:fldSimple w:instr=" STYLEREF 2 \s ">
              <w:r>
                <w:rPr>
                  <w:noProof/>
                </w:rPr>
                <w:t>3.2</w:t>
              </w:r>
            </w:fldSimple>
            <w:r>
              <w:t>.</w:t>
            </w:r>
            <w:fldSimple w:instr=" SEQ Exhibit \* ALPHABETIC \s 2 ">
              <w:r>
                <w:rPr>
                  <w:noProof/>
                </w:rPr>
                <w:t>F</w:t>
              </w:r>
            </w:fldSimple>
            <w:bookmarkEnd w:id="101"/>
            <w:r>
              <w:t>: stanza with initial extrametrical addition</w:t>
            </w:r>
            <w:bookmarkEnd w:id="102"/>
          </w:p>
        </w:tc>
      </w:tr>
      <w:tr w14:paraId="25905D1A" w14:textId="77777777">
        <w:tc>
          <w:tcPr>
            <w:tcW w:w="5000" w:type="pct"/>
          </w:tcPr>
          <w:p w14:paraId="289FD15F" w14:textId="77777777">
            <w:pPr>
              <w:pStyle w:val="CodeParagraph"/>
              <w:rPr>
                <w:rStyle w:val="Code"/>
              </w:rPr>
            </w:pPr>
            <w:r>
              <w:rPr>
                <w:rStyle w:val="Code"/>
              </w:rPr>
              <w:t xml:space="preserve">&lt;ab&gt;&lt;lb </w:t>
            </w:r>
            <w:r>
              <w:rPr>
                <w:rStyle w:val="Codeattribute"/>
              </w:rPr>
              <w:t>n</w:t>
            </w:r>
            <w:r>
              <w:rPr>
                <w:rStyle w:val="Code"/>
              </w:rPr>
              <w:t>=</w:t>
            </w:r>
            <w:r>
              <w:rPr>
                <w:rStyle w:val="Codevalue"/>
              </w:rPr>
              <w:t>"2"</w:t>
            </w:r>
            <w:r>
              <w:rPr>
                <w:rStyle w:val="Code"/>
              </w:rPr>
              <w:t>/&gt;</w:t>
            </w:r>
            <w:r>
              <w:rPr>
                <w:rStyle w:val="Codetext"/>
              </w:rPr>
              <w:t>śrī</w:t>
            </w:r>
            <w:r>
              <w:rPr>
                <w:rStyle w:val="Code"/>
              </w:rPr>
              <w:t>&lt;/ab&gt;</w:t>
            </w:r>
          </w:p>
          <w:p w14:paraId="162FF963" w14:textId="77777777">
            <w:pPr>
              <w:pStyle w:val="CodeParagraph"/>
              <w:rPr>
                <w:rStyle w:val="Code"/>
              </w:rPr>
            </w:pPr>
            <w:r>
              <w:rPr>
                <w:rStyle w:val="Code"/>
              </w:rPr>
              <w:t xml:space="preserve">&lt;lg </w:t>
            </w:r>
            <w:r>
              <w:rPr>
                <w:rStyle w:val="Codeattribute"/>
              </w:rPr>
              <w:t>n</w:t>
            </w:r>
            <w:r>
              <w:rPr>
                <w:rStyle w:val="Code"/>
              </w:rPr>
              <w:t>=</w:t>
            </w:r>
            <w:r>
              <w:rPr>
                <w:rStyle w:val="Codevalue"/>
              </w:rPr>
              <w:t>"2"</w:t>
            </w:r>
            <w:r>
              <w:rPr>
                <w:rStyle w:val="Code"/>
              </w:rPr>
              <w:t xml:space="preserve"> </w:t>
            </w:r>
            <w:r>
              <w:rPr>
                <w:rStyle w:val="Codeattribute"/>
              </w:rPr>
              <w:t>met</w:t>
            </w:r>
            <w:r>
              <w:rPr>
                <w:rStyle w:val="Code"/>
              </w:rPr>
              <w:t>=</w:t>
            </w:r>
            <w:r>
              <w:rPr>
                <w:rStyle w:val="Codevalue"/>
              </w:rPr>
              <w:t>"anuṣṭubh"</w:t>
            </w:r>
            <w:r>
              <w:rPr>
                <w:rStyle w:val="Code"/>
              </w:rPr>
              <w:t>&gt;</w:t>
            </w:r>
          </w:p>
          <w:p w14:paraId="497F1691" w14:textId="77777777">
            <w:pPr>
              <w:pStyle w:val="CodeParagraph"/>
              <w:rPr>
                <w:rStyle w:val="Code"/>
              </w:rPr>
            </w:pPr>
            <w:r>
              <w:rPr>
                <w:rStyle w:val="Code"/>
              </w:rPr>
              <w:t xml:space="preserve">  &lt;l </w:t>
            </w:r>
            <w:r>
              <w:rPr>
                <w:rStyle w:val="Codeattribute"/>
              </w:rPr>
              <w:t>n</w:t>
            </w:r>
            <w:r>
              <w:rPr>
                <w:rStyle w:val="Code"/>
              </w:rPr>
              <w:t>=</w:t>
            </w:r>
            <w:r>
              <w:rPr>
                <w:rStyle w:val="Codevalue"/>
              </w:rPr>
              <w:t>"a"</w:t>
            </w:r>
            <w:r>
              <w:rPr>
                <w:rStyle w:val="Code"/>
              </w:rPr>
              <w:t>&gt;</w:t>
            </w:r>
            <w:r>
              <w:rPr>
                <w:rStyle w:val="Codetext"/>
              </w:rPr>
              <w:t>prabhāsomeśvaraḥ śrīmān·</w:t>
            </w:r>
            <w:r>
              <w:rPr>
                <w:rStyle w:val="Code"/>
              </w:rPr>
              <w:t>&lt;/l&gt;</w:t>
            </w:r>
          </w:p>
          <w:p w14:paraId="2B919D15" w14:textId="77777777">
            <w:pPr>
              <w:pStyle w:val="CodeParagraph"/>
              <w:rPr>
                <w:rStyle w:val="Codetext"/>
              </w:rPr>
            </w:pPr>
            <w:r>
              <w:rPr>
                <w:rStyle w:val="Codetext"/>
              </w:rPr>
              <w:t xml:space="preserve">  ...</w:t>
            </w:r>
          </w:p>
          <w:p w14:paraId="0C43F165" w14:textId="77777777">
            <w:pPr>
              <w:pStyle w:val="CodeParagraph"/>
            </w:pPr>
            <w:r>
              <w:rPr>
                <w:rStyle w:val="Code"/>
              </w:rPr>
              <w:t>&lt;/lg&gt;</w:t>
            </w:r>
          </w:p>
        </w:tc>
      </w:tr>
      <w:tr w14:paraId="14C46305" w14:textId="77777777">
        <w:tc>
          <w:tcPr>
            <w:tcW w:w="5000" w:type="pct"/>
          </w:tcPr>
          <w:p w14:paraId="2E5064C5" w14:textId="77777777">
            <w:pPr>
              <w:pStyle w:val="TableNote"/>
            </w:pPr>
            <w:r>
              <w:t xml:space="preserve">the composer or the engraver felt the need to add the honorific </w:t>
            </w:r>
            <w:r>
              <w:rPr>
                <w:rStyle w:val="Foreign"/>
              </w:rPr>
              <w:t>śrī</w:t>
            </w:r>
            <w:r>
              <w:t xml:space="preserve"> before the name of the deity, but the stanza’s metre would be disrupted by this addition</w:t>
            </w:r>
          </w:p>
          <w:p w14:paraId="5D36A77E" w14:textId="77777777">
            <w:pPr>
              <w:pStyle w:val="TableNote"/>
              <w:rPr>
                <w:rStyle w:val="Code"/>
                <w:rFonts w:ascii="Arial" w:hAnsi="Arial" w:cs="Arial"/>
                <w:noProof w:val="0"/>
                <w:color w:val="auto"/>
                <w:sz w:val="18"/>
                <w:szCs w:val="18"/>
                <w:shd w:val="clear" w:color="auto" w:fill="auto"/>
              </w:rPr>
            </w:pPr>
            <w:r>
              <w:rPr>
                <w:rStyle w:val="Foreign"/>
              </w:rPr>
              <w:t>śrī</w:t>
            </w:r>
            <w:r>
              <w:t xml:space="preserve"> is therefore encoded in a separate prose container before the stanza</w:t>
            </w:r>
          </w:p>
        </w:tc>
      </w:tr>
    </w:tbl>
    <w:p w14:paraId="4D176CEA" w14:textId="77777777">
      <w:pPr>
        <w:pStyle w:val="Cmsor3"/>
      </w:pPr>
      <w:bookmarkStart w:id="103" w:name="_Toc243922604"/>
      <w:r>
        <w:t xml:space="preserve">Container boundaries interrupting </w:t>
      </w:r>
      <w:bookmarkEnd w:id="100"/>
      <w:r>
        <w:t>the text</w:t>
      </w:r>
      <w:bookmarkEnd w:id="103"/>
    </w:p>
    <w:p w14:paraId="16BA2C65" w14:textId="77777777">
      <w:bookmarkStart w:id="104" w:name="_npo9c26uh9kc" w:colFirst="0" w:colLast="0"/>
      <w:bookmarkStart w:id="105" w:name="_jc4wva15vg6u" w:colFirst="0" w:colLast="0"/>
      <w:bookmarkStart w:id="106" w:name="_5nopgd94ub2w" w:colFirst="0" w:colLast="0"/>
      <w:bookmarkStart w:id="107" w:name="_9vbmy5wityl0" w:colFirst="0" w:colLast="0"/>
      <w:bookmarkEnd w:id="104"/>
      <w:bookmarkEnd w:id="105"/>
      <w:bookmarkEnd w:id="106"/>
      <w:bookmarkEnd w:id="107"/>
      <w:r>
        <w:t>Since the units of intrinsic structure are determined on a largely semantic basis, their boundaries will normally coincide with word boundaries. This section discusses situations where this is not, or not obviously, the case. Such problematic situations are relatively common in verse lines, which are metrically determined and need not be semantically complete. Exceptionally, the boundaries of other kinds of block-level elements can also interact with the segmentation of the text. As a general rule for this situations, block boundaries must always be established at morphological word boundaries or as close to them as feasible. However, in the case of verse, metrical considerations take precedence, so boundaries must first correspond to the applicable prosodic requirements.</w:t>
      </w:r>
    </w:p>
    <w:p w14:paraId="7F45DAEE" w14:textId="77777777">
      <w:pPr>
        <w:pStyle w:val="Cmsor4"/>
      </w:pPr>
      <w:bookmarkStart w:id="108" w:name="_Ref224901083"/>
      <w:bookmarkStart w:id="109" w:name="_Ref225328264"/>
      <w:bookmarkStart w:id="110" w:name="_Ref225326474"/>
      <w:r>
        <w:lastRenderedPageBreak/>
        <w:t>Enjambement</w:t>
      </w:r>
      <w:bookmarkEnd w:id="108"/>
    </w:p>
    <w:p w14:paraId="35ECDE2A" w14:textId="77777777">
      <w:r>
        <w:t xml:space="preserve">The ends of verse lines normally coincide with word boundaries. When they do not (which may be a poetic device, a compositional mistake, or a different interpretation of versification conventions on the part of the composer), we speak of </w:t>
      </w:r>
      <w:r>
        <w:rPr>
          <w:i/>
          <w:iCs/>
        </w:rPr>
        <w:t>enjambement</w:t>
      </w:r>
      <w:r>
        <w:t xml:space="preserve">. TEI represents enjambement by adding the attribute </w:t>
      </w:r>
      <w:r>
        <w:rPr>
          <w:rStyle w:val="Codeattribute"/>
        </w:rPr>
        <w:t>@enjamb=</w:t>
      </w:r>
      <w:r>
        <w:rPr>
          <w:rStyle w:val="Codevalue"/>
        </w:rPr>
        <w:t>"yes"</w:t>
      </w:r>
      <w:r>
        <w:t xml:space="preserve"> to the </w:t>
      </w:r>
      <w:r>
        <w:rPr>
          <w:rStyle w:val="Code"/>
        </w:rPr>
        <w:t>&lt;l&gt;</w:t>
      </w:r>
      <w:r>
        <w:t xml:space="preserve"> element which ends inside a word, i.e. the one containing the initial part of the broken word, not to the one containing the final part.</w:t>
      </w:r>
    </w:p>
    <w:p w14:paraId="5B13B4EB" w14:textId="77777777">
      <w:pPr>
        <w:pStyle w:val="Normlbehzs"/>
      </w:pPr>
      <w:r>
        <w:t>In DHARMA practice, encoding enjambement is mandatory whenever a line boundary does not coincide with a word boundary. Instructions pertaining to the various ways in which line and word boundaries interact are given in the following subsections.</w:t>
      </w:r>
    </w:p>
    <w:p w14:paraId="1E107609" w14:textId="77777777">
      <w:pPr>
        <w:pStyle w:val="Cmsor4"/>
      </w:pPr>
      <w:r>
        <w:t xml:space="preserve">Interrupted </w:t>
      </w:r>
      <w:r>
        <w:rPr>
          <w:rStyle w:val="Foreign"/>
        </w:rPr>
        <w:t>akṣara</w:t>
      </w:r>
      <w:r>
        <w:rPr>
          <w:rStyle w:val="Foreign"/>
          <w:i w:val="0"/>
          <w:iCs w:val="0"/>
        </w:rPr>
        <w:t>s</w:t>
      </w:r>
      <w:bookmarkEnd w:id="109"/>
    </w:p>
    <w:p w14:paraId="788D08DD" w14:textId="77777777">
      <w:r>
        <w:t xml:space="preserve">All of our editions are in Romanised transliteration, which allows us to detach any two adjacent graphemes of the text, even if these graphemes belong to a single </w:t>
      </w:r>
      <w:r>
        <w:rPr>
          <w:rStyle w:val="Foreign"/>
        </w:rPr>
        <w:t>akṣara</w:t>
      </w:r>
      <w:r>
        <w:t xml:space="preserve"> in the source.</w:t>
      </w:r>
      <w:r>
        <w:rPr>
          <w:rStyle w:val="Lbjegyzet-hivatkozs"/>
        </w:rPr>
        <w:footnoteReference w:id="9"/>
      </w:r>
      <w:r>
        <w:t xml:space="preserve"> The boundaries of block-level elements must always be placed at word boundaries unless this is patently impossible, while </w:t>
      </w:r>
      <w:r>
        <w:rPr>
          <w:rStyle w:val="Foreign"/>
        </w:rPr>
        <w:t>akṣara</w:t>
      </w:r>
      <w:r>
        <w:t xml:space="preserve"> boundaries can and must be disregarded when applicable.</w:t>
      </w:r>
    </w:p>
    <w:p w14:paraId="5599FF12" w14:textId="2E73F87C">
      <w:pPr>
        <w:pStyle w:val="Lista"/>
      </w:pPr>
      <w:r>
        <w:t xml:space="preserve">if </w:t>
      </w:r>
      <w:r>
        <w:rPr>
          <w:b/>
          <w:bCs/>
        </w:rPr>
        <w:t>the end of a verse line</w:t>
      </w:r>
      <w:r>
        <w:t xml:space="preserve"> falls at a segmentable point inside an </w:t>
      </w:r>
      <w:r>
        <w:rPr>
          <w:rStyle w:val="Foreign"/>
        </w:rPr>
        <w:t>akṣara</w:t>
      </w:r>
      <w:r>
        <w:t xml:space="preserve">, as in </w:t>
      </w:r>
      <w:r>
        <w:fldChar w:fldCharType="begin"/>
      </w:r>
      <w:r>
        <w:instrText xml:space="preserve"> REF _Ref181626270 \h </w:instrText>
      </w:r>
      <w:r>
        <w:fldChar w:fldCharType="separate"/>
      </w:r>
      <w:r>
        <w:t xml:space="preserve">Exhibit </w:t>
      </w:r>
      <w:r>
        <w:rPr>
          <w:noProof/>
        </w:rPr>
        <w:t>3.2</w:t>
      </w:r>
      <w:r>
        <w:t>.</w:t>
      </w:r>
      <w:r>
        <w:rPr>
          <w:noProof/>
        </w:rPr>
        <w:t>G</w:t>
      </w:r>
      <w:r>
        <w:fldChar w:fldCharType="end"/>
      </w:r>
    </w:p>
    <w:p w14:paraId="0FDB27E3" w14:textId="77777777">
      <w:pPr>
        <w:pStyle w:val="Lista2"/>
      </w:pPr>
      <w:r>
        <w:t xml:space="preserve">ignore the </w:t>
      </w:r>
      <w:r>
        <w:rPr>
          <w:rStyle w:val="Foreign"/>
        </w:rPr>
        <w:t>akṣara</w:t>
      </w:r>
      <w:r>
        <w:t xml:space="preserve"> boundary and mark up the block boundary in its proper place</w:t>
      </w:r>
    </w:p>
    <w:p w14:paraId="6595FAD7" w14:textId="3B958C5C">
      <w:pPr>
        <w:pStyle w:val="Lista2"/>
      </w:pPr>
      <w:r>
        <w:t>enjambement (§</w:t>
      </w:r>
      <w:r>
        <w:fldChar w:fldCharType="begin"/>
      </w:r>
      <w:r>
        <w:instrText xml:space="preserve"> REF _Ref224901083 \r \h </w:instrText>
      </w:r>
      <w:r>
        <w:fldChar w:fldCharType="separate"/>
      </w:r>
      <w:r>
        <w:t>3.2.4.1</w:t>
      </w:r>
      <w:r>
        <w:fldChar w:fldCharType="end"/>
      </w:r>
      <w:r>
        <w:t>) is not present</w:t>
      </w:r>
    </w:p>
    <w:p w14:paraId="45C4FFF8" w14:textId="37149629">
      <w:pPr>
        <w:pStyle w:val="Lista"/>
      </w:pPr>
      <w:r>
        <w:t xml:space="preserve">this applies no less to cases where sandhi reduces a final vowel to a semivowel, as in </w:t>
      </w:r>
      <w:r>
        <w:fldChar w:fldCharType="begin"/>
      </w:r>
      <w:r>
        <w:instrText xml:space="preserve"> REF _Ref224916154 \h </w:instrText>
      </w:r>
      <w:r>
        <w:fldChar w:fldCharType="separate"/>
      </w:r>
      <w:r>
        <w:t xml:space="preserve">Exhibit </w:t>
      </w:r>
      <w:r>
        <w:rPr>
          <w:noProof/>
        </w:rPr>
        <w:t>3.2</w:t>
      </w:r>
      <w:r>
        <w:t>.</w:t>
      </w:r>
      <w:r>
        <w:rPr>
          <w:noProof/>
        </w:rPr>
        <w:t>H</w:t>
      </w:r>
      <w:r>
        <w:fldChar w:fldCharType="end"/>
      </w:r>
    </w:p>
    <w:p w14:paraId="319C9C38" w14:textId="77777777">
      <w:pPr>
        <w:pStyle w:val="Lista2"/>
      </w:pPr>
      <w:r>
        <w:t>the block boundary can still be marked up at the original word boundary</w:t>
      </w:r>
    </w:p>
    <w:p w14:paraId="6021E2FD" w14:textId="77777777">
      <w:pPr>
        <w:pStyle w:val="Lista"/>
      </w:pPr>
      <w:r>
        <w:t xml:space="preserve">if the original document employs a space or a symbol for indicating the block boundary, but this indication does not exactly coincide with the boundary because of the presence of a merged </w:t>
      </w:r>
      <w:r>
        <w:rPr>
          <w:rStyle w:val="Foreign"/>
        </w:rPr>
        <w:t>akṣara</w:t>
      </w:r>
      <w:r>
        <w:t xml:space="preserve"> (e.g. </w:t>
      </w:r>
      <w:r>
        <w:rPr>
          <w:rStyle w:val="Foreign"/>
        </w:rPr>
        <w:t>paṁcaviṁśati|ntat-putro</w:t>
      </w:r>
      <w:r>
        <w:t>)</w:t>
      </w:r>
    </w:p>
    <w:p w14:paraId="0F0DEB2A" w14:textId="77777777">
      <w:pPr>
        <w:pStyle w:val="Lista2"/>
      </w:pPr>
      <w:r>
        <w:t>encode the space or symbol at its true location</w:t>
      </w:r>
    </w:p>
    <w:p w14:paraId="24036946" w14:textId="4E567964">
      <w:pPr>
        <w:pStyle w:val="Lista2"/>
      </w:pPr>
      <w:r>
        <w:t>optionally flag the locus as non-standard and/or normalise it as per §</w:t>
      </w:r>
      <w:r>
        <w:fldChar w:fldCharType="begin"/>
      </w:r>
      <w:r>
        <w:instrText xml:space="preserve"> REF _Ref227836867 \r \h </w:instrText>
      </w:r>
      <w:r>
        <w:fldChar w:fldCharType="separate"/>
      </w:r>
      <w:r>
        <w:t>5.3.6</w:t>
      </w:r>
      <w:r>
        <w:fldChar w:fldCharType="end"/>
      </w:r>
      <w:r>
        <w:t xml:space="preserve"> (for symbols) and §</w:t>
      </w:r>
      <w:r>
        <w:fldChar w:fldCharType="begin"/>
      </w:r>
      <w:r>
        <w:instrText xml:space="preserve"> REF _Ref227836913 \r \h </w:instrText>
      </w:r>
      <w:r>
        <w:fldChar w:fldCharType="separate"/>
      </w:r>
      <w:r>
        <w:t>5.4.4</w:t>
      </w:r>
      <w:r>
        <w:fldChar w:fldCharType="end"/>
      </w:r>
      <w:r>
        <w:t xml:space="preserve"> (for spaces)</w:t>
      </w:r>
    </w:p>
    <w:tbl>
      <w:tblPr>
        <w:tblStyle w:val="CodeSampleTable"/>
        <w:tblW w:w="5000" w:type="pct"/>
        <w:tblLook w:val="04A0" w:firstRow="1" w:lastRow="0" w:firstColumn="1" w:lastColumn="0" w:noHBand="0" w:noVBand="1"/>
      </w:tblPr>
      <w:tblGrid>
        <w:gridCol w:w="6231"/>
        <w:gridCol w:w="3397"/>
      </w:tblGrid>
      <w:tr w14:paraId="39552F80"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0A4CA4A6" w14:textId="3B03FBA6">
            <w:pPr>
              <w:pStyle w:val="Kpalrs"/>
            </w:pPr>
            <w:bookmarkStart w:id="111" w:name="_Ref181626270"/>
            <w:r>
              <w:t xml:space="preserve">Exhibit </w:t>
            </w:r>
            <w:fldSimple w:instr=" STYLEREF 2 \s ">
              <w:r>
                <w:rPr>
                  <w:noProof/>
                </w:rPr>
                <w:t>3.2</w:t>
              </w:r>
            </w:fldSimple>
            <w:r>
              <w:t>.</w:t>
            </w:r>
            <w:fldSimple w:instr=" SEQ Exhibit \* ALPHABETIC \s 2 ">
              <w:r>
                <w:rPr>
                  <w:noProof/>
                </w:rPr>
                <w:t>G</w:t>
              </w:r>
            </w:fldSimple>
            <w:bookmarkEnd w:id="111"/>
            <w:r>
              <w:t xml:space="preserve">: </w:t>
            </w:r>
            <w:r>
              <w:rPr>
                <w:rStyle w:val="Foreign"/>
              </w:rPr>
              <w:t>akṣara</w:t>
            </w:r>
            <w:r>
              <w:t xml:space="preserve"> overlapping metrical boundary</w:t>
            </w:r>
          </w:p>
        </w:tc>
      </w:tr>
      <w:tr w14:paraId="05BD7A82" w14:textId="77777777">
        <w:tc>
          <w:tcPr>
            <w:tcW w:w="3236" w:type="pct"/>
          </w:tcPr>
          <w:p w14:paraId="140C0803" w14:textId="77777777">
            <w:pPr>
              <w:pStyle w:val="CodeParagraph"/>
              <w:keepNext/>
            </w:pPr>
            <w:r>
              <w:rPr>
                <w:rStyle w:val="Code"/>
              </w:rPr>
              <w:t xml:space="preserve">&lt;lg </w:t>
            </w:r>
            <w:r>
              <w:rPr>
                <w:rStyle w:val="Codeattribute"/>
              </w:rPr>
              <w:t>n</w:t>
            </w:r>
            <w:r>
              <w:rPr>
                <w:rStyle w:val="Code"/>
              </w:rPr>
              <w:t>=</w:t>
            </w:r>
            <w:r>
              <w:rPr>
                <w:rStyle w:val="Codevalue"/>
              </w:rPr>
              <w:t>"20"</w:t>
            </w:r>
            <w:r>
              <w:rPr>
                <w:rStyle w:val="Code"/>
              </w:rPr>
              <w:t xml:space="preserve"> </w:t>
            </w:r>
            <w:r>
              <w:rPr>
                <w:rStyle w:val="Codeattribute"/>
              </w:rPr>
              <w:t>met</w:t>
            </w:r>
            <w:r>
              <w:rPr>
                <w:rStyle w:val="Code"/>
              </w:rPr>
              <w:t>=</w:t>
            </w:r>
            <w:r>
              <w:rPr>
                <w:rStyle w:val="Codevalue"/>
              </w:rPr>
              <w:t>"anuṣṭubh"</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w:t>
            </w:r>
            <w:r>
              <w:rPr>
                <w:rStyle w:val="Code"/>
              </w:rPr>
              <w:t>&gt;</w:t>
            </w:r>
            <w:r>
              <w:rPr>
                <w:rStyle w:val="Codetext"/>
              </w:rPr>
              <w:t>bahubhir vvasudhā dattā</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"b"</w:t>
            </w:r>
            <w:r>
              <w:rPr>
                <w:rStyle w:val="Code"/>
              </w:rPr>
              <w:t>&gt;</w:t>
            </w:r>
            <w:r>
              <w:rPr>
                <w:rStyle w:val="Codetext"/>
              </w:rPr>
              <w:t>bahubhiś cānupālitā</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"c"</w:t>
            </w:r>
            <w:r>
              <w:rPr>
                <w:rStyle w:val="Code"/>
              </w:rPr>
              <w:t>&gt;</w:t>
            </w:r>
            <w:r>
              <w:rPr>
                <w:rStyle w:val="Codetext"/>
              </w:rPr>
              <w:t>yasya yasya yadā bhūmis</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"d"</w:t>
            </w:r>
            <w:r>
              <w:rPr>
                <w:rStyle w:val="Code"/>
              </w:rPr>
              <w:t>&gt;</w:t>
            </w:r>
            <w:r>
              <w:rPr>
                <w:rStyle w:val="Codetext"/>
              </w:rPr>
              <w:t>tasya tasya tadā phalaṁ</w:t>
            </w:r>
            <w:r>
              <w:rPr>
                <w:rStyle w:val="Code"/>
              </w:rPr>
              <w:t>&lt;/l&gt;</w:t>
            </w:r>
            <w:r>
              <w:rPr>
                <w:rStyle w:val="Codetext"/>
              </w:rPr>
              <w:br/>
            </w:r>
            <w:r>
              <w:rPr>
                <w:rStyle w:val="Code"/>
              </w:rPr>
              <w:t>&lt;/lg&gt;</w:t>
            </w:r>
          </w:p>
        </w:tc>
        <w:tc>
          <w:tcPr>
            <w:tcW w:w="1764" w:type="pct"/>
          </w:tcPr>
          <w:p w14:paraId="2C9C0BA5" w14:textId="77777777">
            <w:pPr>
              <w:pStyle w:val="Tabletext"/>
              <w:rPr>
                <w:rStyle w:val="ForeignDevanagariScript0"/>
                <w:sz w:val="24"/>
                <w:szCs w:val="24"/>
              </w:rPr>
            </w:pPr>
            <w:r>
              <w:rPr>
                <w:rStyle w:val="ForeignDevanagariScript0"/>
                <w:sz w:val="24"/>
                <w:szCs w:val="24"/>
                <w:cs/>
              </w:rPr>
              <w:t>बहुभिर्व्वसुधा दत्ता</w:t>
            </w:r>
          </w:p>
          <w:p w14:paraId="79778763" w14:textId="77777777">
            <w:pPr>
              <w:pStyle w:val="Tabletext"/>
              <w:rPr>
                <w:rStyle w:val="ForeignDevanagariScript0"/>
                <w:sz w:val="24"/>
                <w:szCs w:val="24"/>
              </w:rPr>
            </w:pPr>
            <w:r>
              <w:rPr>
                <w:rStyle w:val="ForeignDevanagariScript0"/>
                <w:sz w:val="24"/>
                <w:szCs w:val="24"/>
                <w:cs/>
              </w:rPr>
              <w:t>बहुभिश्चानुपालिता</w:t>
            </w:r>
          </w:p>
          <w:p w14:paraId="7991E7FC" w14:textId="77777777">
            <w:pPr>
              <w:pStyle w:val="Tabletext"/>
              <w:rPr>
                <w:rStyle w:val="ForeignDevanagariScript0"/>
                <w:sz w:val="24"/>
                <w:szCs w:val="24"/>
              </w:rPr>
            </w:pPr>
            <w:r>
              <w:rPr>
                <w:rStyle w:val="ForeignDevanagariScript0"/>
                <w:sz w:val="24"/>
                <w:szCs w:val="24"/>
                <w:cs/>
              </w:rPr>
              <w:t xml:space="preserve">यस्य यस्य यदा </w:t>
            </w:r>
            <w:r>
              <w:rPr>
                <w:rStyle w:val="ForeignDevanagariScript0"/>
                <w:color w:val="EE0000"/>
                <w:sz w:val="24"/>
                <w:szCs w:val="24"/>
                <w:cs/>
              </w:rPr>
              <w:t>भूमि</w:t>
            </w:r>
          </w:p>
          <w:p w14:paraId="6D7D94AC" w14:textId="77777777">
            <w:pPr>
              <w:pStyle w:val="Tabletext"/>
            </w:pPr>
            <w:r>
              <w:rPr>
                <w:rStyle w:val="ForeignDevanagariScript0"/>
                <w:color w:val="EE0000"/>
                <w:sz w:val="24"/>
                <w:szCs w:val="24"/>
                <w:cs/>
              </w:rPr>
              <w:t>स्तस्य</w:t>
            </w:r>
            <w:r>
              <w:rPr>
                <w:rStyle w:val="ForeignDevanagariScript0"/>
                <w:sz w:val="24"/>
                <w:szCs w:val="24"/>
                <w:cs/>
              </w:rPr>
              <w:t xml:space="preserve"> तस्य तदा फलं</w:t>
            </w:r>
          </w:p>
        </w:tc>
      </w:tr>
      <w:tr w14:paraId="24F3E88D" w14:textId="77777777">
        <w:tc>
          <w:tcPr>
            <w:tcW w:w="5000" w:type="pct"/>
            <w:gridSpan w:val="2"/>
          </w:tcPr>
          <w:p w14:paraId="51116F9E" w14:textId="77777777">
            <w:pPr>
              <w:pStyle w:val="TableNote"/>
              <w:keepNext/>
            </w:pPr>
            <w:r>
              <w:t xml:space="preserve">the end of line c can and must be marked up after </w:t>
            </w:r>
            <w:r>
              <w:rPr>
                <w:rStyle w:val="Foreign"/>
              </w:rPr>
              <w:t>bhūmis</w:t>
            </w:r>
            <w:r>
              <w:t xml:space="preserve">, even though the </w:t>
            </w:r>
            <w:r>
              <w:rPr>
                <w:rStyle w:val="Foreign"/>
              </w:rPr>
              <w:t>s</w:t>
            </w:r>
            <w:r>
              <w:t xml:space="preserve"> at the end of this word is part of the </w:t>
            </w:r>
            <w:r>
              <w:rPr>
                <w:rStyle w:val="Foreign"/>
              </w:rPr>
              <w:t>akṣara</w:t>
            </w:r>
            <w:r>
              <w:t xml:space="preserve"> </w:t>
            </w:r>
            <w:r>
              <w:rPr>
                <w:rStyle w:val="Foreign"/>
              </w:rPr>
              <w:t>sta</w:t>
            </w:r>
            <w:r>
              <w:t xml:space="preserve"> in Indic script and is routinely shown in the next line in Indic typography</w:t>
            </w:r>
          </w:p>
        </w:tc>
      </w:tr>
    </w:tbl>
    <w:p w14:paraId="3C2D2F22" w14:textId="77777777"/>
    <w:tbl>
      <w:tblPr>
        <w:tblStyle w:val="CodeSampleTable"/>
        <w:tblW w:w="5000" w:type="pct"/>
        <w:tblLook w:val="04A0" w:firstRow="1" w:lastRow="0" w:firstColumn="1" w:lastColumn="0" w:noHBand="0" w:noVBand="1"/>
      </w:tblPr>
      <w:tblGrid>
        <w:gridCol w:w="6231"/>
        <w:gridCol w:w="3397"/>
      </w:tblGrid>
      <w:tr w14:paraId="43A6FD85"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2C75F0E3" w14:textId="2EAC8825">
            <w:pPr>
              <w:pStyle w:val="Kpalrs"/>
            </w:pPr>
            <w:bookmarkStart w:id="112" w:name="_Ref224916154"/>
            <w:r>
              <w:t xml:space="preserve">Exhibit </w:t>
            </w:r>
            <w:fldSimple w:instr=" STYLEREF 2 \s ">
              <w:r>
                <w:rPr>
                  <w:noProof/>
                </w:rPr>
                <w:t>3.2</w:t>
              </w:r>
            </w:fldSimple>
            <w:r>
              <w:t>.</w:t>
            </w:r>
            <w:fldSimple w:instr=" SEQ Exhibit \* ALPHABETIC \s 2 ">
              <w:r>
                <w:rPr>
                  <w:noProof/>
                </w:rPr>
                <w:t>H</w:t>
              </w:r>
            </w:fldSimple>
            <w:bookmarkEnd w:id="112"/>
            <w:r>
              <w:t>: vowel reduction at</w:t>
            </w:r>
            <w:r>
              <w:rPr>
                <w:rStyle w:val="Foreign"/>
              </w:rPr>
              <w:t xml:space="preserve"> </w:t>
            </w:r>
            <w:r>
              <w:t>metrical boundary</w:t>
            </w:r>
          </w:p>
        </w:tc>
      </w:tr>
      <w:tr w14:paraId="495839EF" w14:textId="77777777">
        <w:tc>
          <w:tcPr>
            <w:tcW w:w="3236" w:type="pct"/>
          </w:tcPr>
          <w:p w14:paraId="7858B4F9" w14:textId="77777777">
            <w:pPr>
              <w:pStyle w:val="CodeParagraph"/>
              <w:keepNext/>
            </w:pPr>
            <w:r>
              <w:rPr>
                <w:rStyle w:val="Code"/>
              </w:rPr>
              <w:t xml:space="preserve">&lt;lg </w:t>
            </w:r>
            <w:r>
              <w:rPr>
                <w:rStyle w:val="Codeattribute"/>
              </w:rPr>
              <w:t>n</w:t>
            </w:r>
            <w:r>
              <w:rPr>
                <w:rStyle w:val="Code"/>
              </w:rPr>
              <w:t>=</w:t>
            </w:r>
            <w:r>
              <w:rPr>
                <w:rStyle w:val="Codevalue"/>
              </w:rPr>
              <w:t>"8"</w:t>
            </w:r>
            <w:r>
              <w:rPr>
                <w:rStyle w:val="Code"/>
              </w:rPr>
              <w:t xml:space="preserve"> </w:t>
            </w:r>
            <w:r>
              <w:rPr>
                <w:rStyle w:val="Codeattribute"/>
              </w:rPr>
              <w:t>met</w:t>
            </w:r>
            <w:r>
              <w:rPr>
                <w:rStyle w:val="Code"/>
              </w:rPr>
              <w:t>=</w:t>
            </w:r>
            <w:r>
              <w:rPr>
                <w:rStyle w:val="Codevalue"/>
              </w:rPr>
              <w:t>"vasantatilakā"</w:t>
            </w:r>
            <w:r>
              <w:rPr>
                <w:rStyle w:val="Code"/>
              </w:rPr>
              <w:t>&gt;</w:t>
            </w:r>
            <w:r>
              <w:rPr>
                <w:rStyle w:val="Codetext"/>
              </w:rPr>
              <w:br/>
              <w:t xml:space="preserve">  ...</w:t>
            </w:r>
            <w:r>
              <w:rPr>
                <w:rStyle w:val="Codetext"/>
              </w:rPr>
              <w:br/>
              <w:t xml:space="preserve">  </w:t>
            </w:r>
            <w:r>
              <w:rPr>
                <w:rStyle w:val="Code"/>
              </w:rPr>
              <w:t xml:space="preserve">&lt;l </w:t>
            </w:r>
            <w:r>
              <w:rPr>
                <w:rStyle w:val="Codeattribute"/>
              </w:rPr>
              <w:t>n</w:t>
            </w:r>
            <w:r>
              <w:rPr>
                <w:rStyle w:val="Code"/>
              </w:rPr>
              <w:t>=</w:t>
            </w:r>
            <w:r>
              <w:rPr>
                <w:rStyle w:val="Codevalue"/>
              </w:rPr>
              <w:t>"c"</w:t>
            </w:r>
            <w:r>
              <w:rPr>
                <w:rStyle w:val="Code"/>
              </w:rPr>
              <w:t>&gt;</w:t>
            </w:r>
            <w:r>
              <w:rPr>
                <w:rStyle w:val="Codetext"/>
              </w:rPr>
              <w:t>dānārṇṇavāmma-nr̥payoḥ khalu paṁcaviṁśaty</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"d"</w:t>
            </w:r>
            <w:r>
              <w:rPr>
                <w:rStyle w:val="Code"/>
              </w:rPr>
              <w:t>&gt;</w:t>
            </w:r>
            <w:r>
              <w:rPr>
                <w:rStyle w:val="Codetext"/>
              </w:rPr>
              <w:t>abdān arakṣad avanī-talam ammarājaḥ</w:t>
            </w:r>
            <w:r>
              <w:rPr>
                <w:rStyle w:val="Code"/>
              </w:rPr>
              <w:t>&lt;/l&gt;</w:t>
            </w:r>
            <w:r>
              <w:rPr>
                <w:rStyle w:val="Codetext"/>
              </w:rPr>
              <w:br/>
            </w:r>
            <w:r>
              <w:rPr>
                <w:rStyle w:val="Code"/>
              </w:rPr>
              <w:t>&lt;/lg&gt;</w:t>
            </w:r>
          </w:p>
        </w:tc>
        <w:tc>
          <w:tcPr>
            <w:tcW w:w="1764" w:type="pct"/>
          </w:tcPr>
          <w:p w14:paraId="7E23B69B" w14:textId="77777777">
            <w:pPr>
              <w:pStyle w:val="Tabletext"/>
              <w:rPr>
                <w:rStyle w:val="ForeignDevanagariScript0"/>
                <w:sz w:val="24"/>
                <w:szCs w:val="24"/>
              </w:rPr>
            </w:pPr>
            <w:r>
              <w:rPr>
                <w:rStyle w:val="ForeignDevanagariScript0"/>
                <w:sz w:val="24"/>
                <w:szCs w:val="24"/>
                <w:cs/>
              </w:rPr>
              <w:t xml:space="preserve">दानार्ण्णवाम्मनृपयोः खलु </w:t>
            </w:r>
            <w:r>
              <w:rPr>
                <w:rStyle w:val="ForeignDevanagariScript0"/>
                <w:color w:val="EE0000"/>
                <w:sz w:val="24"/>
                <w:szCs w:val="24"/>
                <w:cs/>
              </w:rPr>
              <w:t>पंचविंश</w:t>
            </w:r>
          </w:p>
          <w:p w14:paraId="3B2145C8" w14:textId="77777777">
            <w:pPr>
              <w:pStyle w:val="Tabletext"/>
            </w:pPr>
            <w:r>
              <w:rPr>
                <w:rStyle w:val="ForeignDevanagariScript0"/>
                <w:color w:val="EE0000"/>
                <w:sz w:val="24"/>
                <w:szCs w:val="24"/>
                <w:cs/>
              </w:rPr>
              <w:t>त्य</w:t>
            </w:r>
            <w:r>
              <w:rPr>
                <w:rStyle w:val="ForeignDevanagariScript0"/>
                <w:sz w:val="24"/>
                <w:szCs w:val="24"/>
                <w:cs/>
              </w:rPr>
              <w:t>ब्दानरक्षदवनीतलमम्मराजः</w:t>
            </w:r>
          </w:p>
          <w:p w14:paraId="067ECBAC" w14:textId="77777777">
            <w:pPr>
              <w:pStyle w:val="Tabletext"/>
            </w:pPr>
          </w:p>
        </w:tc>
      </w:tr>
      <w:tr w14:paraId="75444499" w14:textId="77777777">
        <w:tc>
          <w:tcPr>
            <w:tcW w:w="5000" w:type="pct"/>
            <w:gridSpan w:val="2"/>
          </w:tcPr>
          <w:p w14:paraId="58B3655B" w14:textId="77777777">
            <w:pPr>
              <w:pStyle w:val="TableNote"/>
              <w:keepNext/>
            </w:pPr>
            <w:r>
              <w:t xml:space="preserve">the end of line c can and must be marked up after </w:t>
            </w:r>
            <w:r>
              <w:rPr>
                <w:rStyle w:val="Foreign"/>
              </w:rPr>
              <w:t>paṁcaviṁśaty</w:t>
            </w:r>
            <w:r>
              <w:t xml:space="preserve">, even though the end of this word is part of the </w:t>
            </w:r>
            <w:r>
              <w:rPr>
                <w:rStyle w:val="Foreign"/>
              </w:rPr>
              <w:t>akṣara</w:t>
            </w:r>
            <w:r>
              <w:t xml:space="preserve"> </w:t>
            </w:r>
            <w:r>
              <w:rPr>
                <w:rStyle w:val="Foreign"/>
              </w:rPr>
              <w:t>tya</w:t>
            </w:r>
            <w:r>
              <w:t xml:space="preserve"> in Indic script and even though </w:t>
            </w:r>
            <w:r>
              <w:rPr>
                <w:rStyle w:val="Foreign"/>
              </w:rPr>
              <w:t>paṁcaviṁśaty</w:t>
            </w:r>
            <w:r>
              <w:t xml:space="preserve"> is not really pronounceable in isolation</w:t>
            </w:r>
          </w:p>
        </w:tc>
      </w:tr>
    </w:tbl>
    <w:p w14:paraId="0030B969" w14:textId="45BA71C1">
      <w:pPr>
        <w:pStyle w:val="Lista"/>
      </w:pPr>
      <w:r>
        <w:t xml:space="preserve">the </w:t>
      </w:r>
      <w:r>
        <w:rPr>
          <w:b/>
          <w:bCs/>
        </w:rPr>
        <w:t>end of a prose block</w:t>
      </w:r>
      <w:r>
        <w:t xml:space="preserve"> may also fall inside an </w:t>
      </w:r>
      <w:r>
        <w:rPr>
          <w:rStyle w:val="Foreign"/>
        </w:rPr>
        <w:t>akṣara</w:t>
      </w:r>
      <w:r>
        <w:t xml:space="preserve"> if the editor feels that a semantic boundary is present, but the writer of the source document did not choose to represent that boundary with a hiatus in writing, as in </w:t>
      </w:r>
      <w:r>
        <w:fldChar w:fldCharType="begin"/>
      </w:r>
      <w:r>
        <w:instrText xml:space="preserve"> REF _Ref181371522 \h </w:instrText>
      </w:r>
      <w:r>
        <w:fldChar w:fldCharType="separate"/>
      </w:r>
      <w:r>
        <w:t xml:space="preserve">Exhibit </w:t>
      </w:r>
      <w:r>
        <w:rPr>
          <w:noProof/>
        </w:rPr>
        <w:t>3.2</w:t>
      </w:r>
      <w:r>
        <w:t>.</w:t>
      </w:r>
      <w:r>
        <w:rPr>
          <w:noProof/>
        </w:rPr>
        <w:t>I</w:t>
      </w:r>
      <w:r>
        <w:fldChar w:fldCharType="end"/>
      </w:r>
    </w:p>
    <w:p w14:paraId="68459E66" w14:textId="77777777">
      <w:pPr>
        <w:pStyle w:val="Lista2"/>
      </w:pPr>
      <w:r>
        <w:t>in such cases, too, encode the block boundary at the word boundary if it is segmentable in transliteration</w:t>
      </w:r>
    </w:p>
    <w:p w14:paraId="51DAA42B" w14:textId="3D63143F">
      <w:pPr>
        <w:pStyle w:val="Lista2"/>
      </w:pPr>
      <w:r>
        <w:t>additionally, you may optionally either flag (§</w:t>
      </w:r>
      <w:r>
        <w:fldChar w:fldCharType="begin"/>
      </w:r>
      <w:r>
        <w:instrText xml:space="preserve"> REF _Ref228886903 \r \h </w:instrText>
      </w:r>
      <w:r>
        <w:fldChar w:fldCharType="separate"/>
      </w:r>
      <w:r>
        <w:t>7.4.2</w:t>
      </w:r>
      <w:r>
        <w:fldChar w:fldCharType="end"/>
      </w:r>
      <w:r>
        <w:t>) or normalise (§</w:t>
      </w:r>
      <w:r>
        <w:fldChar w:fldCharType="begin"/>
      </w:r>
      <w:r>
        <w:instrText xml:space="preserve"> REF _Ref228885848 \r \h </w:instrText>
      </w:r>
      <w:r>
        <w:fldChar w:fldCharType="separate"/>
      </w:r>
      <w:r>
        <w:t>7.5.1.2</w:t>
      </w:r>
      <w:r>
        <w:fldChar w:fldCharType="end"/>
      </w:r>
      <w:r>
        <w:t>) non-standard usage on both sides of the break</w:t>
      </w:r>
    </w:p>
    <w:p w14:paraId="5B9C910B" w14:textId="579574F8">
      <w:pPr>
        <w:pStyle w:val="Lista3"/>
      </w:pPr>
      <w:r>
        <w:lastRenderedPageBreak/>
        <w:t xml:space="preserve">thus, each of the methods shown in </w:t>
      </w:r>
      <w:r>
        <w:fldChar w:fldCharType="begin"/>
      </w:r>
      <w:r>
        <w:instrText xml:space="preserve"> REF _Ref181371522 \h </w:instrText>
      </w:r>
      <w:r>
        <w:fldChar w:fldCharType="separate"/>
      </w:r>
      <w:r>
        <w:t xml:space="preserve">Exhibit </w:t>
      </w:r>
      <w:r>
        <w:rPr>
          <w:noProof/>
        </w:rPr>
        <w:t>3.2</w:t>
      </w:r>
      <w:r>
        <w:t>.</w:t>
      </w:r>
      <w:r>
        <w:rPr>
          <w:noProof/>
        </w:rPr>
        <w:t>I</w:t>
      </w:r>
      <w:r>
        <w:fldChar w:fldCharType="end"/>
      </w:r>
      <w:r>
        <w:t xml:space="preserve"> is acceptable, depending on your judgement</w:t>
      </w:r>
    </w:p>
    <w:tbl>
      <w:tblPr>
        <w:tblStyle w:val="CodeSampleTable"/>
        <w:tblW w:w="5000" w:type="pct"/>
        <w:tblLook w:val="04A0" w:firstRow="1" w:lastRow="0" w:firstColumn="1" w:lastColumn="0" w:noHBand="0" w:noVBand="1"/>
      </w:tblPr>
      <w:tblGrid>
        <w:gridCol w:w="9628"/>
      </w:tblGrid>
      <w:tr w14:paraId="4DE095E6"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07544E4" w14:textId="45556DFC">
            <w:pPr>
              <w:pStyle w:val="Kpalrs"/>
            </w:pPr>
            <w:bookmarkStart w:id="113" w:name="_Ref181371522"/>
            <w:r>
              <w:t xml:space="preserve">Exhibit </w:t>
            </w:r>
            <w:fldSimple w:instr=" STYLEREF 2 \s ">
              <w:r>
                <w:rPr>
                  <w:noProof/>
                </w:rPr>
                <w:t>3.2</w:t>
              </w:r>
            </w:fldSimple>
            <w:r>
              <w:t>.</w:t>
            </w:r>
            <w:fldSimple w:instr=" SEQ Exhibit \* ALPHABETIC \s 2 ">
              <w:r>
                <w:rPr>
                  <w:noProof/>
                </w:rPr>
                <w:t>I</w:t>
              </w:r>
            </w:fldSimple>
            <w:bookmarkEnd w:id="113"/>
            <w:r>
              <w:t>: prose boundary obscured by non-fusion sandhi</w:t>
            </w:r>
          </w:p>
        </w:tc>
      </w:tr>
      <w:tr w14:paraId="2A7610DC" w14:textId="77777777">
        <w:tc>
          <w:tcPr>
            <w:tcW w:w="5000" w:type="pct"/>
          </w:tcPr>
          <w:p w14:paraId="3BE385CD" w14:textId="77777777">
            <w:pPr>
              <w:pStyle w:val="CodeParagraph"/>
              <w:keepNext/>
              <w:rPr>
                <w:rStyle w:val="Code"/>
              </w:rPr>
            </w:pPr>
            <w:r>
              <w:rPr>
                <w:rStyle w:val="Code"/>
              </w:rPr>
              <w:t>&lt;p&gt;</w:t>
            </w:r>
            <w:r>
              <w:rPr>
                <w:rStyle w:val="Codetext"/>
              </w:rPr>
              <w:t xml:space="preserve"> ... ājñāpayaty</w:t>
            </w:r>
            <w:r>
              <w:rPr>
                <w:rStyle w:val="Code"/>
              </w:rPr>
              <w:t>&lt;/p&gt;</w:t>
            </w:r>
          </w:p>
          <w:p w14:paraId="2290DCDF" w14:textId="77777777">
            <w:pPr>
              <w:pStyle w:val="CodeParagraph"/>
              <w:keepNext/>
              <w:rPr>
                <w:color w:val="000080"/>
                <w:shd w:val="clear" w:color="auto" w:fill="F8F8F8"/>
              </w:rPr>
            </w:pPr>
            <w:r>
              <w:rPr>
                <w:rStyle w:val="Code"/>
              </w:rPr>
              <w:t>&lt;p&gt;</w:t>
            </w:r>
            <w:r>
              <w:rPr>
                <w:rStyle w:val="Codetext"/>
              </w:rPr>
              <w:t xml:space="preserve">astu vo viditam ... </w:t>
            </w:r>
            <w:r>
              <w:rPr>
                <w:rStyle w:val="Code"/>
              </w:rPr>
              <w:t>&lt;/p&gt;</w:t>
            </w:r>
          </w:p>
        </w:tc>
      </w:tr>
      <w:tr w14:paraId="33E53ABA" w14:textId="77777777">
        <w:tc>
          <w:tcPr>
            <w:tcW w:w="5000" w:type="pct"/>
          </w:tcPr>
          <w:p w14:paraId="0E718418" w14:textId="77777777">
            <w:pPr>
              <w:pStyle w:val="TableNote"/>
              <w:keepNext/>
            </w:pPr>
            <w:r>
              <w:t xml:space="preserve">a container boundary is marked up within an </w:t>
            </w:r>
            <w:r>
              <w:rPr>
                <w:rStyle w:val="Foreign"/>
              </w:rPr>
              <w:t>akṣara</w:t>
            </w:r>
            <w:r>
              <w:t xml:space="preserve"> of the original script</w:t>
            </w:r>
          </w:p>
        </w:tc>
      </w:tr>
      <w:tr w14:paraId="4441ADC6" w14:textId="77777777">
        <w:tc>
          <w:tcPr>
            <w:tcW w:w="5000" w:type="pct"/>
          </w:tcPr>
          <w:p w14:paraId="7C0AB946" w14:textId="77777777">
            <w:pPr>
              <w:pStyle w:val="CodeParagraph"/>
              <w:keepNext/>
              <w:rPr>
                <w:rStyle w:val="Code"/>
              </w:rPr>
            </w:pPr>
            <w:bookmarkStart w:id="114" w:name="_Ref149921101"/>
            <w:r>
              <w:rPr>
                <w:rStyle w:val="Code"/>
              </w:rPr>
              <w:t>&lt;p&gt;</w:t>
            </w:r>
            <w:r>
              <w:rPr>
                <w:rStyle w:val="Codetext"/>
              </w:rPr>
              <w:t xml:space="preserve"> ... ājñāpayat</w:t>
            </w:r>
            <w:r>
              <w:rPr>
                <w:rStyle w:val="Code"/>
              </w:rPr>
              <w:t>&lt;orig&gt;</w:t>
            </w:r>
            <w:r>
              <w:rPr>
                <w:rStyle w:val="Codetext"/>
              </w:rPr>
              <w:t>y</w:t>
            </w:r>
            <w:r>
              <w:rPr>
                <w:rStyle w:val="Code"/>
              </w:rPr>
              <w:t>&lt;/orig&gt;&lt;/p&gt;</w:t>
            </w:r>
          </w:p>
          <w:p w14:paraId="4272AC1D" w14:textId="77777777">
            <w:pPr>
              <w:pStyle w:val="CodeParagraph"/>
              <w:keepNext/>
              <w:rPr>
                <w:color w:val="000080"/>
                <w:shd w:val="clear" w:color="auto" w:fill="F8F8F8"/>
              </w:rPr>
            </w:pPr>
            <w:r>
              <w:rPr>
                <w:rStyle w:val="Code"/>
              </w:rPr>
              <w:t>&lt;p&gt;&lt;orig&gt;</w:t>
            </w:r>
            <w:r>
              <w:rPr>
                <w:rStyle w:val="Codetext"/>
              </w:rPr>
              <w:t>a</w:t>
            </w:r>
            <w:r>
              <w:rPr>
                <w:rStyle w:val="Code"/>
              </w:rPr>
              <w:t>&lt;/orig&gt;</w:t>
            </w:r>
            <w:r>
              <w:rPr>
                <w:rStyle w:val="Codetext"/>
              </w:rPr>
              <w:t xml:space="preserve">stu vo viditam ... </w:t>
            </w:r>
            <w:r>
              <w:rPr>
                <w:rStyle w:val="Code"/>
              </w:rPr>
              <w:t>&lt;/p&gt;</w:t>
            </w:r>
          </w:p>
        </w:tc>
      </w:tr>
      <w:tr w14:paraId="7290071F" w14:textId="77777777">
        <w:tc>
          <w:tcPr>
            <w:tcW w:w="5000" w:type="pct"/>
          </w:tcPr>
          <w:p w14:paraId="26B46B95" w14:textId="77777777">
            <w:pPr>
              <w:pStyle w:val="TableNote"/>
              <w:keepNext/>
            </w:pPr>
            <w:r>
              <w:t xml:space="preserve">a container boundary within an </w:t>
            </w:r>
            <w:r>
              <w:rPr>
                <w:rStyle w:val="Foreign"/>
              </w:rPr>
              <w:t>akṣara</w:t>
            </w:r>
            <w:r>
              <w:t xml:space="preserve"> of the original script is flagged as non-standard usage</w:t>
            </w:r>
          </w:p>
        </w:tc>
      </w:tr>
      <w:tr w14:paraId="0E159020" w14:textId="77777777">
        <w:tc>
          <w:tcPr>
            <w:tcW w:w="5000" w:type="pct"/>
          </w:tcPr>
          <w:p w14:paraId="1A6E21DB" w14:textId="77777777">
            <w:pPr>
              <w:pStyle w:val="CodeParagraph"/>
              <w:keepNext/>
              <w:rPr>
                <w:color w:val="000080"/>
                <w:shd w:val="clear" w:color="auto" w:fill="F8F8F8"/>
              </w:rPr>
            </w:pPr>
            <w:r>
              <w:rPr>
                <w:rStyle w:val="Code"/>
              </w:rPr>
              <w:t>&lt;p&gt;</w:t>
            </w:r>
            <w:r>
              <w:rPr>
                <w:rStyle w:val="Codetext"/>
              </w:rPr>
              <w:t xml:space="preserve"> ... ājñāpayat</w:t>
            </w:r>
            <w:r>
              <w:rPr>
                <w:rStyle w:val="Code"/>
              </w:rPr>
              <w:t>&lt;choice&gt;&lt;orig&gt;</w:t>
            </w:r>
            <w:r>
              <w:rPr>
                <w:rStyle w:val="Codetext"/>
              </w:rPr>
              <w:t>y</w:t>
            </w:r>
            <w:r>
              <w:rPr>
                <w:rStyle w:val="Code"/>
              </w:rPr>
              <w:t>&lt;/orig&gt;&lt;reg&gt;</w:t>
            </w:r>
            <w:r>
              <w:rPr>
                <w:rStyle w:val="Codetext"/>
              </w:rPr>
              <w:t>i</w:t>
            </w:r>
            <w:r>
              <w:rPr>
                <w:rStyle w:val="Code"/>
              </w:rPr>
              <w:t>&lt;/reg&gt;&lt;/choice&gt;&lt;/p&gt;</w:t>
            </w:r>
            <w:r>
              <w:rPr>
                <w:rStyle w:val="Codetext"/>
              </w:rPr>
              <w:t xml:space="preserve"> </w:t>
            </w:r>
            <w:r>
              <w:rPr>
                <w:rStyle w:val="Code"/>
              </w:rPr>
              <w:t>&lt;p&gt;&lt;choice&gt;&lt;orig&gt;</w:t>
            </w:r>
            <w:r>
              <w:rPr>
                <w:rStyle w:val="Codetext"/>
              </w:rPr>
              <w:t>a</w:t>
            </w:r>
            <w:r>
              <w:rPr>
                <w:rStyle w:val="Code"/>
              </w:rPr>
              <w:t>&lt;/orig&gt;&lt;reg&gt;</w:t>
            </w:r>
            <w:r>
              <w:rPr>
                <w:rStyle w:val="Codetext"/>
              </w:rPr>
              <w:t>A</w:t>
            </w:r>
            <w:r>
              <w:rPr>
                <w:rStyle w:val="Code"/>
              </w:rPr>
              <w:t>&lt;/reg&gt;&lt;/choice&gt;</w:t>
            </w:r>
            <w:r>
              <w:rPr>
                <w:rStyle w:val="Codetext"/>
              </w:rPr>
              <w:t xml:space="preserve">stu vo viditam ... </w:t>
            </w:r>
            <w:r>
              <w:rPr>
                <w:rStyle w:val="Code"/>
              </w:rPr>
              <w:t>&lt;/p&gt;</w:t>
            </w:r>
          </w:p>
        </w:tc>
      </w:tr>
      <w:tr w14:paraId="73250E62" w14:textId="77777777">
        <w:tc>
          <w:tcPr>
            <w:tcW w:w="5000" w:type="pct"/>
          </w:tcPr>
          <w:p w14:paraId="6C46CCA0" w14:textId="77777777">
            <w:pPr>
              <w:pStyle w:val="TableNote"/>
              <w:keepNext/>
            </w:pPr>
            <w:r>
              <w:t xml:space="preserve">a container boundary within an </w:t>
            </w:r>
            <w:r>
              <w:rPr>
                <w:rStyle w:val="Foreign"/>
              </w:rPr>
              <w:t>akṣara</w:t>
            </w:r>
            <w:r>
              <w:t xml:space="preserve"> of the original script is normalised</w:t>
            </w:r>
          </w:p>
        </w:tc>
      </w:tr>
    </w:tbl>
    <w:bookmarkEnd w:id="114"/>
    <w:p w14:paraId="6FA5B3F8" w14:textId="77777777">
      <w:pPr>
        <w:pStyle w:val="Cmsor4"/>
      </w:pPr>
      <w:r>
        <w:t>Interrupted compounds</w:t>
      </w:r>
      <w:bookmarkEnd w:id="110"/>
    </w:p>
    <w:p w14:paraId="42F6205D" w14:textId="1167BAE0">
      <w:r>
        <w:t xml:space="preserve">Semantic prose blocks are never expected to end within a compound word, but exceptionally, an editor may choose to encode a long </w:t>
      </w:r>
      <w:r>
        <w:rPr>
          <w:rStyle w:val="Foreign"/>
        </w:rPr>
        <w:t>dvandva</w:t>
      </w:r>
      <w:r>
        <w:t xml:space="preserve"> compound as a list (§</w:t>
      </w:r>
      <w:r>
        <w:fldChar w:fldCharType="begin"/>
      </w:r>
      <w:r>
        <w:instrText xml:space="preserve"> REF _Ref168563127 \r \h </w:instrText>
      </w:r>
      <w:r>
        <w:fldChar w:fldCharType="separate"/>
      </w:r>
      <w:r>
        <w:t>3.2.1.3</w:t>
      </w:r>
      <w:r>
        <w:fldChar w:fldCharType="end"/>
      </w:r>
      <w:r>
        <w:t>), with the compound members as items. In verse, compounds not uncommonly transgress the boundary of lines belonging to the same hemistich and, rarely, can also transgress the boundary between hemistichs. If the end of a block-level container falls inside a compound, proceed as follows</w:t>
      </w:r>
    </w:p>
    <w:p w14:paraId="77445F95" w14:textId="77777777">
      <w:pPr>
        <w:pStyle w:val="Lista"/>
      </w:pPr>
      <w:r>
        <w:t>encode the container boundary between compound members</w:t>
      </w:r>
    </w:p>
    <w:p w14:paraId="1513C221" w14:textId="60D3D877">
      <w:pPr>
        <w:pStyle w:val="Lista2"/>
      </w:pPr>
      <w:r>
        <w:t xml:space="preserve">disregard </w:t>
      </w:r>
      <w:r>
        <w:rPr>
          <w:rStyle w:val="Foreign"/>
        </w:rPr>
        <w:t>akṣara</w:t>
      </w:r>
      <w:r>
        <w:t xml:space="preserve"> boundaries just as in §</w:t>
      </w:r>
      <w:r>
        <w:fldChar w:fldCharType="begin"/>
      </w:r>
      <w:r>
        <w:instrText xml:space="preserve"> REF _Ref225328264 \r \h </w:instrText>
      </w:r>
      <w:r>
        <w:fldChar w:fldCharType="separate"/>
      </w:r>
      <w:r>
        <w:t>3.2.4.1</w:t>
      </w:r>
      <w:r>
        <w:fldChar w:fldCharType="end"/>
      </w:r>
      <w:r>
        <w:t xml:space="preserve"> above</w:t>
      </w:r>
    </w:p>
    <w:p w14:paraId="320B2E27" w14:textId="77777777">
      <w:pPr>
        <w:pStyle w:val="Lista"/>
      </w:pPr>
      <w:r>
        <w:t xml:space="preserve">if you use editorial hyphens for compound analysis (TG §7.3.4), place your hyphen at the beginning of the latter block-level element </w:t>
      </w:r>
    </w:p>
    <w:p w14:paraId="71F6508D" w14:textId="1A5D13CC">
      <w:pPr>
        <w:pStyle w:val="Lista"/>
      </w:pPr>
      <w:r>
        <w:t>if this takes place at a verse line boundary, encode enjambement on the former line (§</w:t>
      </w:r>
      <w:r>
        <w:fldChar w:fldCharType="begin"/>
      </w:r>
      <w:r>
        <w:instrText xml:space="preserve"> REF _Ref224901083 \r \h </w:instrText>
      </w:r>
      <w:r>
        <w:fldChar w:fldCharType="separate"/>
      </w:r>
      <w:r>
        <w:t>3.2.4.1</w:t>
      </w:r>
      <w:r>
        <w:fldChar w:fldCharType="end"/>
      </w:r>
      <w:r>
        <w:t>)</w:t>
      </w:r>
    </w:p>
    <w:p w14:paraId="117D2EE1" w14:textId="77777777">
      <w:pPr>
        <w:pStyle w:val="Lista2"/>
        <w:rPr>
          <w:rStyle w:val="Codetext"/>
          <w:rFonts w:ascii="Gentium" w:hAnsi="Gentium" w:cs="Tiro Devanagari Sanskrit"/>
          <w:noProof w:val="0"/>
          <w:color w:val="auto"/>
          <w:shd w:val="clear" w:color="auto" w:fill="auto"/>
        </w:rPr>
      </w:pPr>
      <w:r>
        <w:t xml:space="preserve">e.g. </w:t>
      </w:r>
      <w:r>
        <w:rPr>
          <w:rStyle w:val="Code"/>
        </w:rPr>
        <w:t xml:space="preserve">&lt;l </w:t>
      </w:r>
      <w:r>
        <w:rPr>
          <w:rStyle w:val="Codeattribute"/>
        </w:rPr>
        <w:t>enjamb</w:t>
      </w:r>
      <w:r>
        <w:rPr>
          <w:rStyle w:val="Codetext"/>
        </w:rPr>
        <w:t>=</w:t>
      </w:r>
      <w:r>
        <w:rPr>
          <w:rStyle w:val="Codevalue"/>
        </w:rPr>
        <w:t>"yes"</w:t>
      </w:r>
      <w:r>
        <w:rPr>
          <w:rStyle w:val="Code"/>
        </w:rPr>
        <w:t>&gt;</w:t>
      </w:r>
      <w:r>
        <w:rPr>
          <w:rStyle w:val="Codetext"/>
        </w:rPr>
        <w:t>... maṇḍalānta</w:t>
      </w:r>
      <w:r>
        <w:rPr>
          <w:rStyle w:val="Code"/>
        </w:rPr>
        <w:t>&lt;/l&gt;&lt;l&gt;</w:t>
      </w:r>
      <w:r>
        <w:rPr>
          <w:rStyle w:val="Codetext"/>
        </w:rPr>
        <w:t>-vyakta-bhrū-bhaṅga...</w:t>
      </w:r>
    </w:p>
    <w:p w14:paraId="0A7C38BF" w14:textId="610766A6">
      <w:pPr>
        <w:pStyle w:val="Lista"/>
      </w:pPr>
      <w:r>
        <w:t xml:space="preserve">see </w:t>
      </w:r>
      <w:r>
        <w:fldChar w:fldCharType="begin"/>
      </w:r>
      <w:r>
        <w:instrText xml:space="preserve"> REF _Ref44077259 \h </w:instrText>
      </w:r>
      <w:r>
        <w:fldChar w:fldCharType="separate"/>
      </w:r>
      <w:r>
        <w:t xml:space="preserve">Exhibit </w:t>
      </w:r>
      <w:r>
        <w:rPr>
          <w:noProof/>
        </w:rPr>
        <w:t>3.3</w:t>
      </w:r>
      <w:r>
        <w:t>.</w:t>
      </w:r>
      <w:r>
        <w:rPr>
          <w:noProof/>
        </w:rPr>
        <w:t>G</w:t>
      </w:r>
      <w:r>
        <w:fldChar w:fldCharType="end"/>
      </w:r>
      <w:r>
        <w:t xml:space="preserve"> and </w:t>
      </w:r>
      <w:r>
        <w:fldChar w:fldCharType="begin"/>
      </w:r>
      <w:r>
        <w:instrText xml:space="preserve"> REF _Ref44077336 \h </w:instrText>
      </w:r>
      <w:r>
        <w:fldChar w:fldCharType="separate"/>
      </w:r>
      <w:r>
        <w:t xml:space="preserve">Exhibit </w:t>
      </w:r>
      <w:r>
        <w:rPr>
          <w:noProof/>
        </w:rPr>
        <w:t>3.3</w:t>
      </w:r>
      <w:r>
        <w:t>.</w:t>
      </w:r>
      <w:r>
        <w:rPr>
          <w:noProof/>
        </w:rPr>
        <w:t>H</w:t>
      </w:r>
      <w:r>
        <w:fldChar w:fldCharType="end"/>
      </w:r>
      <w:r>
        <w:t xml:space="preserve"> above for full encoding examples</w:t>
      </w:r>
    </w:p>
    <w:p w14:paraId="5A99A40B" w14:textId="77777777">
      <w:pPr>
        <w:pStyle w:val="Cmsor4"/>
      </w:pPr>
      <w:bookmarkStart w:id="115" w:name="_Ref225324953"/>
      <w:r>
        <w:t>Word boundaries fused in sandhi</w:t>
      </w:r>
      <w:bookmarkEnd w:id="115"/>
    </w:p>
    <w:p w14:paraId="53371DBA" w14:textId="2DE4C6E4">
      <w:r>
        <w:t xml:space="preserve">Boundaries between units of intrinsic structure falling at word boundaries may occasionally be obscured by vowel fusion sandhi. In this case, a single grapheme of the written source belongs to both of the adjacent morphemes, so it is impossible even in transliteration to encode the block boundary at a word boundary. This is not uncommon between verse lines (as in </w:t>
      </w:r>
      <w:r>
        <w:fldChar w:fldCharType="begin"/>
      </w:r>
      <w:r>
        <w:instrText xml:space="preserve"> REF _Ref181628185 \h </w:instrText>
      </w:r>
      <w:r>
        <w:fldChar w:fldCharType="separate"/>
      </w:r>
      <w:r>
        <w:t xml:space="preserve">Exhibit </w:t>
      </w:r>
      <w:r>
        <w:rPr>
          <w:noProof/>
        </w:rPr>
        <w:t>3.2</w:t>
      </w:r>
      <w:r>
        <w:t>.</w:t>
      </w:r>
      <w:r>
        <w:rPr>
          <w:noProof/>
        </w:rPr>
        <w:t>J</w:t>
      </w:r>
      <w:r>
        <w:fldChar w:fldCharType="end"/>
      </w:r>
      <w:r>
        <w:t>), but may on rare occasions happen at a transition from verse to prose (</w:t>
      </w:r>
      <w:r>
        <w:fldChar w:fldCharType="begin"/>
      </w:r>
      <w:r>
        <w:instrText xml:space="preserve"> REF _Ref43995893 \h </w:instrText>
      </w:r>
      <w:r>
        <w:fldChar w:fldCharType="separate"/>
      </w:r>
      <w:r>
        <w:t xml:space="preserve">Exhibit </w:t>
      </w:r>
      <w:r>
        <w:rPr>
          <w:noProof/>
        </w:rPr>
        <w:t>3.2</w:t>
      </w:r>
      <w:r>
        <w:t>.</w:t>
      </w:r>
      <w:r>
        <w:rPr>
          <w:noProof/>
        </w:rPr>
        <w:t>K</w:t>
      </w:r>
      <w:r>
        <w:fldChar w:fldCharType="end"/>
      </w:r>
      <w:r>
        <w:t>) or between prose blocks (</w:t>
      </w:r>
      <w:r>
        <w:fldChar w:fldCharType="begin"/>
      </w:r>
      <w:r>
        <w:instrText xml:space="preserve"> REF _Ref43996267 \h </w:instrText>
      </w:r>
      <w:r>
        <w:fldChar w:fldCharType="separate"/>
      </w:r>
      <w:r>
        <w:t xml:space="preserve">Exhibit </w:t>
      </w:r>
      <w:r>
        <w:rPr>
          <w:noProof/>
        </w:rPr>
        <w:t>3.2</w:t>
      </w:r>
      <w:r>
        <w:t>.</w:t>
      </w:r>
      <w:r>
        <w:rPr>
          <w:noProof/>
        </w:rPr>
        <w:t>L</w:t>
      </w:r>
      <w:r>
        <w:fldChar w:fldCharType="end"/>
      </w:r>
      <w:r>
        <w:t>).</w:t>
      </w:r>
    </w:p>
    <w:p w14:paraId="047C3959" w14:textId="77777777">
      <w:pPr>
        <w:pStyle w:val="Lista"/>
      </w:pPr>
      <w:r>
        <w:t>establish block boundaries at your own discretion based on the following considerations</w:t>
      </w:r>
    </w:p>
    <w:p w14:paraId="2CB0B777" w14:textId="77777777">
      <w:pPr>
        <w:pStyle w:val="Lista2"/>
      </w:pPr>
      <w:r>
        <w:t>if a metrical passage is involved, the boundary must always respect the metre</w:t>
      </w:r>
    </w:p>
    <w:p w14:paraId="127B298C" w14:textId="77777777">
      <w:pPr>
        <w:pStyle w:val="Lista2"/>
      </w:pPr>
      <w:r>
        <w:t>as far as the metre allows, the boundary shall be placed as close to a word boundary as possible</w:t>
      </w:r>
    </w:p>
    <w:p w14:paraId="19F5A71E" w14:textId="77777777">
      <w:pPr>
        <w:pStyle w:val="Lista2"/>
      </w:pPr>
      <w:r>
        <w:t>if two word boundaries are equally close to where the block boundary would be ideally placed, choose the word boundary that is semantically more appropriate</w:t>
      </w:r>
    </w:p>
    <w:p w14:paraId="0018F9C7" w14:textId="77777777">
      <w:pPr>
        <w:pStyle w:val="Lista2"/>
      </w:pPr>
      <w:r>
        <w:t>all other considerations being equal, place the block boundary after the fused vowel</w:t>
      </w:r>
    </w:p>
    <w:p w14:paraId="5932EC88" w14:textId="1C0E1969">
      <w:pPr>
        <w:pStyle w:val="Lista"/>
      </w:pPr>
      <w:r>
        <w:t>if this takes place at a verse line boundary, encode enjambement on the former line (§</w:t>
      </w:r>
      <w:r>
        <w:fldChar w:fldCharType="begin"/>
      </w:r>
      <w:r>
        <w:instrText xml:space="preserve"> REF _Ref224901083 \r \h </w:instrText>
      </w:r>
      <w:r>
        <w:fldChar w:fldCharType="separate"/>
      </w:r>
      <w:r>
        <w:t>3.2.4.1</w:t>
      </w:r>
      <w:r>
        <w:fldChar w:fldCharType="end"/>
      </w:r>
      <w:r>
        <w:t>)</w:t>
      </w:r>
    </w:p>
    <w:p w14:paraId="11A901D1" w14:textId="46DAD282">
      <w:pPr>
        <w:pStyle w:val="Lista"/>
      </w:pPr>
      <w:r>
        <w:t>editorial intervention (§</w:t>
      </w:r>
      <w:r>
        <w:fldChar w:fldCharType="begin"/>
      </w:r>
      <w:r>
        <w:instrText xml:space="preserve"> REF _Ref229054270 \r \h </w:instrText>
      </w:r>
      <w:r>
        <w:fldChar w:fldCharType="separate"/>
      </w:r>
      <w:r>
        <w:t>7.2</w:t>
      </w:r>
      <w:r>
        <w:fldChar w:fldCharType="end"/>
      </w:r>
      <w:r>
        <w:t>) may be encoded, keeping the following in mind</w:t>
      </w:r>
    </w:p>
    <w:p w14:paraId="1BB758F7" w14:textId="77777777">
      <w:pPr>
        <w:pStyle w:val="Lista2"/>
      </w:pPr>
      <w:r>
        <w:t>between verse lines</w:t>
      </w:r>
    </w:p>
    <w:p w14:paraId="63DCAB62" w14:textId="77777777">
      <w:pPr>
        <w:pStyle w:val="Lista3"/>
      </w:pPr>
      <w:r>
        <w:t>if the metre is correct in the received text, editorial intervention must be avoided</w:t>
      </w:r>
    </w:p>
    <w:p w14:paraId="23A7BC86" w14:textId="1D4857BE">
      <w:pPr>
        <w:pStyle w:val="Lista3"/>
      </w:pPr>
      <w:r>
        <w:t>if the metre is incorrect in the received text and can be corrected by resolving the fusion sandhi, editorial intervention must be encoded as correction (§</w:t>
      </w:r>
      <w:r>
        <w:fldChar w:fldCharType="begin"/>
      </w:r>
      <w:r>
        <w:instrText xml:space="preserve"> REF _Ref232089210 \r \h </w:instrText>
      </w:r>
      <w:r>
        <w:fldChar w:fldCharType="separate"/>
      </w:r>
      <w:r>
        <w:t>7.7.4</w:t>
      </w:r>
      <w:r>
        <w:fldChar w:fldCharType="end"/>
      </w:r>
      <w:r>
        <w:t>)</w:t>
      </w:r>
    </w:p>
    <w:p w14:paraId="74F8260F" w14:textId="77777777">
      <w:pPr>
        <w:pStyle w:val="Lista2"/>
      </w:pPr>
      <w:r>
        <w:t>between prose blocks and at transitions from verse to prose</w:t>
      </w:r>
    </w:p>
    <w:p w14:paraId="6ED9154B" w14:textId="1EDD921B">
      <w:pPr>
        <w:pStyle w:val="Lista3"/>
      </w:pPr>
      <w:r>
        <w:t xml:space="preserve">encode editorial normalisation (not correction) separately before and after the boundary (as in </w:t>
      </w:r>
      <w:r>
        <w:fldChar w:fldCharType="begin"/>
      </w:r>
      <w:r>
        <w:instrText xml:space="preserve"> REF _Ref43995893 \h </w:instrText>
      </w:r>
      <w:r>
        <w:fldChar w:fldCharType="separate"/>
      </w:r>
      <w:r>
        <w:t xml:space="preserve">Exhibit </w:t>
      </w:r>
      <w:r>
        <w:rPr>
          <w:noProof/>
        </w:rPr>
        <w:t>3.2</w:t>
      </w:r>
      <w:r>
        <w:t>.</w:t>
      </w:r>
      <w:r>
        <w:rPr>
          <w:noProof/>
        </w:rPr>
        <w:t>K</w:t>
      </w:r>
      <w:r>
        <w:fldChar w:fldCharType="end"/>
      </w:r>
      <w:r>
        <w:t xml:space="preserve"> and </w:t>
      </w:r>
      <w:r>
        <w:fldChar w:fldCharType="begin"/>
      </w:r>
      <w:r>
        <w:instrText xml:space="preserve"> REF _Ref43996267 \h </w:instrText>
      </w:r>
      <w:r>
        <w:fldChar w:fldCharType="separate"/>
      </w:r>
      <w:r>
        <w:t xml:space="preserve">Exhibit </w:t>
      </w:r>
      <w:r>
        <w:rPr>
          <w:noProof/>
        </w:rPr>
        <w:t>3.2</w:t>
      </w:r>
      <w:r>
        <w:t>.</w:t>
      </w:r>
      <w:r>
        <w:rPr>
          <w:noProof/>
        </w:rPr>
        <w:t>L</w:t>
      </w:r>
      <w:r>
        <w:fldChar w:fldCharType="end"/>
      </w:r>
      <w:r>
        <w:t>), provided that it does not disrupt the metre of a verse block</w:t>
      </w:r>
    </w:p>
    <w:p w14:paraId="1912C43A" w14:textId="77777777">
      <w:pPr>
        <w:pStyle w:val="Lista4"/>
      </w:pPr>
      <w:r>
        <w:t>one at the end of the earlier block (normalising the fused vowel to the one expected at the end of the former word)</w:t>
      </w:r>
    </w:p>
    <w:p w14:paraId="7FFEA0C9" w14:textId="77777777">
      <w:pPr>
        <w:pStyle w:val="Lista4"/>
      </w:pPr>
      <w:r>
        <w:t>and one at the beginning of the later block (restoring the vowel expected at the beginning of the latter word)</w:t>
      </w:r>
    </w:p>
    <w:p w14:paraId="666B364E" w14:textId="48E399DE">
      <w:pPr>
        <w:pStyle w:val="Lista3"/>
      </w:pPr>
      <w:r>
        <w:lastRenderedPageBreak/>
        <w:t xml:space="preserve">you will need to resort to this in the occasional cases where the particle </w:t>
      </w:r>
      <w:r>
        <w:rPr>
          <w:rStyle w:val="Foreign"/>
        </w:rPr>
        <w:t>iti</w:t>
      </w:r>
      <w:r>
        <w:t xml:space="preserve"> is fused in sandhi to the end of a stanza ending in </w:t>
      </w:r>
      <w:r>
        <w:rPr>
          <w:rStyle w:val="Foreign"/>
        </w:rPr>
        <w:t>-i</w:t>
      </w:r>
      <w:r>
        <w:t xml:space="preserve">, as in </w:t>
      </w:r>
      <w:r>
        <w:fldChar w:fldCharType="begin"/>
      </w:r>
      <w:r>
        <w:instrText xml:space="preserve"> REF _Ref43995893 \h  \* MERGEFORMAT </w:instrText>
      </w:r>
      <w:r>
        <w:fldChar w:fldCharType="separate"/>
      </w:r>
      <w:r>
        <w:t xml:space="preserve">Exhibit </w:t>
      </w:r>
      <w:r>
        <w:rPr>
          <w:noProof/>
        </w:rPr>
        <w:t>3.2.K</w:t>
      </w:r>
      <w:r>
        <w:fldChar w:fldCharType="end"/>
      </w:r>
    </w:p>
    <w:p w14:paraId="73820CA3" w14:textId="17A05F39">
      <w:pPr>
        <w:pStyle w:val="Lista4"/>
      </w:pPr>
      <w:r>
        <w:t xml:space="preserve">if </w:t>
      </w:r>
      <w:r>
        <w:rPr>
          <w:rStyle w:val="Foreign"/>
        </w:rPr>
        <w:t>iti</w:t>
      </w:r>
      <w:r>
        <w:t xml:space="preserve"> is fused in this way to the end of a stanza, and it is not semantically a part of the following paragraph of text (i.e. not translatable as e.g. “therefore” or “having said so,” but appears simply in the function of a closing quotation mark), then create a separate </w:t>
      </w:r>
      <w:r>
        <w:rPr>
          <w:rStyle w:val="Code"/>
        </w:rPr>
        <w:t>&lt;ab&gt;</w:t>
      </w:r>
      <w:r>
        <w:t xml:space="preserve"> container for this word between the preceding </w:t>
      </w:r>
      <w:r>
        <w:rPr>
          <w:rStyle w:val="Code"/>
        </w:rPr>
        <w:t>&lt;lg&gt;</w:t>
      </w:r>
      <w:r>
        <w:t xml:space="preserve"> and the following </w:t>
      </w:r>
      <w:r>
        <w:rPr>
          <w:rStyle w:val="Code"/>
        </w:rPr>
        <w:t>&lt;p&gt;</w:t>
      </w:r>
    </w:p>
    <w:tbl>
      <w:tblPr>
        <w:tblStyle w:val="CodeSampleTable"/>
        <w:tblW w:w="5000" w:type="pct"/>
        <w:tblLook w:val="04A0" w:firstRow="1" w:lastRow="0" w:firstColumn="1" w:lastColumn="0" w:noHBand="0" w:noVBand="1"/>
      </w:tblPr>
      <w:tblGrid>
        <w:gridCol w:w="9628"/>
      </w:tblGrid>
      <w:tr w14:paraId="2B2EBE66"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F2BB795" w14:textId="71F23E08">
            <w:pPr>
              <w:pStyle w:val="Kpalrs"/>
            </w:pPr>
            <w:bookmarkStart w:id="116" w:name="_Ref181628185"/>
            <w:bookmarkStart w:id="117" w:name="_Ref224918638"/>
            <w:r>
              <w:t xml:space="preserve">Exhibit </w:t>
            </w:r>
            <w:fldSimple w:instr=" STYLEREF 2 \s ">
              <w:r>
                <w:rPr>
                  <w:noProof/>
                </w:rPr>
                <w:t>3.2</w:t>
              </w:r>
            </w:fldSimple>
            <w:r>
              <w:t>.</w:t>
            </w:r>
            <w:fldSimple w:instr=" SEQ Exhibit \* ALPHABETIC \s 2 ">
              <w:r>
                <w:rPr>
                  <w:noProof/>
                </w:rPr>
                <w:t>J</w:t>
              </w:r>
            </w:fldSimple>
            <w:bookmarkEnd w:id="116"/>
            <w:r>
              <w:t xml:space="preserve">: end of verse line obscured by vowel fusion </w:t>
            </w:r>
            <w:r>
              <w:rPr>
                <w:rStyle w:val="Foreign"/>
              </w:rPr>
              <w:t>sandhi</w:t>
            </w:r>
            <w:bookmarkEnd w:id="117"/>
          </w:p>
        </w:tc>
      </w:tr>
      <w:tr w14:paraId="36B1B4A4" w14:textId="77777777">
        <w:tc>
          <w:tcPr>
            <w:tcW w:w="5000" w:type="pct"/>
          </w:tcPr>
          <w:p w14:paraId="3B4B1EC7" w14:textId="77777777">
            <w:pPr>
              <w:pStyle w:val="CodeParagraph"/>
              <w:keepNext/>
              <w:rPr>
                <w:rStyle w:val="Code"/>
              </w:rPr>
            </w:pPr>
            <w:r>
              <w:rPr>
                <w:rStyle w:val="Code"/>
              </w:rPr>
              <w:t xml:space="preserve">&lt;lg </w:t>
            </w:r>
            <w:r>
              <w:rPr>
                <w:rStyle w:val="Codeattribute"/>
              </w:rPr>
              <w:t>n=</w:t>
            </w:r>
            <w:r>
              <w:rPr>
                <w:rStyle w:val="Codevalue"/>
              </w:rPr>
              <w:t>"32"</w:t>
            </w:r>
            <w:r>
              <w:rPr>
                <w:rStyle w:val="Code"/>
              </w:rPr>
              <w:t xml:space="preserve"> </w:t>
            </w:r>
            <w:r>
              <w:rPr>
                <w:rStyle w:val="Codeattribute"/>
              </w:rPr>
              <w:t>met=</w:t>
            </w:r>
            <w:r>
              <w:rPr>
                <w:rStyle w:val="Codevalue"/>
              </w:rPr>
              <w:t>"vaṁśastha"</w:t>
            </w:r>
            <w:r>
              <w:rPr>
                <w:rStyle w:val="Code"/>
              </w:rPr>
              <w:t>&gt;</w:t>
            </w:r>
          </w:p>
          <w:p w14:paraId="4BE89C52" w14:textId="77777777">
            <w:pPr>
              <w:pStyle w:val="CodeParagraph"/>
              <w:keepNext/>
              <w:rPr>
                <w:rStyle w:val="Code"/>
              </w:rPr>
            </w:pPr>
            <w:r>
              <w:rPr>
                <w:rStyle w:val="Code"/>
              </w:rPr>
              <w:t xml:space="preserve">  &lt;l </w:t>
            </w:r>
            <w:r>
              <w:rPr>
                <w:rStyle w:val="Codeattribute"/>
              </w:rPr>
              <w:t>n</w:t>
            </w:r>
            <w:r>
              <w:rPr>
                <w:rStyle w:val="Codetext"/>
              </w:rPr>
              <w:t>=</w:t>
            </w:r>
            <w:r>
              <w:rPr>
                <w:rStyle w:val="Codevalue"/>
              </w:rPr>
              <w:t>"a"</w:t>
            </w:r>
            <w:r>
              <w:rPr>
                <w:rStyle w:val="Code"/>
              </w:rPr>
              <w:t xml:space="preserve"> </w:t>
            </w:r>
            <w:r>
              <w:rPr>
                <w:rStyle w:val="Codeattribute"/>
              </w:rPr>
              <w:t>enjamb</w:t>
            </w:r>
            <w:r>
              <w:rPr>
                <w:rStyle w:val="Codetext"/>
              </w:rPr>
              <w:t>=</w:t>
            </w:r>
            <w:r>
              <w:rPr>
                <w:rStyle w:val="Codevalue"/>
              </w:rPr>
              <w:t>"yes"</w:t>
            </w:r>
            <w:r>
              <w:rPr>
                <w:rStyle w:val="Code"/>
              </w:rPr>
              <w:t>&gt;</w:t>
            </w:r>
            <w:r>
              <w:rPr>
                <w:rStyle w:val="Codetext"/>
              </w:rPr>
              <w:t>sadā sva-vācā manasā ca karmmaṇā</w:t>
            </w:r>
            <w:r>
              <w:rPr>
                <w:rStyle w:val="Code"/>
              </w:rPr>
              <w:t>&lt;/l&gt;</w:t>
            </w:r>
          </w:p>
          <w:p w14:paraId="35C1E270" w14:textId="77777777">
            <w:pPr>
              <w:pStyle w:val="CodeParagraph"/>
              <w:keepNext/>
              <w:rPr>
                <w:rStyle w:val="Code"/>
              </w:rPr>
            </w:pPr>
            <w:r>
              <w:rPr>
                <w:rStyle w:val="Code"/>
              </w:rPr>
              <w:t xml:space="preserve">  &lt;l </w:t>
            </w:r>
            <w:r>
              <w:rPr>
                <w:rStyle w:val="Codeattribute"/>
              </w:rPr>
              <w:t>n</w:t>
            </w:r>
            <w:r>
              <w:rPr>
                <w:rStyle w:val="Codetext"/>
              </w:rPr>
              <w:t>=</w:t>
            </w:r>
            <w:r>
              <w:rPr>
                <w:rStyle w:val="Codevalue"/>
              </w:rPr>
              <w:t>"b"</w:t>
            </w:r>
            <w:r>
              <w:rPr>
                <w:rStyle w:val="Code"/>
              </w:rPr>
              <w:t>&gt;</w:t>
            </w:r>
            <w:r>
              <w:rPr>
                <w:rStyle w:val="Codetext"/>
              </w:rPr>
              <w:t>nvakāri yenādhiguṇena kuṇḍinaḥ</w:t>
            </w:r>
            <w:r>
              <w:rPr>
                <w:rStyle w:val="Code"/>
              </w:rPr>
              <w:t>&lt;/l&gt;</w:t>
            </w:r>
          </w:p>
          <w:p w14:paraId="6A18A4B2" w14:textId="77777777">
            <w:pPr>
              <w:pStyle w:val="CodeParagraph"/>
              <w:keepNext/>
              <w:rPr>
                <w:rStyle w:val="Code"/>
              </w:rPr>
            </w:pPr>
            <w:r>
              <w:rPr>
                <w:rStyle w:val="Code"/>
              </w:rPr>
              <w:t xml:space="preserve">  ...</w:t>
            </w:r>
          </w:p>
          <w:p w14:paraId="4E7341D7" w14:textId="77777777">
            <w:pPr>
              <w:pStyle w:val="CodeParagraph"/>
              <w:keepNext/>
            </w:pPr>
            <w:r>
              <w:rPr>
                <w:rStyle w:val="Code"/>
              </w:rPr>
              <w:t>&lt;/lg&gt;</w:t>
            </w:r>
          </w:p>
        </w:tc>
      </w:tr>
      <w:tr w14:paraId="43C77050" w14:textId="77777777">
        <w:tc>
          <w:tcPr>
            <w:tcW w:w="5000" w:type="pct"/>
          </w:tcPr>
          <w:p w14:paraId="5A6BC1C1" w14:textId="77777777">
            <w:pPr>
              <w:pStyle w:val="TableNote"/>
              <w:keepNext/>
            </w:pPr>
            <w:r>
              <w:t xml:space="preserve">the word </w:t>
            </w:r>
            <w:r>
              <w:rPr>
                <w:rStyle w:val="Foreign"/>
              </w:rPr>
              <w:t>anvakāri</w:t>
            </w:r>
            <w:r>
              <w:t xml:space="preserve"> is split between lines (its initial vowel being merged into the final </w:t>
            </w:r>
            <w:r>
              <w:rPr>
                <w:rStyle w:val="Foreign"/>
              </w:rPr>
              <w:t>ā</w:t>
            </w:r>
            <w:r>
              <w:t xml:space="preserve"> of the preceding word)</w:t>
            </w:r>
          </w:p>
          <w:p w14:paraId="72F50292" w14:textId="77777777">
            <w:pPr>
              <w:pStyle w:val="TableNote"/>
              <w:keepNext/>
            </w:pPr>
            <w:r>
              <w:t xml:space="preserve">splitting into </w:t>
            </w:r>
            <w:r>
              <w:rPr>
                <w:rStyle w:val="Codetext"/>
              </w:rPr>
              <w:t>karmmaṇā</w:t>
            </w:r>
            <w:r>
              <w:rPr>
                <w:rStyle w:val="Code"/>
              </w:rPr>
              <w:t>&lt;/l&gt;&lt;l&gt;</w:t>
            </w:r>
            <w:r>
              <w:rPr>
                <w:rStyle w:val="Codetext"/>
              </w:rPr>
              <w:t>nvakāri</w:t>
            </w:r>
            <w:r>
              <w:t xml:space="preserve"> puts the metrical boundary at an </w:t>
            </w:r>
            <w:r>
              <w:rPr>
                <w:rStyle w:val="Foreign"/>
              </w:rPr>
              <w:t>akṣara</w:t>
            </w:r>
            <w:r>
              <w:t xml:space="preserve"> boundary</w:t>
            </w:r>
          </w:p>
          <w:p w14:paraId="3C7085BD" w14:textId="77777777">
            <w:pPr>
              <w:pStyle w:val="TableNote"/>
              <w:keepNext/>
            </w:pPr>
            <w:r>
              <w:t xml:space="preserve">but the primary reason for splitting at this point was that it is closer to a word boundary than </w:t>
            </w:r>
            <w:r>
              <w:rPr>
                <w:rStyle w:val="Codetext"/>
              </w:rPr>
              <w:t>karmmaṇānv</w:t>
            </w:r>
            <w:r>
              <w:rPr>
                <w:rStyle w:val="Code"/>
              </w:rPr>
              <w:t>&lt;/l&gt;&lt;l&gt;</w:t>
            </w:r>
            <w:r>
              <w:rPr>
                <w:rStyle w:val="Codetext"/>
              </w:rPr>
              <w:t>akāri</w:t>
            </w:r>
            <w:r>
              <w:t xml:space="preserve"> would be (which is at the boundary of a prefix)</w:t>
            </w:r>
          </w:p>
        </w:tc>
      </w:tr>
      <w:tr w14:paraId="75822E8F" w14:textId="77777777">
        <w:tc>
          <w:tcPr>
            <w:tcW w:w="5000" w:type="pct"/>
          </w:tcPr>
          <w:p w14:paraId="552C7FEF" w14:textId="77777777">
            <w:pPr>
              <w:pStyle w:val="CodeParagraph"/>
              <w:keepNext/>
              <w:rPr>
                <w:rStyle w:val="Code"/>
              </w:rPr>
            </w:pPr>
            <w:r>
              <w:rPr>
                <w:rStyle w:val="Code"/>
              </w:rPr>
              <w:t xml:space="preserve">&lt;lg </w:t>
            </w:r>
            <w:r>
              <w:rPr>
                <w:rStyle w:val="Codeattribute"/>
              </w:rPr>
              <w:t>n=</w:t>
            </w:r>
            <w:r>
              <w:rPr>
                <w:rStyle w:val="Codevalue"/>
              </w:rPr>
              <w:t>"6"</w:t>
            </w:r>
            <w:r>
              <w:rPr>
                <w:rStyle w:val="Code"/>
              </w:rPr>
              <w:t xml:space="preserve"> </w:t>
            </w:r>
            <w:r>
              <w:rPr>
                <w:rStyle w:val="Codeattribute"/>
              </w:rPr>
              <w:t>met=</w:t>
            </w:r>
            <w:r>
              <w:rPr>
                <w:rStyle w:val="Codevalue"/>
              </w:rPr>
              <w:t>"anuṣṭubh"</w:t>
            </w:r>
            <w:r>
              <w:rPr>
                <w:rStyle w:val="Code"/>
              </w:rPr>
              <w:t>&gt;</w:t>
            </w:r>
          </w:p>
          <w:p w14:paraId="2734C99E" w14:textId="77777777">
            <w:pPr>
              <w:pStyle w:val="CodeParagraph"/>
              <w:keepNext/>
              <w:rPr>
                <w:rStyle w:val="Code"/>
              </w:rPr>
            </w:pPr>
            <w:r>
              <w:rPr>
                <w:rStyle w:val="Code"/>
              </w:rPr>
              <w:t xml:space="preserve">  &lt;l </w:t>
            </w:r>
            <w:r>
              <w:rPr>
                <w:rStyle w:val="Codeattribute"/>
              </w:rPr>
              <w:t>n</w:t>
            </w:r>
            <w:r>
              <w:rPr>
                <w:rStyle w:val="Codetext"/>
              </w:rPr>
              <w:t>=</w:t>
            </w:r>
            <w:r>
              <w:rPr>
                <w:rStyle w:val="Codevalue"/>
              </w:rPr>
              <w:t>"a"</w:t>
            </w:r>
            <w:r>
              <w:rPr>
                <w:rStyle w:val="Code"/>
              </w:rPr>
              <w:t xml:space="preserve"> </w:t>
            </w:r>
            <w:r>
              <w:rPr>
                <w:rStyle w:val="Codeattribute"/>
              </w:rPr>
              <w:t>enjamb</w:t>
            </w:r>
            <w:r>
              <w:rPr>
                <w:rStyle w:val="Codetext"/>
              </w:rPr>
              <w:t>=</w:t>
            </w:r>
            <w:r>
              <w:rPr>
                <w:rStyle w:val="Codevalue"/>
              </w:rPr>
              <w:t>"yes"</w:t>
            </w:r>
            <w:r>
              <w:rPr>
                <w:rStyle w:val="Code"/>
              </w:rPr>
              <w:t xml:space="preserve"> </w:t>
            </w:r>
            <w:r>
              <w:rPr>
                <w:rStyle w:val="Codeattribute"/>
              </w:rPr>
              <w:t>met</w:t>
            </w:r>
            <w:r>
              <w:rPr>
                <w:rStyle w:val="Codetext"/>
              </w:rPr>
              <w:t>=</w:t>
            </w:r>
            <w:r>
              <w:rPr>
                <w:rStyle w:val="Codevalue"/>
              </w:rPr>
              <w:t>"na-vipulā"</w:t>
            </w:r>
            <w:r>
              <w:rPr>
                <w:rStyle w:val="Code"/>
              </w:rPr>
              <w:t xml:space="preserve"> </w:t>
            </w:r>
            <w:r>
              <w:rPr>
                <w:rStyle w:val="Codeattribute"/>
              </w:rPr>
              <w:t>real</w:t>
            </w:r>
            <w:r>
              <w:rPr>
                <w:rStyle w:val="Codetext"/>
              </w:rPr>
              <w:t>=</w:t>
            </w:r>
            <w:r>
              <w:rPr>
                <w:rStyle w:val="Codevalue"/>
              </w:rPr>
              <w:t>"+-++---+"</w:t>
            </w:r>
            <w:r>
              <w:rPr>
                <w:rStyle w:val="Code"/>
              </w:rPr>
              <w:t>&gt;</w:t>
            </w:r>
            <w:r>
              <w:rPr>
                <w:rStyle w:val="Codetext"/>
              </w:rPr>
              <w:t>viṣṇurājas tad-anujasy</w:t>
            </w:r>
            <w:r>
              <w:rPr>
                <w:rStyle w:val="Code"/>
              </w:rPr>
              <w:t>&lt;/l&gt;</w:t>
            </w:r>
          </w:p>
          <w:p w14:paraId="2F278B6A" w14:textId="77777777">
            <w:pPr>
              <w:pStyle w:val="CodeParagraph"/>
              <w:keepNext/>
              <w:rPr>
                <w:rStyle w:val="Code"/>
              </w:rPr>
            </w:pPr>
            <w:r>
              <w:rPr>
                <w:rStyle w:val="Code"/>
              </w:rPr>
              <w:t xml:space="preserve">  &lt;l </w:t>
            </w:r>
            <w:r>
              <w:rPr>
                <w:rStyle w:val="Codeattribute"/>
              </w:rPr>
              <w:t>n</w:t>
            </w:r>
            <w:r>
              <w:rPr>
                <w:rStyle w:val="Codetext"/>
              </w:rPr>
              <w:t>=</w:t>
            </w:r>
            <w:r>
              <w:rPr>
                <w:rStyle w:val="Codevalue"/>
              </w:rPr>
              <w:t>"b"</w:t>
            </w:r>
            <w:r>
              <w:rPr>
                <w:rStyle w:val="Code"/>
              </w:rPr>
              <w:t>&gt;</w:t>
            </w:r>
            <w:r>
              <w:rPr>
                <w:rStyle w:val="Codetext"/>
              </w:rPr>
              <w:t>endrarājasya nandanaḥ</w:t>
            </w:r>
            <w:r>
              <w:rPr>
                <w:rStyle w:val="Code"/>
              </w:rPr>
              <w:t>&lt;/l&gt;</w:t>
            </w:r>
          </w:p>
          <w:p w14:paraId="1B1C3342" w14:textId="77777777">
            <w:pPr>
              <w:pStyle w:val="CodeParagraph"/>
              <w:keepNext/>
              <w:rPr>
                <w:rStyle w:val="Code"/>
              </w:rPr>
            </w:pPr>
            <w:r>
              <w:rPr>
                <w:rStyle w:val="Code"/>
              </w:rPr>
              <w:t xml:space="preserve">  ...</w:t>
            </w:r>
          </w:p>
          <w:p w14:paraId="23E724F9" w14:textId="77777777">
            <w:pPr>
              <w:pStyle w:val="CodeParagraph"/>
              <w:keepNext/>
            </w:pPr>
            <w:r>
              <w:rPr>
                <w:rStyle w:val="Code"/>
              </w:rPr>
              <w:t>&lt;/lg&gt;</w:t>
            </w:r>
          </w:p>
        </w:tc>
      </w:tr>
      <w:tr w14:paraId="0C748F04" w14:textId="77777777">
        <w:tc>
          <w:tcPr>
            <w:tcW w:w="5000" w:type="pct"/>
          </w:tcPr>
          <w:p w14:paraId="1E411671" w14:textId="77777777">
            <w:pPr>
              <w:pStyle w:val="TableNote"/>
              <w:keepNext/>
            </w:pPr>
            <w:r>
              <w:t xml:space="preserve">the word </w:t>
            </w:r>
            <w:r>
              <w:rPr>
                <w:rStyle w:val="Foreign"/>
              </w:rPr>
              <w:t>anujasya</w:t>
            </w:r>
            <w:r>
              <w:t xml:space="preserve"> is split between lines (its final vowel being merged into the initial vowel of the following </w:t>
            </w:r>
            <w:r>
              <w:rPr>
                <w:rStyle w:val="Foreign"/>
              </w:rPr>
              <w:t>indrarājasya</w:t>
            </w:r>
            <w:r>
              <w:t>)</w:t>
            </w:r>
          </w:p>
          <w:p w14:paraId="4206B582" w14:textId="77777777">
            <w:pPr>
              <w:pStyle w:val="TableNote"/>
              <w:keepNext/>
            </w:pPr>
            <w:r>
              <w:t xml:space="preserve">splitting into </w:t>
            </w:r>
            <w:r>
              <w:rPr>
                <w:rStyle w:val="Codetext"/>
              </w:rPr>
              <w:t>tad-anuja</w:t>
            </w:r>
            <w:r>
              <w:rPr>
                <w:rStyle w:val="Code"/>
              </w:rPr>
              <w:t>&lt;/l&gt;&lt;l&gt;</w:t>
            </w:r>
            <w:r>
              <w:rPr>
                <w:rStyle w:val="Codetext"/>
              </w:rPr>
              <w:t>syendrarājasya</w:t>
            </w:r>
            <w:r>
              <w:t xml:space="preserve"> would place the split further away from the word boundary, which is not desirable</w:t>
            </w:r>
          </w:p>
          <w:p w14:paraId="166E0882" w14:textId="77777777">
            <w:pPr>
              <w:pStyle w:val="TableNote"/>
              <w:keepNext/>
            </w:pPr>
            <w:r>
              <w:t xml:space="preserve">the preferred splitting does not, in this case, coincide with an </w:t>
            </w:r>
            <w:r>
              <w:rPr>
                <w:rStyle w:val="Foreign"/>
              </w:rPr>
              <w:t>akṣara</w:t>
            </w:r>
            <w:r>
              <w:t xml:space="preserve"> boundary</w:t>
            </w:r>
          </w:p>
          <w:p w14:paraId="16491342" w14:textId="3AEBBA44">
            <w:pPr>
              <w:pStyle w:val="TableNote"/>
              <w:keepNext/>
            </w:pPr>
            <w:r>
              <w:t xml:space="preserve">the </w:t>
            </w:r>
            <w:r>
              <w:rPr>
                <w:rStyle w:val="Foreign"/>
              </w:rPr>
              <w:t>vipulā</w:t>
            </w:r>
            <w:r>
              <w:t xml:space="preserve"> metre, incidental to this illustration, is encoded as per §</w:t>
            </w:r>
            <w:r>
              <w:fldChar w:fldCharType="begin"/>
            </w:r>
            <w:r>
              <w:instrText xml:space="preserve"> REF _Ref224725166 \r \h </w:instrText>
            </w:r>
            <w:r>
              <w:fldChar w:fldCharType="separate"/>
            </w:r>
            <w:r>
              <w:t>3.3.4.1</w:t>
            </w:r>
            <w:r>
              <w:fldChar w:fldCharType="end"/>
            </w:r>
          </w:p>
        </w:tc>
      </w:tr>
      <w:tr w14:paraId="61FE8E01" w14:textId="77777777">
        <w:tc>
          <w:tcPr>
            <w:tcW w:w="5000" w:type="pct"/>
          </w:tcPr>
          <w:p w14:paraId="6E9F3D3B" w14:textId="77777777">
            <w:pPr>
              <w:pStyle w:val="CodeParagraph"/>
              <w:keepNext/>
              <w:rPr>
                <w:rStyle w:val="Code"/>
              </w:rPr>
            </w:pPr>
            <w:r>
              <w:rPr>
                <w:rStyle w:val="Code"/>
              </w:rPr>
              <w:t xml:space="preserve">&lt;lg </w:t>
            </w:r>
            <w:r>
              <w:rPr>
                <w:rStyle w:val="Codeattribute"/>
              </w:rPr>
              <w:t>n=</w:t>
            </w:r>
            <w:r>
              <w:rPr>
                <w:rStyle w:val="Codevalue"/>
              </w:rPr>
              <w:t>"2"</w:t>
            </w:r>
            <w:r>
              <w:rPr>
                <w:rStyle w:val="Code"/>
              </w:rPr>
              <w:t xml:space="preserve"> </w:t>
            </w:r>
            <w:r>
              <w:rPr>
                <w:rStyle w:val="Codeattribute"/>
              </w:rPr>
              <w:t>met=</w:t>
            </w:r>
            <w:r>
              <w:rPr>
                <w:rStyle w:val="Codevalue"/>
              </w:rPr>
              <w:t>"sragdharā"</w:t>
            </w:r>
            <w:r>
              <w:rPr>
                <w:rStyle w:val="Code"/>
              </w:rPr>
              <w:t>&gt;</w:t>
            </w:r>
          </w:p>
          <w:p w14:paraId="6DFCE3C9" w14:textId="77777777">
            <w:pPr>
              <w:pStyle w:val="CodeParagraph"/>
              <w:keepNext/>
              <w:rPr>
                <w:rStyle w:val="Code"/>
              </w:rPr>
            </w:pPr>
            <w:r>
              <w:rPr>
                <w:rStyle w:val="Code"/>
              </w:rPr>
              <w:t xml:space="preserve">  ...</w:t>
            </w:r>
          </w:p>
          <w:p w14:paraId="19BB90D4" w14:textId="77777777">
            <w:pPr>
              <w:pStyle w:val="CodeParagraph"/>
              <w:keepNext/>
              <w:rPr>
                <w:rStyle w:val="Code"/>
              </w:rPr>
            </w:pPr>
            <w:r>
              <w:rPr>
                <w:rStyle w:val="Code"/>
              </w:rPr>
              <w:t xml:space="preserve">  &lt;l </w:t>
            </w:r>
            <w:r>
              <w:rPr>
                <w:rStyle w:val="Codeattribute"/>
              </w:rPr>
              <w:t>n</w:t>
            </w:r>
            <w:r>
              <w:rPr>
                <w:rStyle w:val="Codetext"/>
              </w:rPr>
              <w:t>=</w:t>
            </w:r>
            <w:r>
              <w:rPr>
                <w:rStyle w:val="Codevalue"/>
              </w:rPr>
              <w:t>"c"</w:t>
            </w:r>
            <w:r>
              <w:rPr>
                <w:rStyle w:val="Code"/>
              </w:rPr>
              <w:t xml:space="preserve"> </w:t>
            </w:r>
            <w:r>
              <w:rPr>
                <w:rStyle w:val="Codeattribute"/>
              </w:rPr>
              <w:t>enjamb</w:t>
            </w:r>
            <w:r>
              <w:rPr>
                <w:rStyle w:val="Codetext"/>
              </w:rPr>
              <w:t>=</w:t>
            </w:r>
            <w:r>
              <w:rPr>
                <w:rStyle w:val="Codevalue"/>
              </w:rPr>
              <w:t>"yes"</w:t>
            </w:r>
            <w:r>
              <w:rPr>
                <w:rStyle w:val="Code"/>
              </w:rPr>
              <w:t>&gt;</w:t>
            </w:r>
            <w:r>
              <w:rPr>
                <w:rStyle w:val="Codetext"/>
              </w:rPr>
              <w:t>lokeśas sthāpito ’pīśvara-guṇa-nipuṇo vismayo nāpy akāryy atr</w:t>
            </w:r>
            <w:r>
              <w:rPr>
                <w:rStyle w:val="Code"/>
              </w:rPr>
              <w:t>&lt;/l&gt;</w:t>
            </w:r>
          </w:p>
          <w:p w14:paraId="4BAFE3C4" w14:textId="77777777">
            <w:pPr>
              <w:pStyle w:val="CodeParagraph"/>
              <w:keepNext/>
              <w:rPr>
                <w:rStyle w:val="Code"/>
              </w:rPr>
            </w:pPr>
            <w:r>
              <w:rPr>
                <w:rStyle w:val="Code"/>
              </w:rPr>
              <w:t xml:space="preserve">  &lt;l </w:t>
            </w:r>
            <w:r>
              <w:rPr>
                <w:rStyle w:val="Codeattribute"/>
              </w:rPr>
              <w:t>n</w:t>
            </w:r>
            <w:r>
              <w:rPr>
                <w:rStyle w:val="Codetext"/>
              </w:rPr>
              <w:t>=</w:t>
            </w:r>
            <w:r>
              <w:rPr>
                <w:rStyle w:val="Codevalue"/>
              </w:rPr>
              <w:t>"d"</w:t>
            </w:r>
            <w:r>
              <w:rPr>
                <w:rStyle w:val="Code"/>
              </w:rPr>
              <w:t>&gt;</w:t>
            </w:r>
            <w:r>
              <w:rPr>
                <w:rStyle w:val="Codetext"/>
              </w:rPr>
              <w:t>āsevīhājñayānāvinamita-matinā duṣṭa-vākyañ ca dharmme</w:t>
            </w:r>
            <w:r>
              <w:rPr>
                <w:rStyle w:val="Code"/>
              </w:rPr>
              <w:t>&lt;/l&gt;</w:t>
            </w:r>
          </w:p>
          <w:p w14:paraId="35C1AC5F" w14:textId="77777777">
            <w:pPr>
              <w:pStyle w:val="CodeParagraph"/>
              <w:keepNext/>
            </w:pPr>
            <w:r>
              <w:rPr>
                <w:rStyle w:val="Code"/>
              </w:rPr>
              <w:t>&lt;/lg&gt;</w:t>
            </w:r>
          </w:p>
        </w:tc>
      </w:tr>
      <w:tr w14:paraId="75DE14A4" w14:textId="77777777">
        <w:tc>
          <w:tcPr>
            <w:tcW w:w="5000" w:type="pct"/>
          </w:tcPr>
          <w:p w14:paraId="7D9A9FDD" w14:textId="77777777">
            <w:pPr>
              <w:pStyle w:val="TableNote"/>
            </w:pPr>
            <w:r>
              <w:t xml:space="preserve">the word </w:t>
            </w:r>
            <w:r>
              <w:rPr>
                <w:rStyle w:val="Foreign"/>
              </w:rPr>
              <w:t>atra</w:t>
            </w:r>
            <w:r>
              <w:t xml:space="preserve"> is split between lines (its final vowel being merged into the initial vowel of the following </w:t>
            </w:r>
            <w:r>
              <w:rPr>
                <w:rStyle w:val="Foreign"/>
              </w:rPr>
              <w:t>asevi</w:t>
            </w:r>
            <w:r>
              <w:t>)</w:t>
            </w:r>
          </w:p>
          <w:p w14:paraId="2FF3E9E1" w14:textId="77777777">
            <w:pPr>
              <w:pStyle w:val="TableNote"/>
            </w:pPr>
            <w:r>
              <w:t xml:space="preserve">splitting into </w:t>
            </w:r>
            <w:r>
              <w:rPr>
                <w:rStyle w:val="Codetext"/>
              </w:rPr>
              <w:t>akāryy a</w:t>
            </w:r>
            <w:r>
              <w:rPr>
                <w:rStyle w:val="Code"/>
              </w:rPr>
              <w:t>&lt;/l&gt;&lt;l&gt;</w:t>
            </w:r>
            <w:r>
              <w:rPr>
                <w:rStyle w:val="Codetext"/>
              </w:rPr>
              <w:t>trāsevī°</w:t>
            </w:r>
            <w:r>
              <w:t xml:space="preserve"> would be equally acceptable on the basis of proximity to a word boundary</w:t>
            </w:r>
          </w:p>
          <w:p w14:paraId="3B603BAC" w14:textId="77777777">
            <w:pPr>
              <w:pStyle w:val="TableNote"/>
            </w:pPr>
            <w:r>
              <w:t xml:space="preserve">but semantically, </w:t>
            </w:r>
            <w:r>
              <w:rPr>
                <w:rStyle w:val="Foreign"/>
              </w:rPr>
              <w:t>atra</w:t>
            </w:r>
            <w:r>
              <w:t xml:space="preserve"> belongs to the former line, so putting most of this word into that line is preferable to keeping the </w:t>
            </w:r>
            <w:r>
              <w:rPr>
                <w:rStyle w:val="Foreign"/>
              </w:rPr>
              <w:t>akṣara</w:t>
            </w:r>
            <w:r>
              <w:t xml:space="preserve"> boundary intact</w:t>
            </w:r>
          </w:p>
        </w:tc>
      </w:tr>
    </w:tbl>
    <w:p w14:paraId="63CACBA4" w14:textId="77777777"/>
    <w:tbl>
      <w:tblPr>
        <w:tblStyle w:val="CodeSampleTable"/>
        <w:tblW w:w="5000" w:type="pct"/>
        <w:tblLook w:val="04A0" w:firstRow="1" w:lastRow="0" w:firstColumn="1" w:lastColumn="0" w:noHBand="0" w:noVBand="1"/>
      </w:tblPr>
      <w:tblGrid>
        <w:gridCol w:w="9628"/>
      </w:tblGrid>
      <w:tr w14:paraId="0F127E7E"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5F33A5A" w14:textId="0B890CB7">
            <w:pPr>
              <w:pStyle w:val="Kpalrs"/>
            </w:pPr>
            <w:bookmarkStart w:id="118" w:name="_Ref43995893"/>
            <w:r>
              <w:t xml:space="preserve">Exhibit </w:t>
            </w:r>
            <w:fldSimple w:instr=" STYLEREF 2 \s ">
              <w:r>
                <w:rPr>
                  <w:noProof/>
                </w:rPr>
                <w:t>3.2</w:t>
              </w:r>
            </w:fldSimple>
            <w:r>
              <w:t>.</w:t>
            </w:r>
            <w:fldSimple w:instr=" SEQ Exhibit \* ALPHABETIC \s 4 ">
              <w:r>
                <w:rPr>
                  <w:noProof/>
                </w:rPr>
                <w:t>K</w:t>
              </w:r>
            </w:fldSimple>
            <w:bookmarkEnd w:id="118"/>
            <w:r>
              <w:t>: extraneous text fused to the end of a stanza</w:t>
            </w:r>
          </w:p>
        </w:tc>
      </w:tr>
      <w:tr w14:paraId="2443F768" w14:textId="77777777">
        <w:tc>
          <w:tcPr>
            <w:tcW w:w="5000" w:type="pct"/>
          </w:tcPr>
          <w:p w14:paraId="538B5B8C" w14:textId="77777777">
            <w:pPr>
              <w:pStyle w:val="CodeParagraph"/>
              <w:keepNext/>
              <w:rPr>
                <w:color w:val="000080"/>
                <w:shd w:val="clear" w:color="auto" w:fill="F8F8F8"/>
              </w:rPr>
            </w:pPr>
            <w:r>
              <w:rPr>
                <w:rStyle w:val="Code"/>
              </w:rPr>
              <w:t>&lt;lg&gt;</w:t>
            </w:r>
            <w:r>
              <w:rPr>
                <w:rStyle w:val="Codetext"/>
              </w:rPr>
              <w:br/>
              <w:t xml:space="preserve">  ...</w:t>
            </w:r>
            <w:r>
              <w:rPr>
                <w:rStyle w:val="Codetext"/>
              </w:rPr>
              <w:br/>
            </w:r>
            <w:r>
              <w:rPr>
                <w:rStyle w:val="Code"/>
              </w:rPr>
              <w:t xml:space="preserve">  &lt;l </w:t>
            </w:r>
            <w:r>
              <w:rPr>
                <w:rStyle w:val="Codeattribute"/>
              </w:rPr>
              <w:t>n</w:t>
            </w:r>
            <w:r>
              <w:rPr>
                <w:rStyle w:val="Code"/>
              </w:rPr>
              <w:t>=</w:t>
            </w:r>
            <w:r>
              <w:rPr>
                <w:rStyle w:val="Codevalue"/>
              </w:rPr>
              <w:t>"d"</w:t>
            </w:r>
            <w:r>
              <w:rPr>
                <w:rStyle w:val="Code"/>
              </w:rPr>
              <w:t>&gt;</w:t>
            </w:r>
            <w:r>
              <w:rPr>
                <w:rStyle w:val="Codetext"/>
              </w:rPr>
              <w:t>pitr̥bhiḥ saha majjat</w:t>
            </w:r>
            <w:r>
              <w:rPr>
                <w:rStyle w:val="Code"/>
              </w:rPr>
              <w:t>&lt;choice&gt;&lt;orig&gt;</w:t>
            </w:r>
            <w:r>
              <w:rPr>
                <w:rStyle w:val="Codetext"/>
              </w:rPr>
              <w:t>ī</w:t>
            </w:r>
            <w:r>
              <w:rPr>
                <w:rStyle w:val="Code"/>
              </w:rPr>
              <w:t>&lt;/orig&gt;&lt;reg&gt;</w:t>
            </w:r>
            <w:r>
              <w:rPr>
                <w:rStyle w:val="Codetext"/>
              </w:rPr>
              <w:t>i</w:t>
            </w:r>
            <w:r>
              <w:rPr>
                <w:rStyle w:val="Code"/>
              </w:rPr>
              <w:t>&lt;/reg&gt;&lt;/choice&gt;&lt;/l&gt;</w:t>
            </w:r>
            <w:r>
              <w:rPr>
                <w:rStyle w:val="Codetext"/>
              </w:rPr>
              <w:br/>
            </w:r>
            <w:r>
              <w:rPr>
                <w:rStyle w:val="Code"/>
              </w:rPr>
              <w:t>&lt;/lg&gt;</w:t>
            </w:r>
            <w:r>
              <w:rPr>
                <w:rStyle w:val="Codetext"/>
              </w:rPr>
              <w:br/>
            </w:r>
            <w:r>
              <w:rPr>
                <w:rStyle w:val="Code"/>
              </w:rPr>
              <w:t>&lt;ab&gt;&lt;choice&gt;&lt;orig&gt;</w:t>
            </w:r>
            <w:r>
              <w:rPr>
                <w:rStyle w:val="Codetext"/>
              </w:rPr>
              <w:t>ti</w:t>
            </w:r>
            <w:r>
              <w:rPr>
                <w:rStyle w:val="Code"/>
              </w:rPr>
              <w:t>&lt;/orig&gt;&lt;reg&gt;</w:t>
            </w:r>
            <w:r>
              <w:rPr>
                <w:rStyle w:val="Codetext"/>
              </w:rPr>
              <w:t>Iti</w:t>
            </w:r>
            <w:r>
              <w:rPr>
                <w:rStyle w:val="Code"/>
              </w:rPr>
              <w:t>&lt;/reg&gt;&lt;/choice&gt;&lt;/ab&gt;</w:t>
            </w:r>
            <w:r>
              <w:rPr>
                <w:rStyle w:val="Codetext"/>
              </w:rPr>
              <w:br/>
            </w:r>
            <w:r>
              <w:rPr>
                <w:rStyle w:val="Code"/>
              </w:rPr>
              <w:t>&lt;p&gt;</w:t>
            </w:r>
            <w:r>
              <w:rPr>
                <w:rStyle w:val="Codetext"/>
              </w:rPr>
              <w:t xml:space="preserve">saṁvatsara-śate ... </w:t>
            </w:r>
            <w:r>
              <w:rPr>
                <w:rStyle w:val="Code"/>
              </w:rPr>
              <w:t>&lt;/p&gt;</w:t>
            </w:r>
          </w:p>
        </w:tc>
      </w:tr>
      <w:tr w14:paraId="0953EB6D" w14:textId="77777777">
        <w:tc>
          <w:tcPr>
            <w:tcW w:w="5000" w:type="pct"/>
          </w:tcPr>
          <w:p w14:paraId="5E7719AF" w14:textId="77777777">
            <w:pPr>
              <w:pStyle w:val="TableNote"/>
            </w:pPr>
            <w:r>
              <w:t xml:space="preserve">the string </w:t>
            </w:r>
            <w:r>
              <w:rPr>
                <w:rStyle w:val="Foreign"/>
              </w:rPr>
              <w:t>majjatīti</w:t>
            </w:r>
            <w:r>
              <w:t xml:space="preserve"> is resolved into </w:t>
            </w:r>
            <w:r>
              <w:rPr>
                <w:rStyle w:val="Foreign"/>
              </w:rPr>
              <w:t>majjati Iti</w:t>
            </w:r>
            <w:r>
              <w:t xml:space="preserve"> to allow a container break between these words</w:t>
            </w:r>
          </w:p>
          <w:p w14:paraId="1A2144AA" w14:textId="77777777">
            <w:pPr>
              <w:pStyle w:val="TableNote"/>
            </w:pPr>
            <w:r>
              <w:t xml:space="preserve">since </w:t>
            </w:r>
            <w:r>
              <w:rPr>
                <w:rStyle w:val="Foreign"/>
              </w:rPr>
              <w:t>iti</w:t>
            </w:r>
            <w:r>
              <w:t xml:space="preserve"> does not belong semantically to the paragraph after the stanza </w:t>
            </w:r>
            <w:r>
              <w:rPr>
                <w:noProof/>
              </w:rPr>
              <w:t>(</w:t>
            </w:r>
            <w:r>
              <w:t xml:space="preserve">being used simply as an end-quote mark), a separate </w:t>
            </w:r>
            <w:r>
              <w:rPr>
                <w:rStyle w:val="Code"/>
              </w:rPr>
              <w:t>&lt;ab&gt;</w:t>
            </w:r>
            <w:r>
              <w:t xml:space="preserve"> container is created for </w:t>
            </w:r>
            <w:r>
              <w:rPr>
                <w:rStyle w:val="Foreign"/>
              </w:rPr>
              <w:t>iti</w:t>
            </w:r>
            <w:r>
              <w:t xml:space="preserve"> between the preceding </w:t>
            </w:r>
            <w:r>
              <w:rPr>
                <w:rStyle w:val="Code"/>
              </w:rPr>
              <w:t>&lt;lg&gt;</w:t>
            </w:r>
            <w:r>
              <w:t xml:space="preserve"> and the following </w:t>
            </w:r>
            <w:r>
              <w:rPr>
                <w:rStyle w:val="Code"/>
              </w:rPr>
              <w:t>&lt;p&gt;</w:t>
            </w:r>
          </w:p>
        </w:tc>
      </w:tr>
    </w:tbl>
    <w:p w14:paraId="737B7AE1" w14:textId="77777777"/>
    <w:tbl>
      <w:tblPr>
        <w:tblStyle w:val="CodeSampleTable"/>
        <w:tblW w:w="5000" w:type="pct"/>
        <w:tblLook w:val="04A0" w:firstRow="1" w:lastRow="0" w:firstColumn="1" w:lastColumn="0" w:noHBand="0" w:noVBand="1"/>
      </w:tblPr>
      <w:tblGrid>
        <w:gridCol w:w="9628"/>
      </w:tblGrid>
      <w:tr w14:paraId="41C61D6C"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325F21D" w14:textId="5BFEE156">
            <w:pPr>
              <w:pStyle w:val="Kpalrs"/>
            </w:pPr>
            <w:bookmarkStart w:id="119" w:name="_Ref43996267"/>
            <w:r>
              <w:t xml:space="preserve">Exhibit </w:t>
            </w:r>
            <w:fldSimple w:instr=" STYLEREF 2 \s ">
              <w:r>
                <w:rPr>
                  <w:noProof/>
                </w:rPr>
                <w:t>3.2</w:t>
              </w:r>
            </w:fldSimple>
            <w:r>
              <w:t>.</w:t>
            </w:r>
            <w:fldSimple w:instr=" SEQ Exhibit \* ALPHABETIC \s 4 ">
              <w:r>
                <w:rPr>
                  <w:noProof/>
                </w:rPr>
                <w:t>L</w:t>
              </w:r>
            </w:fldSimple>
            <w:bookmarkEnd w:id="119"/>
            <w:r>
              <w:t>: paragraph boundary fused in sandhi</w:t>
            </w:r>
          </w:p>
        </w:tc>
      </w:tr>
      <w:tr w14:paraId="50CD7EB8" w14:textId="77777777">
        <w:tc>
          <w:tcPr>
            <w:tcW w:w="5000" w:type="pct"/>
          </w:tcPr>
          <w:p w14:paraId="68639EBC" w14:textId="77777777">
            <w:pPr>
              <w:pStyle w:val="CodeParagraph"/>
              <w:keepNext/>
            </w:pPr>
            <w:r>
              <w:rPr>
                <w:rStyle w:val="Code"/>
              </w:rPr>
              <w:t>&lt;p&gt;</w:t>
            </w:r>
            <w:r>
              <w:rPr>
                <w:rStyle w:val="Codetext"/>
              </w:rPr>
              <w:t xml:space="preserve"> ... puṇye tithau muhūrtte c</w:t>
            </w:r>
            <w:r>
              <w:rPr>
                <w:rStyle w:val="Code"/>
              </w:rPr>
              <w:t>&lt;choice&gt;&lt;orig&gt;</w:t>
            </w:r>
            <w:r>
              <w:rPr>
                <w:rStyle w:val="Codetext"/>
              </w:rPr>
              <w:t>ā</w:t>
            </w:r>
            <w:r>
              <w:rPr>
                <w:rStyle w:val="Code"/>
              </w:rPr>
              <w:t>&lt;/orig&gt;&lt;reg&gt;</w:t>
            </w:r>
            <w:r>
              <w:rPr>
                <w:rStyle w:val="Codetext"/>
              </w:rPr>
              <w:t>a</w:t>
            </w:r>
            <w:r>
              <w:rPr>
                <w:rStyle w:val="Code"/>
              </w:rPr>
              <w:t>&lt;/reg&gt;&lt;/choice&gt;&lt;/p&gt;</w:t>
            </w:r>
            <w:r>
              <w:rPr>
                <w:rStyle w:val="Codetext"/>
              </w:rPr>
              <w:br/>
            </w:r>
            <w:r>
              <w:rPr>
                <w:rStyle w:val="Code"/>
              </w:rPr>
              <w:t>&lt;p&gt;&lt;choice&gt;&lt;orig&gt;</w:t>
            </w:r>
            <w:r>
              <w:rPr>
                <w:rStyle w:val="Codetext"/>
              </w:rPr>
              <w:t>smin</w:t>
            </w:r>
            <w:r>
              <w:rPr>
                <w:rStyle w:val="Code"/>
              </w:rPr>
              <w:t>&lt;/orig&gt;&lt;reg&gt;</w:t>
            </w:r>
            <w:r>
              <w:rPr>
                <w:rStyle w:val="Codetext"/>
              </w:rPr>
              <w:t>Asmin</w:t>
            </w:r>
            <w:r>
              <w:rPr>
                <w:rStyle w:val="Code"/>
              </w:rPr>
              <w:t>&lt;/reg&gt;&lt;/choice&gt;</w:t>
            </w:r>
            <w:r>
              <w:rPr>
                <w:rStyle w:val="Codetext"/>
              </w:rPr>
              <w:t xml:space="preserve"> divasa-māsa-samvatsare ... </w:t>
            </w:r>
            <w:r>
              <w:rPr>
                <w:rStyle w:val="Code"/>
              </w:rPr>
              <w:t>&lt;/p&gt;</w:t>
            </w:r>
          </w:p>
        </w:tc>
      </w:tr>
      <w:tr w14:paraId="2147E03E" w14:textId="77777777">
        <w:tc>
          <w:tcPr>
            <w:tcW w:w="5000" w:type="pct"/>
          </w:tcPr>
          <w:p w14:paraId="76832C50" w14:textId="77777777">
            <w:pPr>
              <w:pStyle w:val="TableNote"/>
            </w:pPr>
            <w:r>
              <w:t xml:space="preserve">the string </w:t>
            </w:r>
            <w:r>
              <w:rPr>
                <w:rStyle w:val="Foreign"/>
              </w:rPr>
              <w:t>cāsmin</w:t>
            </w:r>
            <w:r>
              <w:t xml:space="preserve"> is normalised to </w:t>
            </w:r>
            <w:r>
              <w:rPr>
                <w:rStyle w:val="Foreign"/>
              </w:rPr>
              <w:t>ca Asmin</w:t>
            </w:r>
            <w:r>
              <w:t xml:space="preserve"> to allow a paragraph break between these words</w:t>
            </w:r>
          </w:p>
        </w:tc>
      </w:tr>
    </w:tbl>
    <w:p w14:paraId="5D7262A5" w14:textId="77777777">
      <w:pPr>
        <w:pStyle w:val="Cmsor4"/>
      </w:pPr>
      <w:r>
        <w:lastRenderedPageBreak/>
        <w:t>Interrupted words</w:t>
      </w:r>
    </w:p>
    <w:p w14:paraId="083F2FA8" w14:textId="60FE4D72">
      <w:pPr>
        <w:rPr>
          <w:lang w:eastAsia="en-US" w:bidi="ar-SA"/>
        </w:rPr>
      </w:pPr>
      <w:r>
        <w:rPr>
          <w:lang w:eastAsia="en-US" w:bidi="ar-SA"/>
        </w:rPr>
        <w:t xml:space="preserve">Prose blocks must never be created in such a way that they end within an integral word. However, verse lines may occasionally end in such a position. If this happens, the usual reason is that a boundary between compound members is in fact present, but it is not segmented in our edition because the compound is a proper name (and vowel fusion may also apply, as in </w:t>
      </w:r>
      <w:r>
        <w:rPr>
          <w:lang w:eastAsia="en-US" w:bidi="ar-SA"/>
        </w:rPr>
        <w:fldChar w:fldCharType="begin"/>
      </w:r>
      <w:r>
        <w:rPr>
          <w:lang w:eastAsia="en-US" w:bidi="ar-SA"/>
        </w:rPr>
        <w:instrText xml:space="preserve"> REF _Ref181627544 \h </w:instrText>
      </w:r>
      <w:r>
        <w:rPr>
          <w:lang w:eastAsia="en-US" w:bidi="ar-SA"/>
        </w:rPr>
      </w:r>
      <w:r>
        <w:rPr>
          <w:lang w:eastAsia="en-US" w:bidi="ar-SA"/>
        </w:rPr>
        <w:fldChar w:fldCharType="separate"/>
      </w:r>
      <w:r>
        <w:t xml:space="preserve">Exhibit </w:t>
      </w:r>
      <w:r>
        <w:rPr>
          <w:noProof/>
        </w:rPr>
        <w:t>3.2</w:t>
      </w:r>
      <w:r>
        <w:t>.</w:t>
      </w:r>
      <w:r>
        <w:rPr>
          <w:noProof/>
        </w:rPr>
        <w:t>M</w:t>
      </w:r>
      <w:r>
        <w:rPr>
          <w:lang w:eastAsia="en-US" w:bidi="ar-SA"/>
        </w:rPr>
        <w:fldChar w:fldCharType="end"/>
      </w:r>
      <w:r>
        <w:rPr>
          <w:lang w:eastAsia="en-US" w:bidi="ar-SA"/>
        </w:rPr>
        <w:t xml:space="preserve">). Rarely, a verse line may end between bound morphemes (e.g. between a prefix and a verbal stem) and even more rarely, the end may be inside an atomic morpheme (as in </w:t>
      </w:r>
      <w:r>
        <w:rPr>
          <w:lang w:eastAsia="en-US" w:bidi="ar-SA"/>
        </w:rPr>
        <w:fldChar w:fldCharType="begin"/>
      </w:r>
      <w:r>
        <w:rPr>
          <w:lang w:eastAsia="en-US" w:bidi="ar-SA"/>
        </w:rPr>
        <w:instrText xml:space="preserve"> REF _Ref224920202 \h </w:instrText>
      </w:r>
      <w:r>
        <w:rPr>
          <w:lang w:eastAsia="en-US" w:bidi="ar-SA"/>
        </w:rPr>
      </w:r>
      <w:r>
        <w:rPr>
          <w:lang w:eastAsia="en-US" w:bidi="ar-SA"/>
        </w:rPr>
        <w:fldChar w:fldCharType="separate"/>
      </w:r>
      <w:r>
        <w:t xml:space="preserve">Exhibit </w:t>
      </w:r>
      <w:r>
        <w:rPr>
          <w:noProof/>
        </w:rPr>
        <w:t>3.2</w:t>
      </w:r>
      <w:r>
        <w:t>.</w:t>
      </w:r>
      <w:r>
        <w:rPr>
          <w:noProof/>
        </w:rPr>
        <w:t>N</w:t>
      </w:r>
      <w:r>
        <w:rPr>
          <w:lang w:eastAsia="en-US" w:bidi="ar-SA"/>
        </w:rPr>
        <w:fldChar w:fldCharType="end"/>
      </w:r>
      <w:r>
        <w:rPr>
          <w:lang w:eastAsia="en-US" w:bidi="ar-SA"/>
        </w:rPr>
        <w:t>). The former is generally frowned upon by traditional authorities on versification, while the latter is usually considered a grave error on the part of the poet.</w:t>
      </w:r>
    </w:p>
    <w:p w14:paraId="7B140017" w14:textId="77777777">
      <w:pPr>
        <w:pStyle w:val="Lista"/>
        <w:rPr>
          <w:lang w:eastAsia="en-US" w:bidi="ar-SA"/>
        </w:rPr>
      </w:pPr>
      <w:r>
        <w:rPr>
          <w:lang w:eastAsia="en-US" w:bidi="ar-SA"/>
        </w:rPr>
        <w:t>in all such cases, provided that the metre of the verse is correct</w:t>
      </w:r>
    </w:p>
    <w:p w14:paraId="49547E2C" w14:textId="77777777">
      <w:pPr>
        <w:pStyle w:val="Lista2"/>
        <w:rPr>
          <w:lang w:eastAsia="en-US" w:bidi="ar-SA"/>
        </w:rPr>
      </w:pPr>
      <w:r>
        <w:rPr>
          <w:lang w:eastAsia="en-US" w:bidi="ar-SA"/>
        </w:rPr>
        <w:t>encode the boundary at the point that makes sense to you</w:t>
      </w:r>
    </w:p>
    <w:p w14:paraId="497935BA" w14:textId="77777777">
      <w:pPr>
        <w:pStyle w:val="Lista3"/>
        <w:rPr>
          <w:lang w:eastAsia="en-US" w:bidi="ar-SA"/>
        </w:rPr>
      </w:pPr>
      <w:r>
        <w:rPr>
          <w:lang w:eastAsia="en-US" w:bidi="ar-SA"/>
        </w:rPr>
        <w:t>making sure that the lines on both sides of the boundary have the required number of syllables</w:t>
      </w:r>
    </w:p>
    <w:p w14:paraId="4A0EEEF2" w14:textId="3FA35AE8">
      <w:pPr>
        <w:pStyle w:val="Lista2"/>
        <w:rPr>
          <w:lang w:eastAsia="en-US" w:bidi="ar-SA"/>
        </w:rPr>
      </w:pPr>
      <w:r>
        <w:t>encode enjambement on the former line (§</w:t>
      </w:r>
      <w:r>
        <w:fldChar w:fldCharType="begin"/>
      </w:r>
      <w:r>
        <w:instrText xml:space="preserve"> REF _Ref224901083 \r \h </w:instrText>
      </w:r>
      <w:r>
        <w:fldChar w:fldCharType="separate"/>
      </w:r>
      <w:r>
        <w:t>3.2.4.1</w:t>
      </w:r>
      <w:r>
        <w:fldChar w:fldCharType="end"/>
      </w:r>
      <w:r>
        <w:t>)</w:t>
      </w:r>
    </w:p>
    <w:tbl>
      <w:tblPr>
        <w:tblStyle w:val="CodeSampleTable"/>
        <w:tblW w:w="5000" w:type="pct"/>
        <w:tblLook w:val="04A0" w:firstRow="1" w:lastRow="0" w:firstColumn="1" w:lastColumn="0" w:noHBand="0" w:noVBand="1"/>
      </w:tblPr>
      <w:tblGrid>
        <w:gridCol w:w="9628"/>
      </w:tblGrid>
      <w:tr w14:paraId="03B8650C"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9F1939B" w14:textId="2441023C">
            <w:pPr>
              <w:pStyle w:val="Kpalrs"/>
            </w:pPr>
            <w:bookmarkStart w:id="120" w:name="_Ref181627544"/>
            <w:r>
              <w:t xml:space="preserve">Exhibit </w:t>
            </w:r>
            <w:fldSimple w:instr=" STYLEREF 2 \s ">
              <w:r>
                <w:rPr>
                  <w:noProof/>
                </w:rPr>
                <w:t>3.2</w:t>
              </w:r>
            </w:fldSimple>
            <w:r>
              <w:t>.</w:t>
            </w:r>
            <w:fldSimple w:instr=" SEQ Exhibit \* ALPHABETIC \s 2 ">
              <w:r>
                <w:rPr>
                  <w:noProof/>
                </w:rPr>
                <w:t>M</w:t>
              </w:r>
            </w:fldSimple>
            <w:bookmarkEnd w:id="120"/>
            <w:r>
              <w:t>: verse line ending inside a compound not segmented in the edition</w:t>
            </w:r>
          </w:p>
        </w:tc>
      </w:tr>
      <w:tr w14:paraId="5C738F92" w14:textId="77777777">
        <w:tc>
          <w:tcPr>
            <w:tcW w:w="5000" w:type="pct"/>
          </w:tcPr>
          <w:p w14:paraId="540938A0" w14:textId="77777777">
            <w:pPr>
              <w:pStyle w:val="CodeParagraph"/>
              <w:keepNext/>
              <w:rPr>
                <w:rStyle w:val="Code"/>
              </w:rPr>
            </w:pPr>
            <w:r>
              <w:rPr>
                <w:rStyle w:val="Code"/>
              </w:rPr>
              <w:t xml:space="preserve">&lt;lg </w:t>
            </w:r>
            <w:r>
              <w:rPr>
                <w:rStyle w:val="Codeattribute"/>
              </w:rPr>
              <w:t>n=</w:t>
            </w:r>
            <w:r>
              <w:rPr>
                <w:rStyle w:val="Codevalue"/>
              </w:rPr>
              <w:t>"11"</w:t>
            </w:r>
            <w:r>
              <w:rPr>
                <w:rStyle w:val="Code"/>
              </w:rPr>
              <w:t xml:space="preserve"> </w:t>
            </w:r>
            <w:r>
              <w:rPr>
                <w:rStyle w:val="Codeattribute"/>
              </w:rPr>
              <w:t>met=</w:t>
            </w:r>
            <w:r>
              <w:rPr>
                <w:rStyle w:val="Codevalue"/>
              </w:rPr>
              <w:t>"anuṣṭubh"</w:t>
            </w:r>
            <w:r>
              <w:rPr>
                <w:rStyle w:val="Code"/>
              </w:rPr>
              <w:t>&gt;</w:t>
            </w:r>
          </w:p>
          <w:p w14:paraId="00CE45F8" w14:textId="77777777">
            <w:pPr>
              <w:pStyle w:val="CodeParagraph"/>
              <w:keepNext/>
              <w:rPr>
                <w:rStyle w:val="Code"/>
              </w:rPr>
            </w:pPr>
            <w:r>
              <w:rPr>
                <w:rStyle w:val="Code"/>
              </w:rPr>
              <w:t xml:space="preserve">  &lt;l </w:t>
            </w:r>
            <w:r>
              <w:rPr>
                <w:rStyle w:val="Codeattribute"/>
              </w:rPr>
              <w:t>n=</w:t>
            </w:r>
            <w:r>
              <w:rPr>
                <w:rStyle w:val="Codevalue"/>
              </w:rPr>
              <w:t>"a"</w:t>
            </w:r>
            <w:r>
              <w:rPr>
                <w:rStyle w:val="Code"/>
              </w:rPr>
              <w:t xml:space="preserve"> </w:t>
            </w:r>
            <w:r>
              <w:rPr>
                <w:rStyle w:val="Codeattribute"/>
              </w:rPr>
              <w:t>enjamb=</w:t>
            </w:r>
            <w:r>
              <w:rPr>
                <w:rStyle w:val="Codevalue"/>
              </w:rPr>
              <w:t>"yes"</w:t>
            </w:r>
            <w:r>
              <w:rPr>
                <w:rStyle w:val="Code"/>
              </w:rPr>
              <w:t xml:space="preserve"> </w:t>
            </w:r>
            <w:r>
              <w:rPr>
                <w:rStyle w:val="Codeattribute"/>
              </w:rPr>
              <w:t>met=</w:t>
            </w:r>
            <w:r>
              <w:rPr>
                <w:rStyle w:val="Codevalue"/>
              </w:rPr>
              <w:t>"bha-vipulā"</w:t>
            </w:r>
            <w:r>
              <w:rPr>
                <w:rStyle w:val="Code"/>
              </w:rPr>
              <w:t xml:space="preserve"> </w:t>
            </w:r>
            <w:r>
              <w:rPr>
                <w:rStyle w:val="Codeattribute"/>
              </w:rPr>
              <w:t>real=</w:t>
            </w:r>
            <w:r>
              <w:rPr>
                <w:rStyle w:val="Codevalue"/>
              </w:rPr>
              <w:t>"++-++--+"</w:t>
            </w:r>
            <w:r>
              <w:rPr>
                <w:rStyle w:val="Code"/>
              </w:rPr>
              <w:t>&gt;</w:t>
            </w:r>
            <w:r>
              <w:rPr>
                <w:rStyle w:val="Codetext"/>
              </w:rPr>
              <w:t>sūnus tadīyo vijayā</w:t>
            </w:r>
            <w:r>
              <w:rPr>
                <w:rStyle w:val="Code"/>
              </w:rPr>
              <w:t>&lt;/l&gt;</w:t>
            </w:r>
          </w:p>
          <w:p w14:paraId="045EE788" w14:textId="77777777">
            <w:pPr>
              <w:pStyle w:val="CodeParagraph"/>
              <w:keepNext/>
              <w:rPr>
                <w:rStyle w:val="Code"/>
              </w:rPr>
            </w:pPr>
            <w:r>
              <w:rPr>
                <w:rStyle w:val="Code"/>
              </w:rPr>
              <w:t xml:space="preserve">  &lt;l </w:t>
            </w:r>
            <w:r>
              <w:rPr>
                <w:rStyle w:val="Codeattribute"/>
              </w:rPr>
              <w:t>n=</w:t>
            </w:r>
            <w:r>
              <w:rPr>
                <w:rStyle w:val="Codevalue"/>
              </w:rPr>
              <w:t>"b"</w:t>
            </w:r>
            <w:r>
              <w:rPr>
                <w:rStyle w:val="Code"/>
              </w:rPr>
              <w:t>&gt;</w:t>
            </w:r>
            <w:r>
              <w:rPr>
                <w:rStyle w:val="Codetext"/>
              </w:rPr>
              <w:t>ditya-nāmā mahīpatiḥ</w:t>
            </w:r>
            <w:r>
              <w:rPr>
                <w:rStyle w:val="Code"/>
              </w:rPr>
              <w:t>&lt;/l&gt;</w:t>
            </w:r>
          </w:p>
          <w:p w14:paraId="47E4F4DE" w14:textId="77777777">
            <w:pPr>
              <w:pStyle w:val="CodeParagraph"/>
              <w:keepNext/>
              <w:rPr>
                <w:rStyle w:val="Code"/>
              </w:rPr>
            </w:pPr>
            <w:r>
              <w:rPr>
                <w:rStyle w:val="Code"/>
              </w:rPr>
              <w:t xml:space="preserve">  ...</w:t>
            </w:r>
          </w:p>
          <w:p w14:paraId="3592D148" w14:textId="77777777">
            <w:pPr>
              <w:pStyle w:val="CodeParagraph"/>
              <w:keepNext/>
            </w:pPr>
            <w:r>
              <w:rPr>
                <w:rStyle w:val="Code"/>
              </w:rPr>
              <w:t>&lt;/lg&gt;</w:t>
            </w:r>
          </w:p>
        </w:tc>
      </w:tr>
      <w:tr w14:paraId="3F8F7DDB" w14:textId="77777777">
        <w:tc>
          <w:tcPr>
            <w:tcW w:w="5000" w:type="pct"/>
          </w:tcPr>
          <w:p w14:paraId="5857BAC4" w14:textId="77777777">
            <w:pPr>
              <w:pStyle w:val="TableNote"/>
            </w:pPr>
            <w:r>
              <w:t xml:space="preserve">the name </w:t>
            </w:r>
            <w:r>
              <w:rPr>
                <w:rStyle w:val="Foreign"/>
              </w:rPr>
              <w:t>vijayāditya</w:t>
            </w:r>
            <w:r>
              <w:t xml:space="preserve"> is split across verse lines, so enjambement is present</w:t>
            </w:r>
          </w:p>
          <w:p w14:paraId="38A4CC2B" w14:textId="437FC731">
            <w:pPr>
              <w:pStyle w:val="TableNote"/>
            </w:pPr>
            <w:r>
              <w:t>vowel fusion sandhi is present, so §</w:t>
            </w:r>
            <w:r>
              <w:fldChar w:fldCharType="begin"/>
            </w:r>
            <w:r>
              <w:instrText xml:space="preserve"> REF _Ref225324953 \r \h </w:instrText>
            </w:r>
            <w:r>
              <w:fldChar w:fldCharType="separate"/>
            </w:r>
            <w:r>
              <w:t>3.2.4.4</w:t>
            </w:r>
            <w:r>
              <w:fldChar w:fldCharType="end"/>
            </w:r>
            <w:r>
              <w:t xml:space="preserve"> also applies</w:t>
            </w:r>
          </w:p>
          <w:p w14:paraId="253954BB" w14:textId="77777777">
            <w:pPr>
              <w:pStyle w:val="TableNote"/>
            </w:pPr>
            <w:r>
              <w:t>but the compound would not be segmented anyway in DHARMA editorial practice</w:t>
            </w:r>
          </w:p>
          <w:p w14:paraId="23744BDF" w14:textId="402A63CD">
            <w:pPr>
              <w:pStyle w:val="TableNote"/>
            </w:pPr>
            <w:r>
              <w:t xml:space="preserve">the </w:t>
            </w:r>
            <w:r>
              <w:rPr>
                <w:rStyle w:val="Foreign"/>
              </w:rPr>
              <w:t>vipulā</w:t>
            </w:r>
            <w:r>
              <w:t xml:space="preserve"> metre, incidental to this illustration, is encoded as per §</w:t>
            </w:r>
            <w:r>
              <w:fldChar w:fldCharType="begin"/>
            </w:r>
            <w:r>
              <w:instrText xml:space="preserve"> REF _Ref224725166 \r \h </w:instrText>
            </w:r>
            <w:r>
              <w:fldChar w:fldCharType="separate"/>
            </w:r>
            <w:r>
              <w:t>3.3.4.1</w:t>
            </w:r>
            <w:r>
              <w:fldChar w:fldCharType="end"/>
            </w:r>
          </w:p>
        </w:tc>
      </w:tr>
    </w:tbl>
    <w:p w14:paraId="7EDC1E36" w14:textId="77777777">
      <w:pPr>
        <w:rPr>
          <w:lang w:eastAsia="en-US" w:bidi="ar-SA"/>
        </w:rPr>
      </w:pPr>
    </w:p>
    <w:tbl>
      <w:tblPr>
        <w:tblStyle w:val="CodeSampleTable"/>
        <w:tblW w:w="5000" w:type="pct"/>
        <w:tblLook w:val="04A0" w:firstRow="1" w:lastRow="0" w:firstColumn="1" w:lastColumn="0" w:noHBand="0" w:noVBand="1"/>
      </w:tblPr>
      <w:tblGrid>
        <w:gridCol w:w="9628"/>
      </w:tblGrid>
      <w:tr w14:paraId="0FD20EB7"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D7FEDC9" w14:textId="362C6657">
            <w:pPr>
              <w:pStyle w:val="Kpalrs"/>
            </w:pPr>
            <w:bookmarkStart w:id="121" w:name="_Ref224920202"/>
            <w:r>
              <w:t xml:space="preserve">Exhibit </w:t>
            </w:r>
            <w:fldSimple w:instr=" STYLEREF 2 \s ">
              <w:r>
                <w:rPr>
                  <w:noProof/>
                </w:rPr>
                <w:t>3.2</w:t>
              </w:r>
            </w:fldSimple>
            <w:r>
              <w:t>.</w:t>
            </w:r>
            <w:fldSimple w:instr=" SEQ Exhibit \* ALPHABETIC \s 2 ">
              <w:r>
                <w:rPr>
                  <w:noProof/>
                </w:rPr>
                <w:t>N</w:t>
              </w:r>
            </w:fldSimple>
            <w:bookmarkEnd w:id="121"/>
            <w:r>
              <w:t>: verse line ending within atomic morpheme</w:t>
            </w:r>
          </w:p>
        </w:tc>
      </w:tr>
      <w:tr w14:paraId="4BBE003E" w14:textId="77777777">
        <w:tc>
          <w:tcPr>
            <w:tcW w:w="5000" w:type="pct"/>
          </w:tcPr>
          <w:p w14:paraId="088B3C07" w14:textId="77777777">
            <w:pPr>
              <w:pStyle w:val="CodeParagraph"/>
              <w:keepNext/>
              <w:rPr>
                <w:rStyle w:val="Code"/>
              </w:rPr>
            </w:pPr>
            <w:r>
              <w:rPr>
                <w:rStyle w:val="Code"/>
              </w:rPr>
              <w:t xml:space="preserve">&lt;lg </w:t>
            </w:r>
            <w:r>
              <w:rPr>
                <w:rStyle w:val="Codeattribute"/>
              </w:rPr>
              <w:t>n=</w:t>
            </w:r>
            <w:r>
              <w:rPr>
                <w:rStyle w:val="Codevalue"/>
              </w:rPr>
              <w:t>"2"</w:t>
            </w:r>
            <w:r>
              <w:rPr>
                <w:rStyle w:val="Code"/>
              </w:rPr>
              <w:t xml:space="preserve"> </w:t>
            </w:r>
            <w:r>
              <w:rPr>
                <w:rStyle w:val="Codeattribute"/>
              </w:rPr>
              <w:t>met=</w:t>
            </w:r>
            <w:r>
              <w:rPr>
                <w:rStyle w:val="Codevalue"/>
              </w:rPr>
              <w:t>"śikhariṇī"</w:t>
            </w:r>
            <w:r>
              <w:rPr>
                <w:rStyle w:val="Code"/>
              </w:rPr>
              <w:t>&gt;</w:t>
            </w:r>
          </w:p>
          <w:p w14:paraId="608A9F33" w14:textId="77777777">
            <w:pPr>
              <w:pStyle w:val="CodeParagraph"/>
              <w:keepNext/>
              <w:rPr>
                <w:rStyle w:val="Code"/>
              </w:rPr>
            </w:pPr>
            <w:r>
              <w:rPr>
                <w:rStyle w:val="Code"/>
              </w:rPr>
              <w:t xml:space="preserve">  &lt;l </w:t>
            </w:r>
            <w:r>
              <w:rPr>
                <w:rStyle w:val="Codeattribute"/>
              </w:rPr>
              <w:t>n=</w:t>
            </w:r>
            <w:r>
              <w:rPr>
                <w:rStyle w:val="Codevalue"/>
              </w:rPr>
              <w:t>"a"</w:t>
            </w:r>
            <w:r>
              <w:rPr>
                <w:rStyle w:val="Code"/>
              </w:rPr>
              <w:t xml:space="preserve"> </w:t>
            </w:r>
            <w:r>
              <w:rPr>
                <w:rStyle w:val="Codeattribute"/>
              </w:rPr>
              <w:t>enjamb=</w:t>
            </w:r>
            <w:r>
              <w:rPr>
                <w:rStyle w:val="Codevalue"/>
              </w:rPr>
              <w:t>"yes"</w:t>
            </w:r>
            <w:r>
              <w:rPr>
                <w:rStyle w:val="Code"/>
              </w:rPr>
              <w:t>&gt;</w:t>
            </w:r>
            <w:r>
              <w:rPr>
                <w:rStyle w:val="Codetext"/>
              </w:rPr>
              <w:t>sutas tasya jyeṣṭho guṇaga-vijayāditya-patir aṁ</w:t>
            </w:r>
            <w:r>
              <w:rPr>
                <w:rStyle w:val="Code"/>
              </w:rPr>
              <w:t>&lt;/l&gt;</w:t>
            </w:r>
          </w:p>
          <w:p w14:paraId="410A4C62" w14:textId="77777777">
            <w:pPr>
              <w:pStyle w:val="CodeParagraph"/>
              <w:keepNext/>
              <w:rPr>
                <w:rStyle w:val="Code"/>
              </w:rPr>
            </w:pPr>
            <w:r>
              <w:rPr>
                <w:rStyle w:val="Code"/>
              </w:rPr>
              <w:t xml:space="preserve">  &lt;l </w:t>
            </w:r>
            <w:r>
              <w:rPr>
                <w:rStyle w:val="Codeattribute"/>
              </w:rPr>
              <w:t>n=</w:t>
            </w:r>
            <w:r>
              <w:rPr>
                <w:rStyle w:val="Codevalue"/>
              </w:rPr>
              <w:t>"b"</w:t>
            </w:r>
            <w:r>
              <w:rPr>
                <w:rStyle w:val="Code"/>
              </w:rPr>
              <w:t>&gt;</w:t>
            </w:r>
            <w:r>
              <w:rPr>
                <w:rStyle w:val="Codetext"/>
              </w:rPr>
              <w:t>kakāras sākṣād vallabha-nr̥pa-samabhyarccita-bhujaḥ</w:t>
            </w:r>
            <w:r>
              <w:rPr>
                <w:rStyle w:val="Code"/>
              </w:rPr>
              <w:t>&lt;/l&gt;</w:t>
            </w:r>
          </w:p>
          <w:p w14:paraId="432111CF" w14:textId="77777777">
            <w:pPr>
              <w:pStyle w:val="CodeParagraph"/>
              <w:keepNext/>
              <w:rPr>
                <w:rStyle w:val="Code"/>
              </w:rPr>
            </w:pPr>
            <w:r>
              <w:rPr>
                <w:rStyle w:val="Code"/>
              </w:rPr>
              <w:t xml:space="preserve">  ...</w:t>
            </w:r>
          </w:p>
          <w:p w14:paraId="66B5139B" w14:textId="77777777">
            <w:pPr>
              <w:pStyle w:val="CodeParagraph"/>
              <w:keepNext/>
            </w:pPr>
            <w:r>
              <w:rPr>
                <w:rStyle w:val="Code"/>
              </w:rPr>
              <w:t>&lt;/lg&gt;</w:t>
            </w:r>
          </w:p>
        </w:tc>
      </w:tr>
      <w:tr w14:paraId="65B02121" w14:textId="77777777">
        <w:tc>
          <w:tcPr>
            <w:tcW w:w="5000" w:type="pct"/>
          </w:tcPr>
          <w:p w14:paraId="531C29AE" w14:textId="77777777">
            <w:pPr>
              <w:pStyle w:val="TableNote"/>
            </w:pPr>
            <w:r>
              <w:t xml:space="preserve">the monomorphemic word </w:t>
            </w:r>
            <w:r>
              <w:rPr>
                <w:rStyle w:val="Foreign"/>
              </w:rPr>
              <w:t>aṁka</w:t>
            </w:r>
            <w:r>
              <w:t xml:space="preserve"> is split across verse lines, so enjambement is present</w:t>
            </w:r>
          </w:p>
          <w:p w14:paraId="7A77EC46" w14:textId="77777777">
            <w:pPr>
              <w:pStyle w:val="TableNote"/>
            </w:pPr>
            <w:r>
              <w:t>the boundary is encoded at a convenient spot that leaves the metre intact</w:t>
            </w:r>
          </w:p>
        </w:tc>
      </w:tr>
    </w:tbl>
    <w:p w14:paraId="30F3D7D0" w14:textId="77777777">
      <w:pPr>
        <w:pStyle w:val="Cmsor3"/>
      </w:pPr>
      <w:bookmarkStart w:id="122" w:name="_Toc243922605"/>
      <w:r>
        <w:t>Good encoding practice for block-level elements</w:t>
      </w:r>
      <w:bookmarkEnd w:id="122"/>
    </w:p>
    <w:p w14:paraId="15AB24D3" w14:textId="4C6F8C5B">
      <w:r>
        <w:t>The basic block-level containers are the direct children of a division (the edition division or, if applicable, of a textpart division) and must contain not only all the text in an edition, but also all the markup applied to the edition. The empty elements representing extrinsic structure (§</w:t>
      </w:r>
      <w:r>
        <w:fldChar w:fldCharType="begin"/>
      </w:r>
      <w:r>
        <w:instrText xml:space="preserve"> REF _Ref225327729 \r \h </w:instrText>
      </w:r>
      <w:r>
        <w:fldChar w:fldCharType="separate"/>
      </w:r>
      <w:r>
        <w:t>4.3</w:t>
      </w:r>
      <w:r>
        <w:fldChar w:fldCharType="end"/>
      </w:r>
      <w:r>
        <w:t>) must thus also be placed within the block-level text containers (§</w:t>
      </w:r>
      <w:r>
        <w:fldChar w:fldCharType="begin"/>
      </w:r>
      <w:r>
        <w:instrText xml:space="preserve"> REF _Ref225502994 \r \h </w:instrText>
      </w:r>
      <w:r>
        <w:fldChar w:fldCharType="separate"/>
      </w:r>
      <w:r>
        <w:t>4.3.3.1</w:t>
      </w:r>
      <w:r>
        <w:fldChar w:fldCharType="end"/>
      </w:r>
      <w:r>
        <w:t>). Since XML cannot represent overlapping hierarchies (§</w:t>
      </w:r>
      <w:r>
        <w:fldChar w:fldCharType="begin"/>
      </w:r>
      <w:r>
        <w:instrText xml:space="preserve"> REF _Ref224893456 \r \h </w:instrText>
      </w:r>
      <w:r>
        <w:fldChar w:fldCharType="separate"/>
      </w:r>
      <w:r>
        <w:t>2.2.4</w:t>
      </w:r>
      <w:r>
        <w:fldChar w:fldCharType="end"/>
      </w:r>
      <w:r>
        <w:t>), all phrase-level elements (§</w:t>
      </w:r>
      <w:r>
        <w:fldChar w:fldCharType="begin"/>
      </w:r>
      <w:r>
        <w:instrText xml:space="preserve"> REF _Ref224893557 \r \h </w:instrText>
      </w:r>
      <w:r>
        <w:fldChar w:fldCharType="separate"/>
      </w:r>
      <w:r>
        <w:t>2.2.2</w:t>
      </w:r>
      <w:r>
        <w:fldChar w:fldCharType="end"/>
      </w:r>
      <w:r>
        <w:t>) representing features extending across a block-level boundary must be split up, with one phrase-level element at the end of the former block-level element, and another phrase-level element of the same kind at the beginning of the latter block-level element. Further guidelines for the hierarchy of encoding, including exceptional cases where empty elements may appear in an edition outside one of these structural containers, are given in §</w:t>
      </w:r>
      <w:r>
        <w:fldChar w:fldCharType="begin"/>
      </w:r>
      <w:r>
        <w:instrText xml:space="preserve"> REF _Ref43978660 \r \h </w:instrText>
      </w:r>
      <w:r>
        <w:fldChar w:fldCharType="separate"/>
      </w:r>
      <w:r>
        <w:t>16.2</w:t>
      </w:r>
      <w:r>
        <w:fldChar w:fldCharType="end"/>
      </w:r>
      <w:r>
        <w:t>.</w:t>
      </w:r>
    </w:p>
    <w:p w14:paraId="61B07975" w14:textId="77777777">
      <w:pPr>
        <w:pStyle w:val="Cmsor2"/>
      </w:pPr>
      <w:bookmarkStart w:id="123" w:name="_Toc243922606"/>
      <w:r>
        <w:lastRenderedPageBreak/>
        <w:t>Encoding metre in verse</w:t>
      </w:r>
      <w:bookmarkEnd w:id="123"/>
    </w:p>
    <w:p w14:paraId="4A30704B" w14:textId="77777777">
      <w:pPr>
        <w:pStyle w:val="Cmsor3"/>
      </w:pPr>
      <w:bookmarkStart w:id="124" w:name="_Ref225323861"/>
      <w:bookmarkStart w:id="125" w:name="_Ref225323884"/>
      <w:bookmarkStart w:id="126" w:name="_Toc243922607"/>
      <w:r>
        <w:t xml:space="preserve">Encoding an abstract prosodic template with </w:t>
      </w:r>
      <w:r>
        <w:rPr>
          <w:rStyle w:val="Codeattribute"/>
        </w:rPr>
        <w:t>@met</w:t>
      </w:r>
      <w:bookmarkEnd w:id="84"/>
      <w:bookmarkEnd w:id="93"/>
      <w:bookmarkEnd w:id="124"/>
      <w:bookmarkEnd w:id="125"/>
      <w:bookmarkEnd w:id="126"/>
    </w:p>
    <w:p w14:paraId="3F50D193" w14:textId="600544CC">
      <w:r>
        <w:t xml:space="preserve">Most of the verse in our texts conforms to conventional metrical templates associated with emic names recognised by authorities on poetics </w:t>
      </w:r>
      <w:r>
        <w:rPr>
          <w:noProof/>
        </w:rPr>
        <w:t>(</w:t>
      </w:r>
      <w:r>
        <w:t xml:space="preserve">e.g. </w:t>
      </w:r>
      <w:r>
        <w:rPr>
          <w:rStyle w:val="Foreign"/>
        </w:rPr>
        <w:t>upajāti</w:t>
      </w:r>
      <w:r>
        <w:t xml:space="preserve">, </w:t>
      </w:r>
      <w:r>
        <w:rPr>
          <w:rStyle w:val="Foreign"/>
        </w:rPr>
        <w:t>śārdūlavikrīḍita</w:t>
      </w:r>
      <w:r>
        <w:t>, etc.). We have catalogued these in the authority file “Prosodic Patterns.”</w:t>
      </w:r>
      <w:r>
        <w:rPr>
          <w:rStyle w:val="Lbjegyzet-hivatkozs"/>
        </w:rPr>
        <w:footnoteReference w:id="10"/>
      </w:r>
      <w:r>
        <w:t xml:space="preserve"> In addition to serving as canonical reference, this file can also help you with the identification of metres, for which the VG contains additional guidance.</w:t>
      </w:r>
    </w:p>
    <w:p w14:paraId="1A84D690" w14:textId="77777777">
      <w:pPr>
        <w:pStyle w:val="Lista"/>
      </w:pPr>
      <w:r>
        <w:t>when establishing the metre of a verse segment, you must disregard</w:t>
      </w:r>
    </w:p>
    <w:p w14:paraId="752803D6" w14:textId="3207F9AC">
      <w:pPr>
        <w:pStyle w:val="Lista2"/>
      </w:pPr>
      <w:r>
        <w:t xml:space="preserve">presumable scribal error </w:t>
      </w:r>
      <w:r>
        <w:rPr>
          <w:noProof/>
        </w:rPr>
        <w:t>(</w:t>
      </w:r>
      <w:r>
        <w:t xml:space="preserve">e.g. omission, dittography) or non-standard usage which you as editor have corrected </w:t>
      </w:r>
      <w:r>
        <w:rPr>
          <w:noProof/>
        </w:rPr>
        <w:t>(</w:t>
      </w:r>
      <w:r>
        <w:t>§</w:t>
      </w:r>
      <w:r>
        <w:fldChar w:fldCharType="begin"/>
      </w:r>
      <w:r>
        <w:instrText xml:space="preserve"> REF _Ref232089210 \r \h </w:instrText>
      </w:r>
      <w:r>
        <w:fldChar w:fldCharType="separate"/>
      </w:r>
      <w:r>
        <w:t>7.7.4</w:t>
      </w:r>
      <w:r>
        <w:fldChar w:fldCharType="end"/>
      </w:r>
      <w:r>
        <w:t>), thereby restoring the expected metre</w:t>
      </w:r>
    </w:p>
    <w:p w14:paraId="1B282B6B" w14:textId="21E851A4">
      <w:pPr>
        <w:pStyle w:val="Lista2"/>
      </w:pPr>
      <w:r>
        <w:t xml:space="preserve">the scribal quirk where the end of a verse is joined in sandhi to a closing </w:t>
      </w:r>
      <w:r>
        <w:rPr>
          <w:rStyle w:val="Foreign"/>
        </w:rPr>
        <w:t>iti</w:t>
      </w:r>
      <w:r>
        <w:t xml:space="preserve"> (for which see §</w:t>
      </w:r>
      <w:r>
        <w:fldChar w:fldCharType="begin"/>
      </w:r>
      <w:r>
        <w:instrText xml:space="preserve"> REF _Ref225324953 \r \h </w:instrText>
      </w:r>
      <w:r>
        <w:fldChar w:fldCharType="separate"/>
      </w:r>
      <w:r>
        <w:t>3.2.4.4</w:t>
      </w:r>
      <w:r>
        <w:fldChar w:fldCharType="end"/>
      </w:r>
      <w:r>
        <w:t>)</w:t>
      </w:r>
    </w:p>
    <w:p w14:paraId="6F167951" w14:textId="77777777">
      <w:pPr>
        <w:pStyle w:val="Lista"/>
      </w:pPr>
      <w:r>
        <w:t xml:space="preserve">the theoretical metre to which a verse segment conforms can be encoded in the attribute </w:t>
      </w:r>
      <w:r>
        <w:rPr>
          <w:rStyle w:val="Codeattribute"/>
        </w:rPr>
        <w:t>@met</w:t>
      </w:r>
    </w:p>
    <w:p w14:paraId="4C390346" w14:textId="77777777">
      <w:pPr>
        <w:pStyle w:val="Lista"/>
      </w:pPr>
      <w:r>
        <w:t xml:space="preserve">in DHARMA practice, </w:t>
      </w:r>
      <w:r>
        <w:rPr>
          <w:rStyle w:val="Codeattribute"/>
        </w:rPr>
        <w:t>@met</w:t>
      </w:r>
      <w:r>
        <w:t xml:space="preserve"> </w:t>
      </w:r>
    </w:p>
    <w:p w14:paraId="423F6F2B" w14:textId="77777777">
      <w:pPr>
        <w:pStyle w:val="Lista2"/>
      </w:pPr>
      <w:r>
        <w:t xml:space="preserve">must be mandatorily present on every </w:t>
      </w:r>
      <w:r>
        <w:rPr>
          <w:rStyle w:val="Code"/>
        </w:rPr>
        <w:t>&lt;lg&gt;</w:t>
      </w:r>
      <w:r>
        <w:t xml:space="preserve"> element</w:t>
      </w:r>
    </w:p>
    <w:p w14:paraId="16989D30" w14:textId="77777777">
      <w:pPr>
        <w:pStyle w:val="Lista2"/>
      </w:pPr>
      <w:r>
        <w:t xml:space="preserve">is normally not used on </w:t>
      </w:r>
      <w:r>
        <w:rPr>
          <w:rStyle w:val="Code"/>
        </w:rPr>
        <w:t>&lt;l&gt;</w:t>
      </w:r>
      <w:r>
        <w:t xml:space="preserve"> elements</w:t>
      </w:r>
    </w:p>
    <w:p w14:paraId="77D308BC" w14:textId="176014D3">
      <w:pPr>
        <w:pStyle w:val="Lista3"/>
      </w:pPr>
      <w:r>
        <w:t>but is added to lines that deviate from the overall template of a stanza, as called for in some subsections of §</w:t>
      </w:r>
      <w:r>
        <w:fldChar w:fldCharType="begin"/>
      </w:r>
      <w:r>
        <w:instrText xml:space="preserve"> REF _Ref225325000 \r \h </w:instrText>
      </w:r>
      <w:r>
        <w:fldChar w:fldCharType="separate"/>
      </w:r>
      <w:r>
        <w:t>3.3.3.1</w:t>
      </w:r>
      <w:r>
        <w:fldChar w:fldCharType="end"/>
      </w:r>
      <w:r>
        <w:t xml:space="preserve"> </w:t>
      </w:r>
    </w:p>
    <w:p w14:paraId="76030D61" w14:textId="77777777">
      <w:pPr>
        <w:pStyle w:val="Lista"/>
      </w:pPr>
      <w:r>
        <w:t xml:space="preserve">typically, the value of </w:t>
      </w:r>
      <w:r>
        <w:rPr>
          <w:rStyle w:val="Codeattribute"/>
        </w:rPr>
        <w:t>@met</w:t>
      </w:r>
      <w:r>
        <w:t xml:space="preserve"> shall be one of the metre names listed in our authority file</w:t>
      </w:r>
    </w:p>
    <w:p w14:paraId="6E253075" w14:textId="77777777">
      <w:pPr>
        <w:pStyle w:val="Lista2"/>
      </w:pPr>
      <w:r>
        <w:t>if you come across a metre to which you can put a name, but that name is not in the authority file,</w:t>
      </w:r>
    </w:p>
    <w:p w14:paraId="23C0D9D6" w14:textId="77777777">
      <w:pPr>
        <w:pStyle w:val="Lista3"/>
      </w:pPr>
      <w:r>
        <w:t>use the name as a value</w:t>
      </w:r>
    </w:p>
    <w:p w14:paraId="3871BEC9" w14:textId="77777777">
      <w:pPr>
        <w:pStyle w:val="Lista3"/>
      </w:pPr>
      <w:r>
        <w:t>add the name to the authority file, following the instructions in the file itself</w:t>
      </w:r>
    </w:p>
    <w:p w14:paraId="7EB0E8E7" w14:textId="77777777">
      <w:pPr>
        <w:pStyle w:val="Lista2"/>
      </w:pPr>
      <w:r>
        <w:t>if the authority file lists more than one name for a template, choose the name most appropriate to the language and/or region of your inscription</w:t>
      </w:r>
    </w:p>
    <w:p w14:paraId="63E3D57C" w14:textId="77777777">
      <w:pPr>
        <w:pStyle w:val="Lista2"/>
      </w:pPr>
      <w:r>
        <w:t>special values, some of them applicable only to stanzas and some only to lines, are noted in the following subsections</w:t>
      </w:r>
    </w:p>
    <w:p w14:paraId="3681E1B8" w14:textId="77777777">
      <w:pPr>
        <w:pStyle w:val="Cmsor3"/>
      </w:pPr>
      <w:bookmarkStart w:id="127" w:name="_Ref181701741"/>
      <w:bookmarkStart w:id="128" w:name="_Ref181630354"/>
      <w:bookmarkStart w:id="129" w:name="_Toc243922608"/>
      <w:r>
        <w:t xml:space="preserve">Encoding an actual prosodic realisation with </w:t>
      </w:r>
      <w:r>
        <w:rPr>
          <w:rStyle w:val="Codeattribute"/>
        </w:rPr>
        <w:t>@real</w:t>
      </w:r>
      <w:bookmarkEnd w:id="127"/>
      <w:bookmarkEnd w:id="129"/>
    </w:p>
    <w:p w14:paraId="2FBD2A5C" w14:textId="77777777">
      <w:pPr>
        <w:pStyle w:val="Lista"/>
        <w:rPr>
          <w:rStyle w:val="Codeattribute"/>
          <w:rFonts w:ascii="Gentium Plus" w:hAnsi="Gentium Plus" w:cs="Arial Unicode MS"/>
          <w:noProof w:val="0"/>
          <w:color w:val="auto"/>
          <w:shd w:val="clear" w:color="auto" w:fill="auto"/>
        </w:rPr>
      </w:pPr>
      <w:r>
        <w:t xml:space="preserve">when the prosodic realisation of a segment deviates from what is expected on the basis of a metrical template encoded with </w:t>
      </w:r>
      <w:r>
        <w:rPr>
          <w:rStyle w:val="Codeattribute"/>
        </w:rPr>
        <w:t>@met</w:t>
      </w:r>
      <w:r>
        <w:t xml:space="preserve">, the actual prosody of the text can be encoded in the attribute </w:t>
      </w:r>
      <w:r>
        <w:rPr>
          <w:rStyle w:val="Codeattribute"/>
        </w:rPr>
        <w:t>@real</w:t>
      </w:r>
    </w:p>
    <w:p w14:paraId="070ECF16" w14:textId="42C20AB7">
      <w:pPr>
        <w:pStyle w:val="Lista"/>
      </w:pPr>
      <w:r>
        <w:t xml:space="preserve">in DHARMA practice, </w:t>
      </w:r>
      <w:r>
        <w:rPr>
          <w:rStyle w:val="Codeattribute"/>
        </w:rPr>
        <w:t>@real</w:t>
      </w:r>
      <w:r>
        <w:t xml:space="preserve"> is only used on </w:t>
      </w:r>
      <w:r>
        <w:rPr>
          <w:rStyle w:val="Code"/>
        </w:rPr>
        <w:t>&lt;l&gt;</w:t>
      </w:r>
      <w:r>
        <w:t xml:space="preserve"> elements, and there only in the specific cases under §</w:t>
      </w:r>
      <w:r>
        <w:fldChar w:fldCharType="begin"/>
      </w:r>
      <w:r>
        <w:instrText xml:space="preserve"> REF _Ref225325358 \r \h </w:instrText>
      </w:r>
      <w:r>
        <w:fldChar w:fldCharType="separate"/>
      </w:r>
      <w:r>
        <w:t>3.3.4</w:t>
      </w:r>
      <w:r>
        <w:fldChar w:fldCharType="end"/>
      </w:r>
      <w:r>
        <w:t xml:space="preserve"> that call for this attribute</w:t>
      </w:r>
    </w:p>
    <w:p w14:paraId="5E2B334A" w14:textId="77777777">
      <w:pPr>
        <w:pStyle w:val="Lista"/>
      </w:pPr>
      <w:r>
        <w:t>the value of this attribute must be the formula for the specific prosody of the text</w:t>
      </w:r>
    </w:p>
    <w:p w14:paraId="3A5B95D8" w14:textId="1763808D">
      <w:pPr>
        <w:pStyle w:val="Lista2"/>
      </w:pPr>
      <w:r>
        <w:t>the formula must be recorded in ASCII notation</w:t>
      </w:r>
    </w:p>
    <w:p w14:paraId="669051E3" w14:textId="7540CBA5">
      <w:pPr>
        <w:pStyle w:val="Lista3"/>
      </w:pPr>
      <w:r>
        <w:t>using + for long syllables and - for short syllables (for further details, see VG §1.4)</w:t>
      </w:r>
    </w:p>
    <w:p w14:paraId="49A26A2D" w14:textId="77777777">
      <w:pPr>
        <w:pStyle w:val="Lista4"/>
      </w:pPr>
      <w:r>
        <w:t>since we are concerned with actual realisation here, the = sign for “syllable of indeterminate length” may only be used when the length of a syllable cannot be determined due to legibility issues, but shall not be used for line-final syllables, which are usually understood to be long in prosodic templates, but whose actual length must in this case be recorded</w:t>
      </w:r>
    </w:p>
    <w:p w14:paraId="76D00BB9" w14:textId="1206040E">
      <w:pPr>
        <w:pStyle w:val="Lista2"/>
      </w:pPr>
      <w:r>
        <w:t>if the text contains editorial correction (§</w:t>
      </w:r>
      <w:r>
        <w:fldChar w:fldCharType="begin"/>
      </w:r>
      <w:r>
        <w:instrText xml:space="preserve"> REF _Ref232089210 \r \h </w:instrText>
      </w:r>
      <w:r>
        <w:fldChar w:fldCharType="separate"/>
      </w:r>
      <w:r>
        <w:t>7.7.4</w:t>
      </w:r>
      <w:r>
        <w:fldChar w:fldCharType="end"/>
      </w:r>
      <w:r>
        <w:t xml:space="preserve">), then </w:t>
      </w:r>
      <w:r>
        <w:rPr>
          <w:rStyle w:val="Codeattribute"/>
        </w:rPr>
        <w:t>@real</w:t>
      </w:r>
      <w:r>
        <w:t xml:space="preserve"> must represent the prosody of the corrected text (assumed to be the intent of the verse’s composer) and not the pre-correction text (assumed to result from scribal error)</w:t>
      </w:r>
    </w:p>
    <w:p w14:paraId="265EAE12" w14:textId="77777777">
      <w:pPr>
        <w:pStyle w:val="Cmsor3"/>
      </w:pPr>
      <w:bookmarkStart w:id="130" w:name="_Toc243922609"/>
      <w:r>
        <w:t>Metres not associated with a clear name</w:t>
      </w:r>
      <w:bookmarkEnd w:id="130"/>
    </w:p>
    <w:p w14:paraId="1948B7BE" w14:textId="77777777">
      <w:pPr>
        <w:pStyle w:val="Cmsor4"/>
      </w:pPr>
      <w:bookmarkStart w:id="131" w:name="_Ref224726921"/>
      <w:bookmarkStart w:id="132" w:name="_Ref225324441"/>
      <w:bookmarkStart w:id="133" w:name="_Ref225325000"/>
      <w:r>
        <w:t>Nameless metres</w:t>
      </w:r>
      <w:bookmarkEnd w:id="131"/>
    </w:p>
    <w:p w14:paraId="15BDA747" w14:textId="77777777">
      <w:pPr>
        <w:pStyle w:val="Lista"/>
      </w:pPr>
      <w:r>
        <w:t>if a stanza follows a set metrical template, but you cannot put a name to the metre, then</w:t>
      </w:r>
    </w:p>
    <w:p w14:paraId="27C70B90" w14:textId="45DD09FE">
      <w:pPr>
        <w:pStyle w:val="Lista2"/>
      </w:pPr>
      <w:r>
        <w:lastRenderedPageBreak/>
        <w:t xml:space="preserve">establish the prosodic template and record it in ASCII notation </w:t>
      </w:r>
      <w:r>
        <w:rPr>
          <w:noProof/>
        </w:rPr>
        <w:t>(</w:t>
      </w:r>
      <w:r>
        <w:t xml:space="preserve">q.v. VG §1.4) as the value of </w:t>
      </w:r>
      <w:r>
        <w:rPr>
          <w:rStyle w:val="Codeattribute"/>
        </w:rPr>
        <w:t>@met</w:t>
      </w:r>
      <w:r>
        <w:t xml:space="preserve">, as in </w:t>
      </w:r>
      <w:r>
        <w:fldChar w:fldCharType="begin"/>
      </w:r>
      <w:r>
        <w:instrText xml:space="preserve"> REF _Ref181699675 \h </w:instrText>
      </w:r>
      <w:r>
        <w:fldChar w:fldCharType="separate"/>
      </w:r>
      <w:r>
        <w:t xml:space="preserve">Exhibit </w:t>
      </w:r>
      <w:r>
        <w:rPr>
          <w:noProof/>
        </w:rPr>
        <w:t>3.3</w:t>
      </w:r>
      <w:r>
        <w:t>.</w:t>
      </w:r>
      <w:r>
        <w:rPr>
          <w:noProof/>
        </w:rPr>
        <w:t>A</w:t>
      </w:r>
      <w:r>
        <w:fldChar w:fldCharType="end"/>
      </w:r>
    </w:p>
    <w:p w14:paraId="1A1352B4" w14:textId="77777777">
      <w:pPr>
        <w:pStyle w:val="Lista"/>
      </w:pPr>
      <w:r>
        <w:t>if conformance to a syllabic template is not absolute, at your discretion</w:t>
      </w:r>
    </w:p>
    <w:p w14:paraId="7258907D" w14:textId="77777777">
      <w:pPr>
        <w:pStyle w:val="Lista2"/>
      </w:pPr>
      <w:r>
        <w:t>establish the template so that it accounts for all of the observed variation (with = for indeterminate syllables and numbers for moraic feet)</w:t>
      </w:r>
    </w:p>
    <w:p w14:paraId="4AAC0817" w14:textId="49C87C60">
      <w:pPr>
        <w:pStyle w:val="Lista2"/>
      </w:pPr>
      <w:r>
        <w:t>establish the template (with or without indeterminate syllables and moraic feet) so that it accounts for what you deem to be the standard form of this metre, and encode the metre of deviant lines as per §</w:t>
      </w:r>
      <w:r>
        <w:fldChar w:fldCharType="begin"/>
      </w:r>
      <w:r>
        <w:instrText xml:space="preserve"> REF _Ref224726481 \r \h </w:instrText>
      </w:r>
      <w:r>
        <w:fldChar w:fldCharType="separate"/>
      </w:r>
      <w:r>
        <w:t>3.3.4.2</w:t>
      </w:r>
      <w:r>
        <w:fldChar w:fldCharType="end"/>
      </w:r>
      <w:r>
        <w:t xml:space="preserve"> </w:t>
      </w:r>
    </w:p>
    <w:p w14:paraId="44BF3DC9" w14:textId="74354E4C">
      <w:pPr>
        <w:pStyle w:val="Lista"/>
      </w:pPr>
      <w:r>
        <w:t>in the unlikely situation where the metre of a stanza is mixed (§</w:t>
      </w:r>
      <w:r>
        <w:fldChar w:fldCharType="begin"/>
      </w:r>
      <w:r>
        <w:instrText xml:space="preserve"> REF _Ref224912448 \r \h </w:instrText>
      </w:r>
      <w:r>
        <w:fldChar w:fldCharType="separate"/>
      </w:r>
      <w:r>
        <w:t>3.3.3.5</w:t>
      </w:r>
      <w:r>
        <w:fldChar w:fldCharType="end"/>
      </w:r>
      <w:r>
        <w:t xml:space="preserve">) and one or more of its lines are in a metre without a known name, this encoding may also be used in </w:t>
      </w:r>
      <w:r>
        <w:rPr>
          <w:rStyle w:val="Codeattribute"/>
        </w:rPr>
        <w:t>@met</w:t>
      </w:r>
      <w:r>
        <w:t xml:space="preserve"> on individual lines</w:t>
      </w:r>
    </w:p>
    <w:tbl>
      <w:tblPr>
        <w:tblStyle w:val="CodeSampleTable"/>
        <w:tblW w:w="5000" w:type="pct"/>
        <w:tblLook w:val="04A0" w:firstRow="1" w:lastRow="0" w:firstColumn="1" w:lastColumn="0" w:noHBand="0" w:noVBand="1"/>
      </w:tblPr>
      <w:tblGrid>
        <w:gridCol w:w="9628"/>
      </w:tblGrid>
      <w:tr w14:paraId="08006424"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7B22347" w14:textId="2106CC27">
            <w:pPr>
              <w:pStyle w:val="Kpalrs"/>
            </w:pPr>
            <w:bookmarkStart w:id="134" w:name="_Ref181699675"/>
            <w:bookmarkStart w:id="135" w:name="_Ref181699674"/>
            <w:r>
              <w:t xml:space="preserve">Exhibit </w:t>
            </w:r>
            <w:fldSimple w:instr=" STYLEREF 2 \s ">
              <w:r>
                <w:rPr>
                  <w:noProof/>
                </w:rPr>
                <w:t>3.3</w:t>
              </w:r>
            </w:fldSimple>
            <w:r>
              <w:t>.</w:t>
            </w:r>
            <w:fldSimple w:instr=" SEQ Exhibit \* ALPHABETIC \s 2 ">
              <w:r>
                <w:rPr>
                  <w:noProof/>
                </w:rPr>
                <w:t>A</w:t>
              </w:r>
            </w:fldSimple>
            <w:bookmarkEnd w:id="134"/>
            <w:r>
              <w:t>: prosodic template encoded with ASCII notation</w:t>
            </w:r>
            <w:bookmarkEnd w:id="135"/>
          </w:p>
        </w:tc>
      </w:tr>
      <w:tr w14:paraId="35197E19" w14:textId="77777777">
        <w:tc>
          <w:tcPr>
            <w:tcW w:w="5000" w:type="pct"/>
          </w:tcPr>
          <w:p w14:paraId="120E6A9C" w14:textId="77777777">
            <w:pPr>
              <w:pStyle w:val="CodeParagraph"/>
              <w:keepNext/>
              <w:rPr>
                <w:rStyle w:val="Code"/>
              </w:rPr>
            </w:pPr>
            <w:r>
              <w:rPr>
                <w:rStyle w:val="Code"/>
              </w:rPr>
              <w:t xml:space="preserve">&lt;lg </w:t>
            </w:r>
            <w:r>
              <w:rPr>
                <w:rStyle w:val="Codeattribute"/>
              </w:rPr>
              <w:t>n=</w:t>
            </w:r>
            <w:r>
              <w:rPr>
                <w:rStyle w:val="Codevalue"/>
              </w:rPr>
              <w:t>"6"</w:t>
            </w:r>
            <w:r>
              <w:rPr>
                <w:rStyle w:val="Code"/>
              </w:rPr>
              <w:t xml:space="preserve"> </w:t>
            </w:r>
            <w:r>
              <w:rPr>
                <w:rStyle w:val="Codeattribute"/>
              </w:rPr>
              <w:t>met=</w:t>
            </w:r>
            <w:r>
              <w:rPr>
                <w:rStyle w:val="Codevalue"/>
              </w:rPr>
              <w:t>"+---+---+---+---+---+---+"</w:t>
            </w:r>
            <w:r>
              <w:rPr>
                <w:rStyle w:val="Code"/>
              </w:rPr>
              <w:t>&gt;</w:t>
            </w:r>
          </w:p>
          <w:p w14:paraId="4E1C989F" w14:textId="77777777">
            <w:pPr>
              <w:pStyle w:val="CodeParagraph"/>
              <w:keepNext/>
              <w:rPr>
                <w:rStyle w:val="Code"/>
              </w:rPr>
            </w:pPr>
            <w:r>
              <w:rPr>
                <w:rStyle w:val="Code"/>
              </w:rPr>
              <w:t xml:space="preserve">  &lt;l </w:t>
            </w:r>
            <w:r>
              <w:rPr>
                <w:rStyle w:val="Codeattribute"/>
              </w:rPr>
              <w:t>n=</w:t>
            </w:r>
            <w:r>
              <w:rPr>
                <w:rStyle w:val="Codevalue"/>
              </w:rPr>
              <w:t>"a"</w:t>
            </w:r>
            <w:r>
              <w:rPr>
                <w:rStyle w:val="Code"/>
              </w:rPr>
              <w:t>&gt;</w:t>
            </w:r>
            <w:r>
              <w:rPr>
                <w:rStyle w:val="Codetext"/>
              </w:rPr>
              <w:t>satya-vacano yama-suro na sa surādhipa-bhayād bhavati satya-vacanaḥ</w:t>
            </w:r>
            <w:r>
              <w:rPr>
                <w:rStyle w:val="Code"/>
              </w:rPr>
              <w:t>&lt;/l&gt;</w:t>
            </w:r>
          </w:p>
          <w:p w14:paraId="3A17DD36" w14:textId="77777777">
            <w:pPr>
              <w:pStyle w:val="CodeParagraph"/>
              <w:keepNext/>
              <w:rPr>
                <w:rStyle w:val="Code"/>
              </w:rPr>
            </w:pPr>
            <w:r>
              <w:rPr>
                <w:rStyle w:val="Code"/>
              </w:rPr>
              <w:t xml:space="preserve">  &lt;l </w:t>
            </w:r>
            <w:r>
              <w:rPr>
                <w:rStyle w:val="Codeattribute"/>
              </w:rPr>
              <w:t>n=</w:t>
            </w:r>
            <w:r>
              <w:rPr>
                <w:rStyle w:val="Codevalue"/>
              </w:rPr>
              <w:t>"b"</w:t>
            </w:r>
            <w:r>
              <w:rPr>
                <w:rStyle w:val="Code"/>
              </w:rPr>
              <w:t>&gt;</w:t>
            </w:r>
            <w:r>
              <w:rPr>
                <w:rStyle w:val="Codetext"/>
              </w:rPr>
              <w:t>śauryya-guṇavān mr̥gapatir nna sa viveka-matito bhavati śauryya-guṇavāN</w:t>
            </w:r>
            <w:r>
              <w:rPr>
                <w:rStyle w:val="Code"/>
              </w:rPr>
              <w:t>&lt;/l&gt;</w:t>
            </w:r>
          </w:p>
          <w:p w14:paraId="408E251A" w14:textId="77777777">
            <w:pPr>
              <w:pStyle w:val="CodeParagraph"/>
              <w:keepNext/>
              <w:rPr>
                <w:rStyle w:val="Code"/>
              </w:rPr>
            </w:pPr>
            <w:r>
              <w:rPr>
                <w:rStyle w:val="Code"/>
              </w:rPr>
              <w:t xml:space="preserve">  &lt;l </w:t>
            </w:r>
            <w:r>
              <w:rPr>
                <w:rStyle w:val="Codeattribute"/>
              </w:rPr>
              <w:t>n=</w:t>
            </w:r>
            <w:r>
              <w:rPr>
                <w:rStyle w:val="Codevalue"/>
              </w:rPr>
              <w:t>"c"</w:t>
            </w:r>
            <w:r>
              <w:rPr>
                <w:rStyle w:val="Code"/>
              </w:rPr>
              <w:t>&gt;</w:t>
            </w:r>
            <w:r>
              <w:rPr>
                <w:rStyle w:val="Codetext"/>
              </w:rPr>
              <w:t>dāna-vibhavo ravi-suto na sa pati-sva-balato bhavati dāna-vibhavaḥ</w:t>
            </w:r>
            <w:r>
              <w:rPr>
                <w:rStyle w:val="Code"/>
              </w:rPr>
              <w:t>&lt;/l&gt;</w:t>
            </w:r>
          </w:p>
          <w:p w14:paraId="28323109" w14:textId="77777777">
            <w:pPr>
              <w:pStyle w:val="CodeParagraph"/>
              <w:keepNext/>
            </w:pPr>
            <w:r>
              <w:rPr>
                <w:rStyle w:val="Code"/>
              </w:rPr>
              <w:t xml:space="preserve">  &lt;l </w:t>
            </w:r>
            <w:r>
              <w:rPr>
                <w:rStyle w:val="Codeattribute"/>
              </w:rPr>
              <w:t>n=</w:t>
            </w:r>
            <w:r>
              <w:rPr>
                <w:rStyle w:val="Codevalue"/>
              </w:rPr>
              <w:t>"d"</w:t>
            </w:r>
            <w:r>
              <w:rPr>
                <w:rStyle w:val="Code"/>
              </w:rPr>
              <w:t>&gt;</w:t>
            </w:r>
            <w:r>
              <w:rPr>
                <w:rStyle w:val="Codetext"/>
              </w:rPr>
              <w:t>satya-vara-śauryya-para-dāna-vibhavas tu nr̥pakāma-nr̥patiḥ prakr̥titaḥ</w:t>
            </w:r>
            <w:r>
              <w:rPr>
                <w:rStyle w:val="Code"/>
              </w:rPr>
              <w:t>&lt;/l&gt;</w:t>
            </w:r>
            <w:r>
              <w:t xml:space="preserve"> </w:t>
            </w:r>
          </w:p>
          <w:p w14:paraId="288FF0E6" w14:textId="77777777">
            <w:pPr>
              <w:pStyle w:val="CodeParagraph"/>
              <w:keepNext/>
              <w:rPr>
                <w:rFonts w:ascii="Consolas" w:hAnsi="Consolas" w:cs="Consolas"/>
                <w:noProof/>
                <w:color w:val="002060"/>
                <w:shd w:val="clear" w:color="auto" w:fill="F2F2F2" w:themeFill="background1" w:themeFillShade="F2"/>
              </w:rPr>
            </w:pPr>
            <w:r>
              <w:rPr>
                <w:rStyle w:val="Code"/>
              </w:rPr>
              <w:t>&lt;/lg&gt;</w:t>
            </w:r>
          </w:p>
        </w:tc>
      </w:tr>
      <w:tr w14:paraId="1DE4E1A7" w14:textId="77777777">
        <w:tc>
          <w:tcPr>
            <w:tcW w:w="5000" w:type="pct"/>
          </w:tcPr>
          <w:p w14:paraId="2E07570E" w14:textId="77777777">
            <w:pPr>
              <w:pStyle w:val="TableNote"/>
            </w:pPr>
            <w:r>
              <w:t>no conventional name could be associated with the consistent prosodic pattern followed in this stanza</w:t>
            </w:r>
          </w:p>
          <w:p w14:paraId="6AA382FC" w14:textId="77777777">
            <w:pPr>
              <w:pStyle w:val="TableNote"/>
            </w:pPr>
            <w:r>
              <w:t xml:space="preserve">the </w:t>
            </w:r>
            <w:r>
              <w:rPr>
                <w:rStyle w:val="Codeattribute"/>
              </w:rPr>
              <w:t>@met</w:t>
            </w:r>
            <w:r>
              <w:t xml:space="preserve"> for the stanza is therefore recorded in prosodic notation</w:t>
            </w:r>
          </w:p>
        </w:tc>
      </w:tr>
    </w:tbl>
    <w:p w14:paraId="70B190EB" w14:textId="77777777">
      <w:pPr>
        <w:pStyle w:val="Cmsor4"/>
      </w:pPr>
      <w:r>
        <w:t>Uncertain metre identification</w:t>
      </w:r>
    </w:p>
    <w:p w14:paraId="67116BA0" w14:textId="3B3740E1">
      <w:pPr>
        <w:pStyle w:val="Lista"/>
      </w:pPr>
      <w:r>
        <w:t xml:space="preserve">if you can only establish a stanza’s metre tentatively because the text is damaged or prosodically </w:t>
      </w:r>
      <w:r>
        <w:rPr>
          <w:noProof/>
        </w:rPr>
        <w:t xml:space="preserve">incorrect, as </w:t>
      </w:r>
      <w:r>
        <w:t xml:space="preserve">in </w:t>
      </w:r>
      <w:r>
        <w:fldChar w:fldCharType="begin"/>
      </w:r>
      <w:r>
        <w:instrText xml:space="preserve"> REF _Ref181707151 \h </w:instrText>
      </w:r>
      <w:r>
        <w:fldChar w:fldCharType="separate"/>
      </w:r>
      <w:r>
        <w:t xml:space="preserve">Exhibit </w:t>
      </w:r>
      <w:r>
        <w:rPr>
          <w:noProof/>
        </w:rPr>
        <w:t>3.3</w:t>
      </w:r>
      <w:r>
        <w:t>.</w:t>
      </w:r>
      <w:r>
        <w:rPr>
          <w:noProof/>
        </w:rPr>
        <w:t>B</w:t>
      </w:r>
      <w:r>
        <w:fldChar w:fldCharType="end"/>
      </w:r>
      <w:r>
        <w:rPr>
          <w:noProof/>
        </w:rPr>
        <w:t>, then</w:t>
      </w:r>
    </w:p>
    <w:p w14:paraId="225AB477" w14:textId="77777777">
      <w:pPr>
        <w:pStyle w:val="Lista2"/>
      </w:pPr>
      <w:r>
        <w:t xml:space="preserve">add the element </w:t>
      </w:r>
      <w:r>
        <w:rPr>
          <w:rStyle w:val="Code"/>
        </w:rPr>
        <w:t xml:space="preserve">&lt;certainty </w:t>
      </w:r>
      <w:r>
        <w:rPr>
          <w:rStyle w:val="Codeattribute"/>
        </w:rPr>
        <w:t>match</w:t>
      </w:r>
      <w:r>
        <w:rPr>
          <w:rStyle w:val="Code"/>
        </w:rPr>
        <w:t>=</w:t>
      </w:r>
      <w:r>
        <w:rPr>
          <w:rStyle w:val="Codevalue"/>
        </w:rPr>
        <w:t xml:space="preserve">"../@met" </w:t>
      </w:r>
      <w:r>
        <w:rPr>
          <w:rStyle w:val="Codeattribute"/>
        </w:rPr>
        <w:t>locus</w:t>
      </w:r>
      <w:r>
        <w:rPr>
          <w:rStyle w:val="Code"/>
        </w:rPr>
        <w:t>=</w:t>
      </w:r>
      <w:r>
        <w:rPr>
          <w:rStyle w:val="Codevalue"/>
        </w:rPr>
        <w:t>"value"</w:t>
      </w:r>
      <w:r>
        <w:rPr>
          <w:rStyle w:val="Code"/>
        </w:rPr>
        <w:t>/&gt;</w:t>
      </w:r>
      <w:r>
        <w:t xml:space="preserve"> directly after the opening </w:t>
      </w:r>
      <w:r>
        <w:rPr>
          <w:rStyle w:val="Code"/>
        </w:rPr>
        <w:t>&lt;lg&gt;</w:t>
      </w:r>
      <w:r>
        <w:t xml:space="preserve"> tag </w:t>
      </w:r>
      <w:r>
        <w:rPr>
          <w:noProof/>
        </w:rPr>
        <w:t>(</w:t>
      </w:r>
      <w:r>
        <w:t xml:space="preserve">before the first </w:t>
      </w:r>
      <w:r>
        <w:rPr>
          <w:rStyle w:val="Code"/>
        </w:rPr>
        <w:t>&lt;l&gt;</w:t>
      </w:r>
      <w:r>
        <w:t xml:space="preserve"> element), where</w:t>
      </w:r>
    </w:p>
    <w:p w14:paraId="0CC9FCD2" w14:textId="77777777">
      <w:pPr>
        <w:pStyle w:val="Lista3"/>
      </w:pPr>
      <w:r>
        <w:rPr>
          <w:rStyle w:val="Codeattribute"/>
        </w:rPr>
        <w:t>@match</w:t>
      </w:r>
      <w:r>
        <w:rPr>
          <w:rStyle w:val="Code"/>
        </w:rPr>
        <w:t>=</w:t>
      </w:r>
      <w:r>
        <w:rPr>
          <w:rStyle w:val="Codevalue"/>
        </w:rPr>
        <w:t>"../@met"</w:t>
      </w:r>
      <w:r>
        <w:t xml:space="preserve"> indicates that you are encoding uncertainty</w:t>
      </w:r>
      <w:r>
        <w:rPr>
          <w:rStyle w:val="Lbjegyzet-hivatkozs"/>
        </w:rPr>
        <w:footnoteReference w:id="11"/>
      </w:r>
      <w:r>
        <w:t xml:space="preserve"> regarding the </w:t>
      </w:r>
      <w:r>
        <w:rPr>
          <w:rStyle w:val="Codeattribute"/>
        </w:rPr>
        <w:t>@met</w:t>
      </w:r>
      <w:r>
        <w:t xml:space="preserve"> attribute of the parent element </w:t>
      </w:r>
      <w:r>
        <w:rPr>
          <w:noProof/>
        </w:rPr>
        <w:t>(</w:t>
      </w:r>
      <w:r>
        <w:t xml:space="preserve">i.e. </w:t>
      </w:r>
      <w:r>
        <w:rPr>
          <w:rStyle w:val="Code"/>
        </w:rPr>
        <w:t>&lt;lg&gt;</w:t>
      </w:r>
      <w:r>
        <w:t>), and</w:t>
      </w:r>
    </w:p>
    <w:p w14:paraId="3BF4B19F" w14:textId="77777777">
      <w:pPr>
        <w:pStyle w:val="Lista3"/>
      </w:pPr>
      <w:r>
        <w:rPr>
          <w:rStyle w:val="Codeattribute"/>
        </w:rPr>
        <w:t>@locus</w:t>
      </w:r>
      <w:r>
        <w:rPr>
          <w:rStyle w:val="Code"/>
        </w:rPr>
        <w:t>=</w:t>
      </w:r>
      <w:r>
        <w:rPr>
          <w:rStyle w:val="Codevalue"/>
        </w:rPr>
        <w:t>"value"</w:t>
      </w:r>
      <w:r>
        <w:t xml:space="preserve"> indicates that the uncertainty concerns the value of this attribute </w:t>
      </w:r>
      <w:r>
        <w:rPr>
          <w:noProof/>
        </w:rPr>
        <w:t>(</w:t>
      </w:r>
      <w:r>
        <w:t>i.e. the identification of the metre)</w:t>
      </w:r>
    </w:p>
    <w:tbl>
      <w:tblPr>
        <w:tblStyle w:val="CodeSampleTable"/>
        <w:tblW w:w="5000" w:type="pct"/>
        <w:tblLook w:val="04A0" w:firstRow="1" w:lastRow="0" w:firstColumn="1" w:lastColumn="0" w:noHBand="0" w:noVBand="1"/>
      </w:tblPr>
      <w:tblGrid>
        <w:gridCol w:w="9628"/>
      </w:tblGrid>
      <w:tr w14:paraId="31529EB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54EF67B" w14:textId="6584C976">
            <w:pPr>
              <w:pStyle w:val="Kpalrs"/>
              <w:keepLines/>
            </w:pPr>
            <w:bookmarkStart w:id="136" w:name="_Ref181707151"/>
            <w:bookmarkStart w:id="137" w:name="_Ref181707147"/>
            <w:r>
              <w:t xml:space="preserve">Exhibit </w:t>
            </w:r>
            <w:fldSimple w:instr=" STYLEREF 2 \s ">
              <w:r>
                <w:rPr>
                  <w:noProof/>
                </w:rPr>
                <w:t>3.3</w:t>
              </w:r>
            </w:fldSimple>
            <w:r>
              <w:t>.</w:t>
            </w:r>
            <w:fldSimple w:instr=" SEQ Exhibit \* ALPHABETIC \s 2 ">
              <w:r>
                <w:rPr>
                  <w:noProof/>
                </w:rPr>
                <w:t>B</w:t>
              </w:r>
            </w:fldSimple>
            <w:bookmarkEnd w:id="136"/>
            <w:r>
              <w:t>: tentative metre identification</w:t>
            </w:r>
            <w:bookmarkEnd w:id="137"/>
          </w:p>
        </w:tc>
      </w:tr>
      <w:tr w14:paraId="04B358CB" w14:textId="77777777">
        <w:tc>
          <w:tcPr>
            <w:tcW w:w="5000" w:type="pct"/>
          </w:tcPr>
          <w:p w14:paraId="49A041CD" w14:textId="77777777">
            <w:pPr>
              <w:pStyle w:val="CodeParagraph"/>
              <w:keepNext/>
              <w:keepLines/>
              <w:rPr>
                <w:rStyle w:val="Code"/>
              </w:rPr>
            </w:pPr>
            <w:r>
              <w:rPr>
                <w:rStyle w:val="Code"/>
              </w:rPr>
              <w:t xml:space="preserve">&lt;lg </w:t>
            </w:r>
            <w:r>
              <w:rPr>
                <w:rStyle w:val="Codeattribute"/>
              </w:rPr>
              <w:t>n=</w:t>
            </w:r>
            <w:r>
              <w:rPr>
                <w:rStyle w:val="Codevalue"/>
              </w:rPr>
              <w:t>"26"</w:t>
            </w:r>
            <w:r>
              <w:rPr>
                <w:rStyle w:val="Code"/>
              </w:rPr>
              <w:t xml:space="preserve"> </w:t>
            </w:r>
            <w:r>
              <w:rPr>
                <w:rStyle w:val="Codeattribute"/>
              </w:rPr>
              <w:t>met=</w:t>
            </w:r>
            <w:r>
              <w:rPr>
                <w:rStyle w:val="Codevalue"/>
              </w:rPr>
              <w:t>"gīti"</w:t>
            </w:r>
            <w:r>
              <w:rPr>
                <w:rStyle w:val="Code"/>
              </w:rPr>
              <w:t xml:space="preserve">&gt;&lt;certainty </w:t>
            </w:r>
            <w:r>
              <w:rPr>
                <w:rStyle w:val="Codeattribute"/>
              </w:rPr>
              <w:t>match=</w:t>
            </w:r>
            <w:r>
              <w:rPr>
                <w:rStyle w:val="Codevalue"/>
              </w:rPr>
              <w:t>"../@met" locus="value"</w:t>
            </w:r>
            <w:r>
              <w:rPr>
                <w:rStyle w:val="Code"/>
              </w:rPr>
              <w:t>/&gt;</w:t>
            </w:r>
          </w:p>
          <w:p w14:paraId="24093575" w14:textId="77777777">
            <w:pPr>
              <w:pStyle w:val="CodeParagraph"/>
              <w:keepNext/>
              <w:keepLines/>
              <w:rPr>
                <w:rStyle w:val="Code"/>
              </w:rPr>
            </w:pPr>
            <w:r>
              <w:rPr>
                <w:rStyle w:val="Code"/>
              </w:rPr>
              <w:t xml:space="preserve">  &lt;l </w:t>
            </w:r>
            <w:r>
              <w:rPr>
                <w:rStyle w:val="Codeattribute"/>
              </w:rPr>
              <w:t>n=</w:t>
            </w:r>
            <w:r>
              <w:rPr>
                <w:rStyle w:val="Codevalue"/>
              </w:rPr>
              <w:t>"ab"</w:t>
            </w:r>
            <w:r>
              <w:rPr>
                <w:rStyle w:val="Code"/>
              </w:rPr>
              <w:t>&gt;</w:t>
            </w:r>
            <w:r>
              <w:rPr>
                <w:rStyle w:val="Codetext"/>
              </w:rPr>
              <w:t xml:space="preserve">Atha vennamayya-nāmnas tasya </w:t>
            </w:r>
            <w:r>
              <w:rPr>
                <w:rStyle w:val="Code"/>
              </w:rPr>
              <w:t xml:space="preserve">&lt;seg </w:t>
            </w:r>
            <w:r>
              <w:rPr>
                <w:rStyle w:val="Codeattribute"/>
              </w:rPr>
              <w:t>met=</w:t>
            </w:r>
            <w:r>
              <w:rPr>
                <w:rStyle w:val="Codevalue"/>
              </w:rPr>
              <w:t>"-"</w:t>
            </w:r>
            <w:r>
              <w:rPr>
                <w:rStyle w:val="Code"/>
              </w:rPr>
              <w:t xml:space="preserve">&gt;&lt;gap </w:t>
            </w:r>
            <w:r>
              <w:rPr>
                <w:rStyle w:val="Codeattribute"/>
              </w:rPr>
              <w:t>reason=</w:t>
            </w:r>
            <w:r>
              <w:rPr>
                <w:rStyle w:val="Codevalue"/>
              </w:rPr>
              <w:t>"illegible"</w:t>
            </w:r>
            <w:r>
              <w:rPr>
                <w:rStyle w:val="Code"/>
              </w:rPr>
              <w:t xml:space="preserve"> </w:t>
            </w:r>
            <w:r>
              <w:rPr>
                <w:rStyle w:val="Codeattribute"/>
              </w:rPr>
              <w:t>quantity=</w:t>
            </w:r>
            <w:r>
              <w:rPr>
                <w:rStyle w:val="Codevalue"/>
              </w:rPr>
              <w:t>"1"</w:t>
            </w:r>
            <w:r>
              <w:rPr>
                <w:rStyle w:val="Code"/>
              </w:rPr>
              <w:t xml:space="preserve"> </w:t>
            </w:r>
            <w:r>
              <w:rPr>
                <w:rStyle w:val="Codeattribute"/>
              </w:rPr>
              <w:t>unit=</w:t>
            </w:r>
            <w:r>
              <w:rPr>
                <w:rStyle w:val="Codevalue"/>
              </w:rPr>
              <w:t>"character"</w:t>
            </w:r>
            <w:r>
              <w:rPr>
                <w:rStyle w:val="Code"/>
              </w:rPr>
              <w:t>/&gt;&lt;/seg&gt;</w:t>
            </w:r>
            <w:r>
              <w:rPr>
                <w:rStyle w:val="Codetext"/>
              </w:rPr>
              <w:t xml:space="preserve">sā </w:t>
            </w:r>
            <w:r>
              <w:rPr>
                <w:rStyle w:val="Code"/>
              </w:rPr>
              <w:t xml:space="preserve">&lt;gap </w:t>
            </w:r>
            <w:r>
              <w:rPr>
                <w:rStyle w:val="Codeattribute"/>
              </w:rPr>
              <w:t>reason=</w:t>
            </w:r>
            <w:r>
              <w:rPr>
                <w:rStyle w:val="Codevalue"/>
              </w:rPr>
              <w:t>"illegible"</w:t>
            </w:r>
            <w:r>
              <w:rPr>
                <w:rStyle w:val="Code"/>
              </w:rPr>
              <w:t xml:space="preserve"> </w:t>
            </w:r>
            <w:r>
              <w:rPr>
                <w:rStyle w:val="Codeattribute"/>
              </w:rPr>
              <w:t>quantity=</w:t>
            </w:r>
            <w:r>
              <w:rPr>
                <w:rStyle w:val="Codevalue"/>
              </w:rPr>
              <w:t>"8"</w:t>
            </w:r>
            <w:r>
              <w:rPr>
                <w:rStyle w:val="Code"/>
              </w:rPr>
              <w:t xml:space="preserve"> </w:t>
            </w:r>
            <w:r>
              <w:rPr>
                <w:rStyle w:val="Codeattribute"/>
              </w:rPr>
              <w:t>unit=</w:t>
            </w:r>
            <w:r>
              <w:rPr>
                <w:rStyle w:val="Codevalue"/>
              </w:rPr>
              <w:t>"character"</w:t>
            </w:r>
            <w:r>
              <w:rPr>
                <w:rStyle w:val="Code"/>
              </w:rPr>
              <w:t xml:space="preserve"> </w:t>
            </w:r>
            <w:r>
              <w:rPr>
                <w:rStyle w:val="Codeattribute"/>
              </w:rPr>
              <w:t>precision=</w:t>
            </w:r>
            <w:r>
              <w:rPr>
                <w:rStyle w:val="Codevalue"/>
              </w:rPr>
              <w:t>"low"</w:t>
            </w:r>
            <w:r>
              <w:rPr>
                <w:rStyle w:val="Code"/>
              </w:rPr>
              <w:t>/&gt;&lt;/l&gt;</w:t>
            </w:r>
          </w:p>
          <w:p w14:paraId="10549722" w14:textId="77777777">
            <w:pPr>
              <w:pStyle w:val="CodeParagraph"/>
              <w:keepNext/>
              <w:keepLines/>
              <w:rPr>
                <w:rStyle w:val="Code"/>
              </w:rPr>
            </w:pPr>
            <w:r>
              <w:rPr>
                <w:rStyle w:val="Code"/>
              </w:rPr>
              <w:t xml:space="preserve">  &lt;l </w:t>
            </w:r>
            <w:r>
              <w:rPr>
                <w:rStyle w:val="Codeattribute"/>
              </w:rPr>
              <w:t>n=</w:t>
            </w:r>
            <w:r>
              <w:rPr>
                <w:rStyle w:val="Codevalue"/>
              </w:rPr>
              <w:t>"cd"</w:t>
            </w:r>
            <w:r>
              <w:rPr>
                <w:rStyle w:val="Code"/>
              </w:rPr>
              <w:t xml:space="preserve">&gt;&lt;gap </w:t>
            </w:r>
            <w:r>
              <w:rPr>
                <w:rStyle w:val="Codeattribute"/>
              </w:rPr>
              <w:t>reason=</w:t>
            </w:r>
            <w:r>
              <w:rPr>
                <w:rStyle w:val="Codevalue"/>
              </w:rPr>
              <w:t>"illegible"</w:t>
            </w:r>
            <w:r>
              <w:rPr>
                <w:rStyle w:val="Code"/>
              </w:rPr>
              <w:t xml:space="preserve"> </w:t>
            </w:r>
            <w:r>
              <w:rPr>
                <w:rStyle w:val="Codeattribute"/>
              </w:rPr>
              <w:t>quantity=</w:t>
            </w:r>
            <w:r>
              <w:rPr>
                <w:rStyle w:val="Codevalue"/>
              </w:rPr>
              <w:t>"2"</w:t>
            </w:r>
            <w:r>
              <w:rPr>
                <w:rStyle w:val="Code"/>
              </w:rPr>
              <w:t xml:space="preserve"> </w:t>
            </w:r>
            <w:r>
              <w:rPr>
                <w:rStyle w:val="Codeattribute"/>
              </w:rPr>
              <w:t>unit=</w:t>
            </w:r>
            <w:r>
              <w:rPr>
                <w:rStyle w:val="Codevalue"/>
              </w:rPr>
              <w:t>"character"</w:t>
            </w:r>
            <w:r>
              <w:rPr>
                <w:rStyle w:val="Code"/>
              </w:rPr>
              <w:t xml:space="preserve"> </w:t>
            </w:r>
            <w:r>
              <w:rPr>
                <w:rStyle w:val="Codeattribute"/>
              </w:rPr>
              <w:t>precision=</w:t>
            </w:r>
            <w:r>
              <w:rPr>
                <w:rStyle w:val="Codevalue"/>
              </w:rPr>
              <w:t>"low"</w:t>
            </w:r>
            <w:r>
              <w:rPr>
                <w:rStyle w:val="Code"/>
              </w:rPr>
              <w:t>/&gt;</w:t>
            </w:r>
            <w:r>
              <w:rPr>
                <w:rStyle w:val="Codetext"/>
              </w:rPr>
              <w:t>vir vvirājadevana Ity ajani dvija-kulottamas sūnuḥ</w:t>
            </w:r>
            <w:r>
              <w:rPr>
                <w:rStyle w:val="Code"/>
              </w:rPr>
              <w:t>&lt;/l&gt;</w:t>
            </w:r>
          </w:p>
          <w:p w14:paraId="1836ADB9" w14:textId="77777777">
            <w:pPr>
              <w:pStyle w:val="CodeParagraph"/>
              <w:keepNext/>
              <w:keepLines/>
              <w:rPr>
                <w:rFonts w:ascii="Consolas" w:hAnsi="Consolas" w:cs="Consolas"/>
                <w:noProof/>
                <w:color w:val="002060"/>
                <w:shd w:val="clear" w:color="auto" w:fill="F2F2F2" w:themeFill="background1" w:themeFillShade="F2"/>
              </w:rPr>
            </w:pPr>
            <w:r>
              <w:rPr>
                <w:rStyle w:val="Code"/>
              </w:rPr>
              <w:t>&lt;/lg&gt;</w:t>
            </w:r>
          </w:p>
        </w:tc>
      </w:tr>
      <w:tr w14:paraId="275022AA" w14:textId="77777777">
        <w:tc>
          <w:tcPr>
            <w:tcW w:w="5000" w:type="pct"/>
          </w:tcPr>
          <w:p w14:paraId="6F621B44" w14:textId="77777777">
            <w:pPr>
              <w:pStyle w:val="TableNote"/>
            </w:pPr>
            <w:r>
              <w:t xml:space="preserve">due to the extent of lacunae in this stanza, it can only tentatively be identified as a </w:t>
            </w:r>
            <w:r>
              <w:rPr>
                <w:rStyle w:val="Foreign"/>
              </w:rPr>
              <w:t>gīti</w:t>
            </w:r>
          </w:p>
          <w:p w14:paraId="21BCF066" w14:textId="77777777">
            <w:pPr>
              <w:pStyle w:val="TableNote"/>
            </w:pPr>
            <w:r>
              <w:t xml:space="preserve">the uncertainty of this identification is indicated with the </w:t>
            </w:r>
            <w:r>
              <w:rPr>
                <w:rStyle w:val="Code"/>
              </w:rPr>
              <w:t>&lt;certainty&gt;</w:t>
            </w:r>
            <w:r>
              <w:t xml:space="preserve"> element</w:t>
            </w:r>
          </w:p>
          <w:p w14:paraId="685F33B9" w14:textId="6E48E005">
            <w:pPr>
              <w:pStyle w:val="TableNote"/>
            </w:pPr>
            <w:r>
              <w:t>for the encoding of lost text with known prosody see §</w:t>
            </w:r>
            <w:r>
              <w:fldChar w:fldCharType="begin"/>
            </w:r>
            <w:r>
              <w:instrText xml:space="preserve"> REF _Ref228275301 \r \h </w:instrText>
            </w:r>
            <w:r>
              <w:fldChar w:fldCharType="separate"/>
            </w:r>
            <w:r>
              <w:t>6.5.2.3</w:t>
            </w:r>
            <w:r>
              <w:fldChar w:fldCharType="end"/>
            </w:r>
          </w:p>
        </w:tc>
      </w:tr>
    </w:tbl>
    <w:p w14:paraId="484EA129" w14:textId="77777777">
      <w:pPr>
        <w:pStyle w:val="Cmsor4"/>
      </w:pPr>
      <w:r>
        <w:t>Unidentifiable metre</w:t>
      </w:r>
    </w:p>
    <w:p w14:paraId="0B896DBA" w14:textId="77777777">
      <w:pPr>
        <w:pStyle w:val="Lista"/>
      </w:pPr>
      <w:r>
        <w:t>if a part of your text seems with reasonable certainty to be in verse, but it is too heavily damaged to identify the metre even tentatively, then</w:t>
      </w:r>
    </w:p>
    <w:p w14:paraId="32432527" w14:textId="77777777">
      <w:pPr>
        <w:pStyle w:val="Lista2"/>
      </w:pPr>
      <w:r>
        <w:t xml:space="preserve">tag it as </w:t>
      </w:r>
      <w:r>
        <w:rPr>
          <w:rStyle w:val="Codeattribute"/>
        </w:rPr>
        <w:t>@met</w:t>
      </w:r>
      <w:r>
        <w:rPr>
          <w:rStyle w:val="Code"/>
        </w:rPr>
        <w:t>=</w:t>
      </w:r>
      <w:r>
        <w:rPr>
          <w:rStyle w:val="Codevalue"/>
        </w:rPr>
        <w:t>"uncertain"</w:t>
      </w:r>
    </w:p>
    <w:p w14:paraId="54F525EE" w14:textId="7C470707">
      <w:pPr>
        <w:pStyle w:val="Lista"/>
      </w:pPr>
      <w:r>
        <w:t xml:space="preserve">conversely, for heavily lacunose verse where the stanza structure itself cannot be established with any certainty, consider wrapping the text in an </w:t>
      </w:r>
      <w:r>
        <w:rPr>
          <w:rStyle w:val="Code"/>
        </w:rPr>
        <w:t>&lt;ab&gt;</w:t>
      </w:r>
      <w:r>
        <w:t xml:space="preserve"> element </w:t>
      </w:r>
      <w:r>
        <w:rPr>
          <w:noProof/>
        </w:rPr>
        <w:t>(</w:t>
      </w:r>
      <w:r>
        <w:t>§</w:t>
      </w:r>
      <w:r>
        <w:fldChar w:fldCharType="begin"/>
      </w:r>
      <w:r>
        <w:instrText xml:space="preserve"> REF _Ref43981028 \r \h  \* MERGEFORMAT </w:instrText>
      </w:r>
      <w:r>
        <w:fldChar w:fldCharType="separate"/>
      </w:r>
      <w:r>
        <w:t>3.2.1.2</w:t>
      </w:r>
      <w:r>
        <w:fldChar w:fldCharType="end"/>
      </w:r>
      <w:r>
        <w:t>) instead of marking it up as verse</w:t>
      </w:r>
    </w:p>
    <w:p w14:paraId="5BBCF05A" w14:textId="77777777">
      <w:pPr>
        <w:pStyle w:val="Cmsor4"/>
      </w:pPr>
      <w:bookmarkStart w:id="138" w:name="_Ref224727363"/>
      <w:r>
        <w:lastRenderedPageBreak/>
        <w:t>Free metre</w:t>
      </w:r>
      <w:bookmarkEnd w:id="138"/>
    </w:p>
    <w:p w14:paraId="7A5DA52D" w14:textId="77777777">
      <w:pPr>
        <w:pStyle w:val="Lista"/>
        <w:rPr>
          <w:lang w:eastAsia="en-US" w:bidi="ar-SA"/>
        </w:rPr>
      </w:pPr>
      <w:r>
        <w:rPr>
          <w:lang w:eastAsia="en-US" w:bidi="ar-SA"/>
        </w:rPr>
        <w:t>for text evidently structured as verse (as indicated by any combination of rhyme and assonance structures, metrical cadences or spatial arrangement) but without a consistent prosodic pattern,</w:t>
      </w:r>
    </w:p>
    <w:p w14:paraId="7596B28B" w14:textId="77777777">
      <w:pPr>
        <w:pStyle w:val="Lista2"/>
      </w:pPr>
      <w:r>
        <w:t xml:space="preserve">use </w:t>
      </w:r>
      <w:r>
        <w:rPr>
          <w:rStyle w:val="Codeattribute"/>
        </w:rPr>
        <w:t>@met</w:t>
      </w:r>
      <w:r>
        <w:rPr>
          <w:rStyle w:val="Code"/>
        </w:rPr>
        <w:t>=</w:t>
      </w:r>
      <w:r>
        <w:rPr>
          <w:rStyle w:val="Codevalue"/>
        </w:rPr>
        <w:t>"free"</w:t>
      </w:r>
      <w:r>
        <w:t xml:space="preserve"> on the stanza</w:t>
      </w:r>
    </w:p>
    <w:p w14:paraId="314C80CC" w14:textId="77777777">
      <w:pPr>
        <w:pStyle w:val="Lista2"/>
      </w:pPr>
      <w:r>
        <w:t xml:space="preserve">optionally add </w:t>
      </w:r>
      <w:r>
        <w:rPr>
          <w:rStyle w:val="Codeattribute"/>
        </w:rPr>
        <w:t>@real</w:t>
      </w:r>
      <w:r>
        <w:t xml:space="preserve"> to all of the lines</w:t>
      </w:r>
    </w:p>
    <w:p w14:paraId="5EF5E727" w14:textId="42010BE0">
      <w:pPr>
        <w:pStyle w:val="Lista2"/>
      </w:pPr>
      <w:r>
        <w:t>the lines of free verse shall normally be numbered with Arabic numbers (§</w:t>
      </w:r>
      <w:r>
        <w:fldChar w:fldCharType="begin"/>
      </w:r>
      <w:r>
        <w:instrText xml:space="preserve"> REF _Ref181706499 \r \h </w:instrText>
      </w:r>
      <w:r>
        <w:fldChar w:fldCharType="separate"/>
      </w:r>
      <w:r>
        <w:t>3.2.2.2</w:t>
      </w:r>
      <w:r>
        <w:fldChar w:fldCharType="end"/>
      </w:r>
      <w:r>
        <w:t>)</w:t>
      </w:r>
    </w:p>
    <w:p w14:paraId="1AB1A33B" w14:textId="77777777">
      <w:pPr>
        <w:pStyle w:val="Cmsor4"/>
      </w:pPr>
      <w:bookmarkStart w:id="139" w:name="_Ref224725813"/>
      <w:bookmarkStart w:id="140" w:name="_Ref224912448"/>
      <w:bookmarkStart w:id="141" w:name="_Ref181609517"/>
      <w:r>
        <w:t>Mixed metre</w:t>
      </w:r>
      <w:bookmarkEnd w:id="139"/>
      <w:bookmarkEnd w:id="140"/>
    </w:p>
    <w:p w14:paraId="2BCFBCAA" w14:textId="2159EAC6">
      <w:pPr>
        <w:pStyle w:val="Lista"/>
      </w:pPr>
      <w:r>
        <w:t xml:space="preserve">if one or more lines of a stanza follow a different legitimate metrical template than the others, as in </w:t>
      </w:r>
      <w:r>
        <w:fldChar w:fldCharType="begin"/>
      </w:r>
      <w:r>
        <w:instrText xml:space="preserve"> REF _Ref44077218 \h </w:instrText>
      </w:r>
      <w:r>
        <w:fldChar w:fldCharType="separate"/>
      </w:r>
      <w:r>
        <w:t xml:space="preserve">Exhibit </w:t>
      </w:r>
      <w:r>
        <w:rPr>
          <w:noProof/>
        </w:rPr>
        <w:t>3.3</w:t>
      </w:r>
      <w:r>
        <w:t>.</w:t>
      </w:r>
      <w:r>
        <w:rPr>
          <w:noProof/>
        </w:rPr>
        <w:t>C</w:t>
      </w:r>
      <w:r>
        <w:fldChar w:fldCharType="end"/>
      </w:r>
      <w:r>
        <w:t>, then</w:t>
      </w:r>
    </w:p>
    <w:p w14:paraId="5B85A25E" w14:textId="77777777">
      <w:pPr>
        <w:pStyle w:val="Lista2"/>
      </w:pPr>
      <w:r>
        <w:t xml:space="preserve">use </w:t>
      </w:r>
      <w:r>
        <w:rPr>
          <w:rStyle w:val="Codeattribute"/>
        </w:rPr>
        <w:t>@met</w:t>
      </w:r>
      <w:r>
        <w:rPr>
          <w:rStyle w:val="Code"/>
        </w:rPr>
        <w:t>=</w:t>
      </w:r>
      <w:r>
        <w:rPr>
          <w:rStyle w:val="Codevalue"/>
        </w:rPr>
        <w:t>"mixed"</w:t>
      </w:r>
      <w:r>
        <w:t xml:space="preserve"> on the stanza</w:t>
      </w:r>
    </w:p>
    <w:p w14:paraId="30B2DD78" w14:textId="77777777">
      <w:pPr>
        <w:pStyle w:val="Lista2"/>
        <w:rPr>
          <w:rStyle w:val="Codeattribute"/>
          <w:rFonts w:ascii="Gentium" w:hAnsi="Gentium" w:cs="Tiro Devanagari Sanskrit"/>
          <w:noProof w:val="0"/>
          <w:color w:val="auto"/>
          <w:shd w:val="clear" w:color="auto" w:fill="auto"/>
        </w:rPr>
      </w:pPr>
      <w:r>
        <w:t xml:space="preserve">encode the prosodic template separately for each line of the stanza with </w:t>
      </w:r>
      <w:r>
        <w:rPr>
          <w:rStyle w:val="Codeattribute"/>
        </w:rPr>
        <w:t>@met</w:t>
      </w:r>
      <w:r>
        <w:t xml:space="preserve"> </w:t>
      </w:r>
    </w:p>
    <w:p w14:paraId="58E71EF5" w14:textId="6EAA39C6">
      <w:pPr>
        <w:pStyle w:val="Lista3"/>
      </w:pPr>
      <w:r>
        <w:t xml:space="preserve">if necessary, this can be combined with </w:t>
      </w:r>
      <w:r>
        <w:rPr>
          <w:rStyle w:val="Codeattribute"/>
        </w:rPr>
        <w:t>@real</w:t>
      </w:r>
      <w:r>
        <w:t xml:space="preserve"> for lines that were probably intended to match a legitimate template but do not (§</w:t>
      </w:r>
      <w:r>
        <w:fldChar w:fldCharType="begin"/>
      </w:r>
      <w:r>
        <w:instrText xml:space="preserve"> REF _Ref224726906 \r \h </w:instrText>
      </w:r>
      <w:r>
        <w:fldChar w:fldCharType="separate"/>
      </w:r>
      <w:r>
        <w:t>3.3.4.2</w:t>
      </w:r>
      <w:r>
        <w:fldChar w:fldCharType="end"/>
      </w:r>
      <w:r>
        <w:t>)</w:t>
      </w:r>
    </w:p>
    <w:p w14:paraId="359B7917" w14:textId="77777777">
      <w:pPr>
        <w:pStyle w:val="Lista"/>
      </w:pPr>
      <w:r>
        <w:t>note that some metres permit (or require) different prosodic templates for the odd and even lines of a stanza, or for any quarter of a quatrain</w:t>
      </w:r>
    </w:p>
    <w:p w14:paraId="28814A43" w14:textId="77777777">
      <w:pPr>
        <w:pStyle w:val="Lista2"/>
      </w:pPr>
      <w:r>
        <w:t xml:space="preserve">if such a metre has a conventional name recognised in our authority file (e.g. </w:t>
      </w:r>
      <w:r>
        <w:rPr>
          <w:rStyle w:val="Foreign"/>
        </w:rPr>
        <w:t>upajāti</w:t>
      </w:r>
      <w:r>
        <w:t xml:space="preserve">), then it is not a “mixed” metre, so simply encode the name of the metre on the </w:t>
      </w:r>
      <w:r>
        <w:rPr>
          <w:rStyle w:val="Codeattribute"/>
        </w:rPr>
        <w:t>@met</w:t>
      </w:r>
      <w:r>
        <w:t xml:space="preserve"> of the stanza</w:t>
      </w:r>
    </w:p>
    <w:p w14:paraId="030ABD31" w14:textId="77777777">
      <w:pPr>
        <w:pStyle w:val="Lista2"/>
      </w:pPr>
      <w:r>
        <w:t xml:space="preserve">whereas </w:t>
      </w:r>
      <w:r>
        <w:rPr>
          <w:rStyle w:val="Codeattribute"/>
        </w:rPr>
        <w:t>@met</w:t>
      </w:r>
      <w:r>
        <w:rPr>
          <w:rStyle w:val="Code"/>
        </w:rPr>
        <w:t>=</w:t>
      </w:r>
      <w:r>
        <w:rPr>
          <w:rStyle w:val="Codevalue"/>
        </w:rPr>
        <w:t>"mixed"</w:t>
      </w:r>
      <w:r>
        <w:t xml:space="preserve"> must be limited to the rare cases for which a stanza-level metre name cannot be identified</w:t>
      </w:r>
    </w:p>
    <w:tbl>
      <w:tblPr>
        <w:tblStyle w:val="CodeSampleTable"/>
        <w:tblW w:w="5000" w:type="pct"/>
        <w:tblLook w:val="04A0" w:firstRow="1" w:lastRow="0" w:firstColumn="1" w:lastColumn="0" w:noHBand="0" w:noVBand="1"/>
      </w:tblPr>
      <w:tblGrid>
        <w:gridCol w:w="9628"/>
      </w:tblGrid>
      <w:tr w14:paraId="3EEA7A1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E08B3E7" w14:textId="754DAB12">
            <w:pPr>
              <w:pStyle w:val="Kpalrs"/>
            </w:pPr>
            <w:bookmarkStart w:id="142" w:name="_Ref44077218"/>
            <w:r>
              <w:t xml:space="preserve">Exhibit </w:t>
            </w:r>
            <w:fldSimple w:instr=" STYLEREF 2 \s ">
              <w:r>
                <w:rPr>
                  <w:noProof/>
                </w:rPr>
                <w:t>3.3</w:t>
              </w:r>
            </w:fldSimple>
            <w:r>
              <w:t>.</w:t>
            </w:r>
            <w:fldSimple w:instr=" SEQ Exhibit \* ALPHABETIC \s 2 ">
              <w:r>
                <w:rPr>
                  <w:noProof/>
                </w:rPr>
                <w:t>C</w:t>
              </w:r>
            </w:fldSimple>
            <w:bookmarkEnd w:id="142"/>
            <w:r>
              <w:t>: line with a prosodic template other than the rest of the stanza</w:t>
            </w:r>
          </w:p>
        </w:tc>
      </w:tr>
      <w:tr w14:paraId="3F60FF82" w14:textId="77777777">
        <w:tc>
          <w:tcPr>
            <w:tcW w:w="5000" w:type="pct"/>
          </w:tcPr>
          <w:p w14:paraId="445B892B" w14:textId="77777777">
            <w:pPr>
              <w:pStyle w:val="CodeParagraph"/>
              <w:keepNext/>
              <w:rPr>
                <w:rStyle w:val="Code"/>
              </w:rPr>
            </w:pPr>
            <w:r>
              <w:rPr>
                <w:rStyle w:val="Code"/>
              </w:rPr>
              <w:t xml:space="preserve">&lt;lg </w:t>
            </w:r>
            <w:r>
              <w:rPr>
                <w:rStyle w:val="Codeattribute"/>
              </w:rPr>
              <w:t>n=</w:t>
            </w:r>
            <w:r>
              <w:rPr>
                <w:rStyle w:val="Codevalue"/>
              </w:rPr>
              <w:t>"9"</w:t>
            </w:r>
            <w:r>
              <w:rPr>
                <w:rStyle w:val="Code"/>
              </w:rPr>
              <w:t xml:space="preserve"> </w:t>
            </w:r>
            <w:r>
              <w:rPr>
                <w:rStyle w:val="Codeattribute"/>
              </w:rPr>
              <w:t>met=</w:t>
            </w:r>
            <w:r>
              <w:rPr>
                <w:rStyle w:val="Codevalue"/>
              </w:rPr>
              <w:t>"mixed"</w:t>
            </w:r>
            <w:r>
              <w:rPr>
                <w:rStyle w:val="Code"/>
              </w:rPr>
              <w:t>&gt;</w:t>
            </w:r>
          </w:p>
          <w:p w14:paraId="06AA2046" w14:textId="77777777">
            <w:pPr>
              <w:pStyle w:val="CodeParagraph"/>
              <w:keepNext/>
              <w:rPr>
                <w:rStyle w:val="Code"/>
              </w:rPr>
            </w:pPr>
            <w:r>
              <w:rPr>
                <w:rStyle w:val="Code"/>
              </w:rPr>
              <w:t xml:space="preserve">  &lt;l </w:t>
            </w:r>
            <w:r>
              <w:rPr>
                <w:rStyle w:val="Codeattribute"/>
              </w:rPr>
              <w:t>n=</w:t>
            </w:r>
            <w:r>
              <w:rPr>
                <w:rStyle w:val="Codevalue"/>
              </w:rPr>
              <w:t>"a"</w:t>
            </w:r>
            <w:r>
              <w:rPr>
                <w:rStyle w:val="Code"/>
              </w:rPr>
              <w:t xml:space="preserve"> </w:t>
            </w:r>
            <w:r>
              <w:rPr>
                <w:rStyle w:val="Codeattribute"/>
              </w:rPr>
              <w:t>met=</w:t>
            </w:r>
            <w:r>
              <w:rPr>
                <w:rStyle w:val="Codevalue"/>
              </w:rPr>
              <w:t>"vaṁśastha"</w:t>
            </w:r>
            <w:r>
              <w:rPr>
                <w:rStyle w:val="Code"/>
              </w:rPr>
              <w:t>&gt;</w:t>
            </w:r>
            <w:r>
              <w:rPr>
                <w:rStyle w:val="Codetext"/>
              </w:rPr>
              <w:t>yaśo-vikāśāya vikāśitā diśo</w:t>
            </w:r>
            <w:r>
              <w:rPr>
                <w:rStyle w:val="Code"/>
              </w:rPr>
              <w:t>&lt;/l&gt;</w:t>
            </w:r>
          </w:p>
          <w:p w14:paraId="47A4D540" w14:textId="77777777">
            <w:pPr>
              <w:pStyle w:val="CodeParagraph"/>
              <w:keepNext/>
              <w:rPr>
                <w:rStyle w:val="Code"/>
              </w:rPr>
            </w:pPr>
            <w:r>
              <w:rPr>
                <w:rStyle w:val="Code"/>
              </w:rPr>
              <w:t xml:space="preserve">  &lt;l </w:t>
            </w:r>
            <w:r>
              <w:rPr>
                <w:rStyle w:val="Codeattribute"/>
              </w:rPr>
              <w:t>n=</w:t>
            </w:r>
            <w:r>
              <w:rPr>
                <w:rStyle w:val="Codevalue"/>
              </w:rPr>
              <w:t>"b"</w:t>
            </w:r>
            <w:r>
              <w:rPr>
                <w:rStyle w:val="Code"/>
              </w:rPr>
              <w:t xml:space="preserve"> </w:t>
            </w:r>
            <w:r>
              <w:rPr>
                <w:rStyle w:val="Codeattribute"/>
              </w:rPr>
              <w:t>met=</w:t>
            </w:r>
            <w:r>
              <w:rPr>
                <w:rStyle w:val="Codevalue"/>
              </w:rPr>
              <w:t>"upendravajrā"</w:t>
            </w:r>
            <w:r>
              <w:rPr>
                <w:rStyle w:val="Code"/>
              </w:rPr>
              <w:t>&gt;</w:t>
            </w:r>
            <w:r>
              <w:rPr>
                <w:rStyle w:val="Codetext"/>
              </w:rPr>
              <w:t>daśāpi viśvasya pitāmahena</w:t>
            </w:r>
            <w:r>
              <w:rPr>
                <w:rStyle w:val="Code"/>
              </w:rPr>
              <w:t>&lt;/l&gt;</w:t>
            </w:r>
          </w:p>
          <w:p w14:paraId="1995DE74" w14:textId="77777777">
            <w:pPr>
              <w:pStyle w:val="CodeParagraph"/>
              <w:keepNext/>
              <w:rPr>
                <w:rStyle w:val="Code"/>
              </w:rPr>
            </w:pPr>
            <w:r>
              <w:rPr>
                <w:rStyle w:val="Code"/>
              </w:rPr>
              <w:t xml:space="preserve">  &lt;l </w:t>
            </w:r>
            <w:r>
              <w:rPr>
                <w:rStyle w:val="Codeattribute"/>
              </w:rPr>
              <w:t>n=</w:t>
            </w:r>
            <w:r>
              <w:rPr>
                <w:rStyle w:val="Codevalue"/>
              </w:rPr>
              <w:t>"c"</w:t>
            </w:r>
            <w:r>
              <w:rPr>
                <w:rStyle w:val="Code"/>
              </w:rPr>
              <w:t xml:space="preserve"> </w:t>
            </w:r>
            <w:r>
              <w:rPr>
                <w:rStyle w:val="Codeattribute"/>
              </w:rPr>
              <w:t>met=</w:t>
            </w:r>
            <w:r>
              <w:rPr>
                <w:rStyle w:val="Codevalue"/>
              </w:rPr>
              <w:t>"upendravajrā"</w:t>
            </w:r>
            <w:r>
              <w:rPr>
                <w:rStyle w:val="Code"/>
              </w:rPr>
              <w:t>&gt;</w:t>
            </w:r>
            <w:r>
              <w:rPr>
                <w:rStyle w:val="Codetext"/>
              </w:rPr>
              <w:t>śriyan nidhāyorasi yasya viṣṇuḥ</w:t>
            </w:r>
            <w:r>
              <w:rPr>
                <w:rStyle w:val="Code"/>
              </w:rPr>
              <w:t>&lt;/l&gt;</w:t>
            </w:r>
          </w:p>
          <w:p w14:paraId="2583D8B1" w14:textId="77777777">
            <w:pPr>
              <w:pStyle w:val="CodeParagraph"/>
              <w:keepNext/>
            </w:pPr>
            <w:r>
              <w:rPr>
                <w:rStyle w:val="Code"/>
              </w:rPr>
              <w:t xml:space="preserve">  &lt;l </w:t>
            </w:r>
            <w:r>
              <w:rPr>
                <w:rStyle w:val="Codeattribute"/>
              </w:rPr>
              <w:t>n=</w:t>
            </w:r>
            <w:r>
              <w:rPr>
                <w:rStyle w:val="Codevalue"/>
              </w:rPr>
              <w:t>"d"</w:t>
            </w:r>
            <w:r>
              <w:rPr>
                <w:rStyle w:val="Code"/>
              </w:rPr>
              <w:t xml:space="preserve"> </w:t>
            </w:r>
            <w:r>
              <w:rPr>
                <w:rStyle w:val="Codeattribute"/>
              </w:rPr>
              <w:t>met=</w:t>
            </w:r>
            <w:r>
              <w:rPr>
                <w:rStyle w:val="Codevalue"/>
              </w:rPr>
              <w:t>"upendravajrā"</w:t>
            </w:r>
            <w:r>
              <w:rPr>
                <w:rStyle w:val="Code"/>
              </w:rPr>
              <w:t>&gt;</w:t>
            </w:r>
            <w:r>
              <w:rPr>
                <w:rStyle w:val="Codetext"/>
              </w:rPr>
              <w:t>sva-mūrttitāṁ svaṁ ca tapāṁsi tepe</w:t>
            </w:r>
            <w:r>
              <w:rPr>
                <w:rStyle w:val="Code"/>
              </w:rPr>
              <w:t>&lt;/l&gt;</w:t>
            </w:r>
            <w:r>
              <w:t xml:space="preserve"> </w:t>
            </w:r>
          </w:p>
          <w:p w14:paraId="4E1CBBE4" w14:textId="77777777">
            <w:pPr>
              <w:pStyle w:val="CodeParagraph"/>
              <w:keepNext/>
              <w:rPr>
                <w:rFonts w:ascii="Consolas" w:hAnsi="Consolas" w:cs="Consolas"/>
                <w:noProof/>
                <w:color w:val="002060"/>
                <w:shd w:val="clear" w:color="auto" w:fill="F2F2F2" w:themeFill="background1" w:themeFillShade="F2"/>
              </w:rPr>
            </w:pPr>
            <w:r>
              <w:rPr>
                <w:rStyle w:val="Code"/>
              </w:rPr>
              <w:t>&lt;/lg&gt;</w:t>
            </w:r>
          </w:p>
        </w:tc>
      </w:tr>
      <w:tr w14:paraId="347A15FA" w14:textId="77777777">
        <w:tc>
          <w:tcPr>
            <w:tcW w:w="5000" w:type="pct"/>
          </w:tcPr>
          <w:p w14:paraId="0736E45D" w14:textId="77777777">
            <w:pPr>
              <w:pStyle w:val="TableNote"/>
            </w:pPr>
            <w:r>
              <w:t xml:space="preserve">the first </w:t>
            </w:r>
            <w:r>
              <w:rPr>
                <w:rStyle w:val="Foreign"/>
              </w:rPr>
              <w:t>pāda</w:t>
            </w:r>
            <w:r>
              <w:t xml:space="preserve"> follows the </w:t>
            </w:r>
            <w:r>
              <w:rPr>
                <w:rStyle w:val="Foreign"/>
              </w:rPr>
              <w:t>vaṁśastha</w:t>
            </w:r>
            <w:r>
              <w:t xml:space="preserve"> template, while the rest of the lines conform to </w:t>
            </w:r>
            <w:r>
              <w:rPr>
                <w:rStyle w:val="Foreign"/>
              </w:rPr>
              <w:t>upendravajrā</w:t>
            </w:r>
          </w:p>
          <w:p w14:paraId="5FE377DC" w14:textId="77777777">
            <w:pPr>
              <w:pStyle w:val="TableNote"/>
            </w:pPr>
            <w:r>
              <w:t xml:space="preserve">the metre for the stanza is encoded as mixed, and </w:t>
            </w:r>
            <w:r>
              <w:rPr>
                <w:rStyle w:val="Codeattribute"/>
              </w:rPr>
              <w:t>@met</w:t>
            </w:r>
            <w:r>
              <w:t>, with a pattern name as its value, is added to each line</w:t>
            </w:r>
          </w:p>
        </w:tc>
      </w:tr>
    </w:tbl>
    <w:p w14:paraId="4AA9F69B" w14:textId="77777777">
      <w:pPr>
        <w:pStyle w:val="Cmsor3"/>
      </w:pPr>
      <w:bookmarkStart w:id="143" w:name="_Ref225325358"/>
      <w:bookmarkStart w:id="144" w:name="_Toc243922610"/>
      <w:bookmarkEnd w:id="141"/>
      <w:r>
        <w:t>Metrical complications</w:t>
      </w:r>
      <w:bookmarkEnd w:id="132"/>
      <w:bookmarkEnd w:id="133"/>
      <w:bookmarkEnd w:id="143"/>
      <w:bookmarkEnd w:id="144"/>
    </w:p>
    <w:p w14:paraId="75666987" w14:textId="77777777">
      <w:pPr>
        <w:pStyle w:val="Cmsor4"/>
      </w:pPr>
      <w:bookmarkStart w:id="145" w:name="_Ref224725166"/>
      <w:bookmarkStart w:id="146" w:name="_Ref224725159"/>
      <w:bookmarkStart w:id="147" w:name="_Ref43980303"/>
      <w:bookmarkEnd w:id="85"/>
      <w:bookmarkEnd w:id="86"/>
      <w:bookmarkEnd w:id="128"/>
      <w:r>
        <w:t>Legitimate metrical variation</w:t>
      </w:r>
      <w:bookmarkEnd w:id="145"/>
    </w:p>
    <w:p w14:paraId="74EB5C59" w14:textId="72175A02">
      <w:pPr>
        <w:pStyle w:val="Lista"/>
      </w:pPr>
      <w:r>
        <w:t xml:space="preserve">when a line conforms to a legitimate variation on a basic stanza template, as in </w:t>
      </w:r>
      <w:r>
        <w:rPr>
          <w:rStyle w:val="Foreign"/>
        </w:rPr>
        <w:t>vipulā anuṣṭubh</w:t>
      </w:r>
      <w:r>
        <w:t xml:space="preserve"> (VG §2.2.1), it is optional but recommended that you encode this as in </w:t>
      </w:r>
      <w:r>
        <w:fldChar w:fldCharType="begin"/>
      </w:r>
      <w:r>
        <w:instrText xml:space="preserve"> REF _Ref181707200 \h </w:instrText>
      </w:r>
      <w:r>
        <w:fldChar w:fldCharType="separate"/>
      </w:r>
      <w:r>
        <w:t xml:space="preserve">Exhibit </w:t>
      </w:r>
      <w:r>
        <w:rPr>
          <w:noProof/>
        </w:rPr>
        <w:t>3.3</w:t>
      </w:r>
      <w:r>
        <w:t>.</w:t>
      </w:r>
      <w:r>
        <w:rPr>
          <w:noProof/>
        </w:rPr>
        <w:t>D</w:t>
      </w:r>
      <w:r>
        <w:fldChar w:fldCharType="end"/>
      </w:r>
      <w:r>
        <w:t>, namely:</w:t>
      </w:r>
    </w:p>
    <w:p w14:paraId="0442A95D" w14:textId="77777777">
      <w:pPr>
        <w:pStyle w:val="Lista2"/>
      </w:pPr>
      <w:r>
        <w:t xml:space="preserve">add </w:t>
      </w:r>
      <w:r>
        <w:rPr>
          <w:rStyle w:val="Codeattribute"/>
        </w:rPr>
        <w:t>@met</w:t>
      </w:r>
      <w:r>
        <w:t xml:space="preserve"> to the line concerned, for its value using the name of the </w:t>
      </w:r>
      <w:r>
        <w:rPr>
          <w:rStyle w:val="Foreign"/>
        </w:rPr>
        <w:t>vipulā</w:t>
      </w:r>
      <w:r>
        <w:t xml:space="preserve"> variant as listed in the authority file</w:t>
      </w:r>
    </w:p>
    <w:p w14:paraId="0C67FEF9" w14:textId="77777777">
      <w:pPr>
        <w:pStyle w:val="Lista2"/>
      </w:pPr>
      <w:r>
        <w:t xml:space="preserve">preferably also add </w:t>
      </w:r>
      <w:r>
        <w:rPr>
          <w:rStyle w:val="Codeattribute"/>
        </w:rPr>
        <w:t>@real</w:t>
      </w:r>
      <w:r>
        <w:t xml:space="preserve"> to the </w:t>
      </w:r>
      <w:r>
        <w:rPr>
          <w:rStyle w:val="Code"/>
        </w:rPr>
        <w:t>&lt;l&gt;</w:t>
      </w:r>
      <w:r>
        <w:t xml:space="preserve"> element concerned to record the accurate prosodic realisation of each syllable of the line</w:t>
      </w:r>
    </w:p>
    <w:p w14:paraId="0CAD540D" w14:textId="1548BB49">
      <w:pPr>
        <w:pStyle w:val="Lista2"/>
      </w:pPr>
      <w:r>
        <w:t xml:space="preserve">further illustrations of </w:t>
      </w:r>
      <w:r>
        <w:rPr>
          <w:rStyle w:val="Foreign"/>
        </w:rPr>
        <w:t>vipulā anuṣṭubh</w:t>
      </w:r>
      <w:r>
        <w:t xml:space="preserve"> (with other complications) are found in </w:t>
      </w:r>
      <w:r>
        <w:fldChar w:fldCharType="begin"/>
      </w:r>
      <w:r>
        <w:instrText xml:space="preserve"> REF _Ref181628185 \h </w:instrText>
      </w:r>
      <w:r>
        <w:fldChar w:fldCharType="separate"/>
      </w:r>
      <w:r>
        <w:t xml:space="preserve">Exhibit </w:t>
      </w:r>
      <w:r>
        <w:rPr>
          <w:noProof/>
        </w:rPr>
        <w:t>3.2</w:t>
      </w:r>
      <w:r>
        <w:t>.</w:t>
      </w:r>
      <w:r>
        <w:rPr>
          <w:noProof/>
        </w:rPr>
        <w:t>J</w:t>
      </w:r>
      <w:r>
        <w:fldChar w:fldCharType="end"/>
      </w:r>
      <w:r>
        <w:t xml:space="preserve"> and </w:t>
      </w:r>
      <w:r>
        <w:rPr>
          <w:lang w:eastAsia="en-US" w:bidi="ar-SA"/>
        </w:rPr>
        <w:fldChar w:fldCharType="begin"/>
      </w:r>
      <w:r>
        <w:rPr>
          <w:lang w:eastAsia="en-US" w:bidi="ar-SA"/>
        </w:rPr>
        <w:instrText xml:space="preserve"> REF _Ref181627544 \h </w:instrText>
      </w:r>
      <w:r>
        <w:rPr>
          <w:lang w:eastAsia="en-US" w:bidi="ar-SA"/>
        </w:rPr>
      </w:r>
      <w:r>
        <w:rPr>
          <w:lang w:eastAsia="en-US" w:bidi="ar-SA"/>
        </w:rPr>
        <w:fldChar w:fldCharType="separate"/>
      </w:r>
      <w:r>
        <w:t xml:space="preserve">Exhibit </w:t>
      </w:r>
      <w:r>
        <w:rPr>
          <w:noProof/>
        </w:rPr>
        <w:t>3.2</w:t>
      </w:r>
      <w:r>
        <w:t>.</w:t>
      </w:r>
      <w:r>
        <w:rPr>
          <w:noProof/>
        </w:rPr>
        <w:t>M</w:t>
      </w:r>
      <w:r>
        <w:rPr>
          <w:lang w:eastAsia="en-US" w:bidi="ar-SA"/>
        </w:rPr>
        <w:fldChar w:fldCharType="end"/>
      </w:r>
    </w:p>
    <w:p w14:paraId="707E3609" w14:textId="7390FEFF">
      <w:pPr>
        <w:pStyle w:val="Lista2"/>
      </w:pPr>
      <w:bookmarkStart w:id="148" w:name="_Ref181610917"/>
      <w:r>
        <w:t xml:space="preserve">note that the </w:t>
      </w:r>
      <w:r>
        <w:rPr>
          <w:rStyle w:val="Foreign"/>
        </w:rPr>
        <w:t>vipulā āryā</w:t>
      </w:r>
      <w:r>
        <w:t xml:space="preserve"> (VG §2.3.1) is not recognised as a distinct metre in our authority file, but may be optionally encoded with an unobserved caesura as per §</w:t>
      </w:r>
      <w:r>
        <w:fldChar w:fldCharType="begin"/>
      </w:r>
      <w:r>
        <w:instrText xml:space="preserve"> REF _Ref224730076 \r \h </w:instrText>
      </w:r>
      <w:r>
        <w:fldChar w:fldCharType="separate"/>
      </w:r>
      <w:r>
        <w:t>3.3.4.3</w:t>
      </w:r>
      <w:r>
        <w:fldChar w:fldCharType="end"/>
      </w:r>
      <w:r>
        <w:t xml:space="preserve"> and </w:t>
      </w:r>
      <w:r>
        <w:fldChar w:fldCharType="begin"/>
      </w:r>
      <w:r>
        <w:instrText xml:space="preserve"> REF _Ref44077259 \h </w:instrText>
      </w:r>
      <w:r>
        <w:fldChar w:fldCharType="separate"/>
      </w:r>
      <w:r>
        <w:t xml:space="preserve">Exhibit </w:t>
      </w:r>
      <w:r>
        <w:rPr>
          <w:noProof/>
        </w:rPr>
        <w:t>3.3</w:t>
      </w:r>
      <w:r>
        <w:t>.</w:t>
      </w:r>
      <w:r>
        <w:rPr>
          <w:noProof/>
        </w:rPr>
        <w:t>G</w:t>
      </w:r>
      <w:r>
        <w:fldChar w:fldCharType="end"/>
      </w:r>
    </w:p>
    <w:p w14:paraId="34EBE3C4" w14:textId="56866DC7">
      <w:pPr>
        <w:pStyle w:val="Lista"/>
      </w:pPr>
      <w:r>
        <w:t>when the stanza template is only loosely constrained, as in pre-classical trimeter (VG §2.2.3)</w:t>
      </w:r>
    </w:p>
    <w:p w14:paraId="588DB0A4" w14:textId="77777777">
      <w:pPr>
        <w:pStyle w:val="Lista2"/>
      </w:pPr>
      <w:r>
        <w:t xml:space="preserve">optionally add </w:t>
      </w:r>
      <w:r>
        <w:rPr>
          <w:rStyle w:val="Codeattribute"/>
        </w:rPr>
        <w:t>@real</w:t>
      </w:r>
      <w:r>
        <w:t xml:space="preserve"> to all </w:t>
      </w:r>
      <w:r>
        <w:rPr>
          <w:rStyle w:val="Code"/>
        </w:rPr>
        <w:t>&lt;l&gt;</w:t>
      </w:r>
      <w:r>
        <w:t xml:space="preserve"> elements to record the accurate prosodic realisation</w:t>
      </w:r>
    </w:p>
    <w:p w14:paraId="4EBE66A2" w14:textId="1F8CCC67">
      <w:pPr>
        <w:pStyle w:val="Lista"/>
      </w:pPr>
      <w:r>
        <w:t xml:space="preserve">conformance to a recognised constraint on a lenient stanza template, as in </w:t>
      </w:r>
      <w:r>
        <w:rPr>
          <w:rStyle w:val="Foreign"/>
        </w:rPr>
        <w:t>capalā āryā</w:t>
      </w:r>
      <w:r>
        <w:t xml:space="preserve"> (VG §2.3.1) may be optionally marked up as follows</w:t>
      </w:r>
    </w:p>
    <w:p w14:paraId="797433A2" w14:textId="77777777">
      <w:pPr>
        <w:pStyle w:val="Lista2"/>
      </w:pPr>
      <w:r>
        <w:t xml:space="preserve">add </w:t>
      </w:r>
      <w:r>
        <w:rPr>
          <w:rStyle w:val="Codeattribute"/>
        </w:rPr>
        <w:t>@real</w:t>
      </w:r>
      <w:r>
        <w:t xml:space="preserve"> to the </w:t>
      </w:r>
      <w:r>
        <w:rPr>
          <w:rStyle w:val="Code"/>
        </w:rPr>
        <w:t>&lt;l&gt;</w:t>
      </w:r>
      <w:r>
        <w:t xml:space="preserve"> element concerned to describe its prosodic realisation accurately</w:t>
      </w:r>
    </w:p>
    <w:p w14:paraId="79EDC56F" w14:textId="77777777">
      <w:pPr>
        <w:pStyle w:val="Lista2"/>
      </w:pPr>
      <w:r>
        <w:t xml:space="preserve">because recognising </w:t>
      </w:r>
      <w:r>
        <w:rPr>
          <w:rStyle w:val="Foreign"/>
        </w:rPr>
        <w:t>capalā āryā</w:t>
      </w:r>
      <w:r>
        <w:t xml:space="preserve"> forms requires practice most of us lack, we have chosen not to distinguish them in our authority file, so </w:t>
      </w:r>
      <w:r>
        <w:rPr>
          <w:rStyle w:val="Codeattribute"/>
        </w:rPr>
        <w:t>@met</w:t>
      </w:r>
      <w:r>
        <w:t xml:space="preserve"> shall not be used on </w:t>
      </w:r>
      <w:r>
        <w:rPr>
          <w:rStyle w:val="Foreign"/>
        </w:rPr>
        <w:t>capalā</w:t>
      </w:r>
      <w:r>
        <w:t xml:space="preserve"> lines</w:t>
      </w:r>
    </w:p>
    <w:tbl>
      <w:tblPr>
        <w:tblStyle w:val="CodeSampleTable"/>
        <w:tblW w:w="5000" w:type="pct"/>
        <w:tblLook w:val="04A0" w:firstRow="1" w:lastRow="0" w:firstColumn="1" w:lastColumn="0" w:noHBand="0" w:noVBand="1"/>
      </w:tblPr>
      <w:tblGrid>
        <w:gridCol w:w="9628"/>
      </w:tblGrid>
      <w:tr w14:paraId="1B7C1A84"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1BC2FA2" w14:textId="17FB5183">
            <w:pPr>
              <w:pStyle w:val="Kpalrs"/>
            </w:pPr>
            <w:bookmarkStart w:id="149" w:name="_Ref181707200"/>
            <w:r>
              <w:lastRenderedPageBreak/>
              <w:t xml:space="preserve">Exhibit </w:t>
            </w:r>
            <w:fldSimple w:instr=" STYLEREF 2 \s ">
              <w:r>
                <w:rPr>
                  <w:noProof/>
                </w:rPr>
                <w:t>3.3</w:t>
              </w:r>
            </w:fldSimple>
            <w:r>
              <w:t>.</w:t>
            </w:r>
            <w:fldSimple w:instr=" SEQ Exhibit \* ALPHABETIC \s 2 ">
              <w:r>
                <w:rPr>
                  <w:noProof/>
                </w:rPr>
                <w:t>D</w:t>
              </w:r>
            </w:fldSimple>
            <w:bookmarkEnd w:id="149"/>
            <w:r>
              <w:t xml:space="preserve">: </w:t>
            </w:r>
            <w:r>
              <w:rPr>
                <w:rStyle w:val="Foreign"/>
              </w:rPr>
              <w:t>vipulā anuṣṭubh</w:t>
            </w:r>
          </w:p>
        </w:tc>
      </w:tr>
      <w:tr w14:paraId="6626D495" w14:textId="77777777">
        <w:tc>
          <w:tcPr>
            <w:tcW w:w="5000" w:type="pct"/>
          </w:tcPr>
          <w:p w14:paraId="03120A6E" w14:textId="77777777">
            <w:pPr>
              <w:pStyle w:val="CodeParagraph"/>
            </w:pPr>
            <w:r>
              <w:rPr>
                <w:rStyle w:val="Code"/>
              </w:rPr>
              <w:t xml:space="preserve">&lt;lg </w:t>
            </w:r>
            <w:r>
              <w:rPr>
                <w:rStyle w:val="Codeattribute"/>
              </w:rPr>
              <w:t>n</w:t>
            </w:r>
            <w:r>
              <w:rPr>
                <w:rStyle w:val="Code"/>
              </w:rPr>
              <w:t>=</w:t>
            </w:r>
            <w:r>
              <w:rPr>
                <w:rStyle w:val="Codevalue"/>
              </w:rPr>
              <w:t>"9"</w:t>
            </w:r>
            <w:r>
              <w:rPr>
                <w:rStyle w:val="Code"/>
              </w:rPr>
              <w:t xml:space="preserve"> </w:t>
            </w:r>
            <w:r>
              <w:rPr>
                <w:rStyle w:val="Codeattribute"/>
              </w:rPr>
              <w:t>met</w:t>
            </w:r>
            <w:r>
              <w:rPr>
                <w:rStyle w:val="Code"/>
              </w:rPr>
              <w:t>=</w:t>
            </w:r>
            <w:r>
              <w:rPr>
                <w:rStyle w:val="Codevalue"/>
              </w:rPr>
              <w:t>"anuṣṭubh"</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 xml:space="preserve">"a" </w:t>
            </w:r>
            <w:r>
              <w:rPr>
                <w:rStyle w:val="Codeattribute"/>
              </w:rPr>
              <w:t>met</w:t>
            </w:r>
            <w:r>
              <w:rPr>
                <w:rStyle w:val="Code"/>
              </w:rPr>
              <w:t>=</w:t>
            </w:r>
            <w:r>
              <w:rPr>
                <w:rStyle w:val="Codevalue"/>
              </w:rPr>
              <w:t>"na-vipulā"</w:t>
            </w:r>
            <w:r>
              <w:rPr>
                <w:rStyle w:val="Code"/>
              </w:rPr>
              <w:t xml:space="preserve"> </w:t>
            </w:r>
            <w:r>
              <w:rPr>
                <w:rStyle w:val="Codeattribute"/>
              </w:rPr>
              <w:t>real</w:t>
            </w:r>
            <w:r>
              <w:rPr>
                <w:rStyle w:val="Code"/>
              </w:rPr>
              <w:t>=</w:t>
            </w:r>
            <w:r>
              <w:rPr>
                <w:rStyle w:val="Codevalue"/>
              </w:rPr>
              <w:t>"+-++---+"</w:t>
            </w:r>
            <w:r>
              <w:rPr>
                <w:rStyle w:val="Code"/>
              </w:rPr>
              <w:t>&gt;</w:t>
            </w:r>
            <w:r>
              <w:rPr>
                <w:rStyle w:val="Codetext"/>
              </w:rPr>
              <w:t>śaurya-satya-vrata-dharo</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"b"</w:t>
            </w:r>
            <w:r>
              <w:rPr>
                <w:rStyle w:val="Code"/>
              </w:rPr>
              <w:t>&gt;</w:t>
            </w:r>
            <w:r>
              <w:rPr>
                <w:rStyle w:val="Codetext"/>
              </w:rPr>
              <w:t>yaḥ prayāga-gato dhanī</w:t>
            </w:r>
            <w:r>
              <w:rPr>
                <w:rStyle w:val="Code"/>
              </w:rPr>
              <w:t>&lt;/l&gt;</w:t>
            </w:r>
            <w:r>
              <w:rPr>
                <w:rStyle w:val="Codetext"/>
              </w:rPr>
              <w:br/>
              <w:t xml:space="preserve">  ...</w:t>
            </w:r>
            <w:r>
              <w:rPr>
                <w:rStyle w:val="Codetext"/>
              </w:rPr>
              <w:br/>
            </w:r>
            <w:r>
              <w:rPr>
                <w:rStyle w:val="Code"/>
              </w:rPr>
              <w:t>&lt;/lg&gt;</w:t>
            </w:r>
          </w:p>
        </w:tc>
      </w:tr>
    </w:tbl>
    <w:p w14:paraId="7AB641ED" w14:textId="77777777">
      <w:pPr>
        <w:pStyle w:val="Cmsor4"/>
      </w:pPr>
      <w:bookmarkStart w:id="150" w:name="_Ref224726481"/>
      <w:bookmarkStart w:id="151" w:name="_Ref224726906"/>
      <w:bookmarkEnd w:id="148"/>
      <w:r>
        <w:t>Deviant verse lines</w:t>
      </w:r>
      <w:bookmarkEnd w:id="146"/>
      <w:bookmarkEnd w:id="150"/>
      <w:bookmarkEnd w:id="151"/>
    </w:p>
    <w:p w14:paraId="3D0C2439" w14:textId="77777777">
      <w:pPr>
        <w:pStyle w:val="Lista"/>
      </w:pPr>
      <w:r>
        <w:t xml:space="preserve">when a line deviates idiosyncratically from the metre of the rest of the stanza without conforming to a different recognised metre, it is optional but recommended that you add </w:t>
      </w:r>
      <w:r>
        <w:rPr>
          <w:rStyle w:val="Codeattribute"/>
        </w:rPr>
        <w:t>@real</w:t>
      </w:r>
      <w:r>
        <w:t xml:space="preserve"> to the line with unexpected metre</w:t>
      </w:r>
    </w:p>
    <w:p w14:paraId="15D673C1" w14:textId="77777777">
      <w:pPr>
        <w:pStyle w:val="Lista2"/>
      </w:pPr>
      <w:r>
        <w:t>this encoding is applicable regardless of whether the deviation is deemed to be a deliberate poetic device or a compositional mistake, including the following cases:</w:t>
      </w:r>
    </w:p>
    <w:p w14:paraId="5F236CCE" w14:textId="4640D3CD">
      <w:pPr>
        <w:pStyle w:val="Lista3"/>
      </w:pPr>
      <w:r>
        <w:t xml:space="preserve">lines with anomalous metre, including hypermetrical and hypometrical lines, as in </w:t>
      </w:r>
      <w:r>
        <w:fldChar w:fldCharType="begin"/>
      </w:r>
      <w:r>
        <w:instrText xml:space="preserve"> REF _Ref44077220 \h </w:instrText>
      </w:r>
      <w:r>
        <w:fldChar w:fldCharType="separate"/>
      </w:r>
      <w:r>
        <w:t xml:space="preserve">Exhibit </w:t>
      </w:r>
      <w:r>
        <w:rPr>
          <w:noProof/>
        </w:rPr>
        <w:t>3.3</w:t>
      </w:r>
      <w:r>
        <w:t>.</w:t>
      </w:r>
      <w:r>
        <w:rPr>
          <w:noProof/>
        </w:rPr>
        <w:t>E</w:t>
      </w:r>
      <w:r>
        <w:fldChar w:fldCharType="end"/>
      </w:r>
    </w:p>
    <w:p w14:paraId="6D1215CA" w14:textId="177750FF">
      <w:pPr>
        <w:pStyle w:val="Lista3"/>
      </w:pPr>
      <w:r>
        <w:t xml:space="preserve">presumable poetic licence, such as treating a short vowel followed by a stop and a semivowel as a short syllable </w:t>
      </w:r>
      <w:r>
        <w:rPr>
          <w:noProof/>
        </w:rPr>
        <w:t>(</w:t>
      </w:r>
      <w:r>
        <w:rPr>
          <w:rStyle w:val="Foreign"/>
        </w:rPr>
        <w:t>muta cum liquida</w:t>
      </w:r>
      <w:r>
        <w:t xml:space="preserve"> in classical European prosody), as in </w:t>
      </w:r>
      <w:r>
        <w:fldChar w:fldCharType="begin"/>
      </w:r>
      <w:r>
        <w:instrText xml:space="preserve"> REF _Ref44077213 \h </w:instrText>
      </w:r>
      <w:r>
        <w:fldChar w:fldCharType="separate"/>
      </w:r>
      <w:r>
        <w:t xml:space="preserve">Exhibit </w:t>
      </w:r>
      <w:r>
        <w:rPr>
          <w:noProof/>
        </w:rPr>
        <w:t>3.3</w:t>
      </w:r>
      <w:r>
        <w:t>.</w:t>
      </w:r>
      <w:r>
        <w:rPr>
          <w:noProof/>
        </w:rPr>
        <w:t>F</w:t>
      </w:r>
      <w:r>
        <w:fldChar w:fldCharType="end"/>
      </w:r>
    </w:p>
    <w:p w14:paraId="69DAE95B" w14:textId="4259CA8C">
      <w:pPr>
        <w:pStyle w:val="Lista2"/>
      </w:pPr>
      <w:r>
        <w:t>however, if the anomaly results from scribal error which you as editor correct and thereby restore the metre to what the composer had presumably intended, this does not count as a deviant line (§</w:t>
      </w:r>
      <w:r>
        <w:fldChar w:fldCharType="begin"/>
      </w:r>
      <w:r>
        <w:instrText xml:space="preserve"> REF _Ref225323861 \r \h </w:instrText>
      </w:r>
      <w:r>
        <w:fldChar w:fldCharType="separate"/>
      </w:r>
      <w:r>
        <w:t>3.3.1</w:t>
      </w:r>
      <w:r>
        <w:fldChar w:fldCharType="end"/>
      </w:r>
      <w:r>
        <w:t>)</w:t>
      </w:r>
    </w:p>
    <w:tbl>
      <w:tblPr>
        <w:tblStyle w:val="CodeSampleTable"/>
        <w:tblW w:w="5000" w:type="pct"/>
        <w:tblLook w:val="04A0" w:firstRow="1" w:lastRow="0" w:firstColumn="1" w:lastColumn="0" w:noHBand="0" w:noVBand="1"/>
      </w:tblPr>
      <w:tblGrid>
        <w:gridCol w:w="9628"/>
      </w:tblGrid>
      <w:tr w14:paraId="7707A499"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E373562" w14:textId="048694CD">
            <w:pPr>
              <w:pStyle w:val="Kpalrs"/>
            </w:pPr>
            <w:bookmarkStart w:id="152" w:name="_Ref44077220"/>
            <w:r>
              <w:t xml:space="preserve">Exhibit </w:t>
            </w:r>
            <w:fldSimple w:instr=" STYLEREF 2 \s ">
              <w:r>
                <w:rPr>
                  <w:noProof/>
                </w:rPr>
                <w:t>3.3</w:t>
              </w:r>
            </w:fldSimple>
            <w:r>
              <w:t>.</w:t>
            </w:r>
            <w:fldSimple w:instr=" SEQ Exhibit \* ALPHABETIC \s 2 ">
              <w:r>
                <w:rPr>
                  <w:noProof/>
                </w:rPr>
                <w:t>E</w:t>
              </w:r>
            </w:fldSimple>
            <w:bookmarkEnd w:id="152"/>
            <w:r>
              <w:t>: anomalous metre</w:t>
            </w:r>
          </w:p>
        </w:tc>
      </w:tr>
      <w:tr w14:paraId="41D009E3" w14:textId="77777777">
        <w:tc>
          <w:tcPr>
            <w:tcW w:w="5000" w:type="pct"/>
          </w:tcPr>
          <w:p w14:paraId="7B428407" w14:textId="77777777">
            <w:pPr>
              <w:pStyle w:val="CodeParagraph"/>
              <w:keepNext/>
            </w:pPr>
            <w:r>
              <w:rPr>
                <w:rStyle w:val="Code"/>
              </w:rPr>
              <w:t xml:space="preserve">&lt;lg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"āryā"</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"ab"</w:t>
            </w:r>
            <w:r>
              <w:rPr>
                <w:rStyle w:val="Code"/>
              </w:rPr>
              <w:t xml:space="preserve"> </w:t>
            </w:r>
            <w:r>
              <w:rPr>
                <w:rStyle w:val="Codeattribute"/>
              </w:rPr>
              <w:t>real</w:t>
            </w:r>
            <w:r>
              <w:rPr>
                <w:rStyle w:val="Code"/>
              </w:rPr>
              <w:t>=</w:t>
            </w:r>
            <w:r>
              <w:rPr>
                <w:rStyle w:val="Codevalue"/>
              </w:rPr>
              <w:t>"----+-+-+--+--------+++"</w:t>
            </w:r>
            <w:r>
              <w:rPr>
                <w:rStyle w:val="Code"/>
              </w:rPr>
              <w:t>&gt;</w:t>
            </w:r>
            <w:r>
              <w:rPr>
                <w:rStyle w:val="Codetext"/>
              </w:rPr>
              <w:t>jayati vibhuś catur-bhujaś catur-arṇṇava-vipula-salila-paryyaṅkaḥ</w:t>
            </w:r>
            <w:r>
              <w:rPr>
                <w:rStyle w:val="Code"/>
              </w:rPr>
              <w:t>&lt;/l&gt;</w:t>
            </w:r>
            <w:r>
              <w:rPr>
                <w:rStyle w:val="Codetext"/>
              </w:rPr>
              <w:br/>
              <w:t xml:space="preserve">  ...</w:t>
            </w:r>
            <w:r>
              <w:rPr>
                <w:rStyle w:val="Codetext"/>
              </w:rPr>
              <w:br/>
            </w:r>
            <w:r>
              <w:rPr>
                <w:rStyle w:val="Code"/>
              </w:rPr>
              <w:t>&lt;/lg&gt;</w:t>
            </w:r>
          </w:p>
        </w:tc>
      </w:tr>
      <w:tr w14:paraId="16C4B6DB" w14:textId="77777777">
        <w:tc>
          <w:tcPr>
            <w:tcW w:w="5000" w:type="pct"/>
          </w:tcPr>
          <w:p w14:paraId="6518215B" w14:textId="77777777">
            <w:pPr>
              <w:pStyle w:val="TableNote"/>
            </w:pPr>
            <w:r>
              <w:t xml:space="preserve">there is syncopation from the second to the third foot: the foot boundary ought to be halfway through the long syllable </w:t>
            </w:r>
            <w:r>
              <w:rPr>
                <w:rStyle w:val="Foreign"/>
              </w:rPr>
              <w:t>tu</w:t>
            </w:r>
          </w:p>
          <w:p w14:paraId="69C47C5E" w14:textId="77777777">
            <w:pPr>
              <w:pStyle w:val="TableNote"/>
            </w:pPr>
            <w:r>
              <w:t xml:space="preserve">mentally, the author’s pronunciation may have been </w:t>
            </w:r>
            <w:r>
              <w:rPr>
                <w:rStyle w:val="Foreign"/>
              </w:rPr>
              <w:t>caturabhujaś</w:t>
            </w:r>
            <w:r>
              <w:t xml:space="preserve">, which would scan correctly: should be </w:t>
            </w:r>
            <w:r>
              <w:rPr>
                <w:rStyle w:val="Foreign"/>
              </w:rPr>
              <w:t>jayati vi|bhuś catu|ra-bhujaś…</w:t>
            </w:r>
          </w:p>
          <w:p w14:paraId="31E419F6" w14:textId="77777777">
            <w:pPr>
              <w:pStyle w:val="TableNote"/>
            </w:pPr>
            <w:r>
              <w:t xml:space="preserve">deviation from the expected pattern has been recorded in </w:t>
            </w:r>
            <w:r>
              <w:rPr>
                <w:rStyle w:val="Codeattribute"/>
              </w:rPr>
              <w:t>@real</w:t>
            </w:r>
          </w:p>
        </w:tc>
      </w:tr>
    </w:tbl>
    <w:p w14:paraId="13A7A3C9" w14:textId="77777777"/>
    <w:tbl>
      <w:tblPr>
        <w:tblStyle w:val="CodeSampleTable"/>
        <w:tblW w:w="5000" w:type="pct"/>
        <w:tblLook w:val="04A0" w:firstRow="1" w:lastRow="0" w:firstColumn="1" w:lastColumn="0" w:noHBand="0" w:noVBand="1"/>
      </w:tblPr>
      <w:tblGrid>
        <w:gridCol w:w="9628"/>
      </w:tblGrid>
      <w:tr w14:paraId="274856D9"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14320A6" w14:textId="38100CAC">
            <w:pPr>
              <w:pStyle w:val="Kpalrs"/>
            </w:pPr>
            <w:bookmarkStart w:id="153" w:name="_Ref44077213"/>
            <w:bookmarkStart w:id="154" w:name="_Ref44077183"/>
            <w:r>
              <w:t xml:space="preserve">Exhibit </w:t>
            </w:r>
            <w:fldSimple w:instr=" STYLEREF 2 \s ">
              <w:r>
                <w:rPr>
                  <w:noProof/>
                </w:rPr>
                <w:t>3.3</w:t>
              </w:r>
            </w:fldSimple>
            <w:r>
              <w:t>.</w:t>
            </w:r>
            <w:fldSimple w:instr=" SEQ Exhibit \* ALPHABETIC \s 2 ">
              <w:r>
                <w:rPr>
                  <w:noProof/>
                </w:rPr>
                <w:t>F</w:t>
              </w:r>
            </w:fldSimple>
            <w:bookmarkEnd w:id="153"/>
            <w:r>
              <w:t xml:space="preserve">: </w:t>
            </w:r>
            <w:r>
              <w:rPr>
                <w:rStyle w:val="Foreign"/>
              </w:rPr>
              <w:t>muta cum liquida</w:t>
            </w:r>
            <w:r>
              <w:t xml:space="preserve"> licence</w:t>
            </w:r>
            <w:bookmarkEnd w:id="154"/>
          </w:p>
        </w:tc>
      </w:tr>
      <w:tr w14:paraId="1EB171BD" w14:textId="77777777">
        <w:tc>
          <w:tcPr>
            <w:tcW w:w="5000" w:type="pct"/>
          </w:tcPr>
          <w:p w14:paraId="1D3894CE" w14:textId="77777777">
            <w:pPr>
              <w:pStyle w:val="CodeParagraph"/>
              <w:keepNext/>
            </w:pPr>
            <w:r>
              <w:rPr>
                <w:rStyle w:val="Code"/>
              </w:rPr>
              <w:t xml:space="preserve">&lt;lg </w:t>
            </w:r>
            <w:r>
              <w:rPr>
                <w:rStyle w:val="Codeattribute"/>
              </w:rPr>
              <w:t>n</w:t>
            </w:r>
            <w:r>
              <w:rPr>
                <w:rStyle w:val="Code"/>
              </w:rPr>
              <w:t>=</w:t>
            </w:r>
            <w:r>
              <w:rPr>
                <w:rStyle w:val="Codevalue"/>
              </w:rPr>
              <w:t>"12"</w:t>
            </w:r>
            <w:r>
              <w:rPr>
                <w:rStyle w:val="Code"/>
              </w:rPr>
              <w:t xml:space="preserve"> </w:t>
            </w:r>
            <w:r>
              <w:rPr>
                <w:rStyle w:val="Codeattribute"/>
              </w:rPr>
              <w:t>met</w:t>
            </w:r>
            <w:r>
              <w:rPr>
                <w:rStyle w:val="Code"/>
              </w:rPr>
              <w:t>=</w:t>
            </w:r>
            <w:r>
              <w:rPr>
                <w:rStyle w:val="Codevalue"/>
              </w:rPr>
              <w:t>"anuṣṭubh"</w:t>
            </w:r>
            <w:r>
              <w:rPr>
                <w:rStyle w:val="Code"/>
              </w:rPr>
              <w:t>&gt;</w:t>
            </w:r>
            <w:r>
              <w:rPr>
                <w:rStyle w:val="Codetext"/>
              </w:rPr>
              <w:br/>
              <w:t xml:space="preserve">  ...</w:t>
            </w:r>
            <w:r>
              <w:rPr>
                <w:rStyle w:val="Codetext"/>
              </w:rPr>
              <w:br/>
              <w:t xml:space="preserve">  </w:t>
            </w:r>
            <w:r>
              <w:rPr>
                <w:rStyle w:val="Code"/>
              </w:rPr>
              <w:t xml:space="preserve">&lt;l </w:t>
            </w:r>
            <w:r>
              <w:rPr>
                <w:rStyle w:val="Codeattribute"/>
              </w:rPr>
              <w:t>n</w:t>
            </w:r>
            <w:r>
              <w:rPr>
                <w:rStyle w:val="Code"/>
              </w:rPr>
              <w:t>=</w:t>
            </w:r>
            <w:r>
              <w:rPr>
                <w:rStyle w:val="Codevalue"/>
              </w:rPr>
              <w:t>"c"</w:t>
            </w:r>
            <w:r>
              <w:rPr>
                <w:rStyle w:val="Code"/>
              </w:rPr>
              <w:t xml:space="preserve"> </w:t>
            </w:r>
            <w:r>
              <w:rPr>
                <w:rStyle w:val="Codeattribute"/>
              </w:rPr>
              <w:t>real</w:t>
            </w:r>
            <w:r>
              <w:rPr>
                <w:rStyle w:val="Code"/>
              </w:rPr>
              <w:t>=</w:t>
            </w:r>
            <w:r>
              <w:rPr>
                <w:rStyle w:val="Codevalue"/>
              </w:rPr>
              <w:t>"+-+++++-"</w:t>
            </w:r>
            <w:r>
              <w:rPr>
                <w:rStyle w:val="Code"/>
              </w:rPr>
              <w:t>&gt;</w:t>
            </w:r>
            <w:r>
              <w:rPr>
                <w:rStyle w:val="Codetext"/>
              </w:rPr>
              <w:t>yasya vittaṁ ca prāṇāś ca</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"d"</w:t>
            </w:r>
            <w:r>
              <w:rPr>
                <w:rStyle w:val="Code"/>
              </w:rPr>
              <w:t>&gt;</w:t>
            </w:r>
            <w:r>
              <w:rPr>
                <w:rStyle w:val="Codetext"/>
              </w:rPr>
              <w:t>deva-brāhmaṇasād gatāḥ</w:t>
            </w:r>
            <w:r>
              <w:rPr>
                <w:rStyle w:val="Code"/>
              </w:rPr>
              <w:t>&lt;/l&gt;</w:t>
            </w:r>
            <w:r>
              <w:rPr>
                <w:rStyle w:val="Codetext"/>
              </w:rPr>
              <w:br/>
            </w:r>
            <w:r>
              <w:rPr>
                <w:rStyle w:val="Code"/>
              </w:rPr>
              <w:t>&lt;/lg&gt;</w:t>
            </w:r>
          </w:p>
        </w:tc>
      </w:tr>
      <w:tr w14:paraId="161D1561" w14:textId="77777777">
        <w:tc>
          <w:tcPr>
            <w:tcW w:w="5000" w:type="pct"/>
          </w:tcPr>
          <w:p w14:paraId="18651D67" w14:textId="77777777">
            <w:pPr>
              <w:pStyle w:val="TableNote"/>
            </w:pPr>
            <w:r>
              <w:t xml:space="preserve">the first </w:t>
            </w:r>
            <w:r>
              <w:rPr>
                <w:i/>
                <w:iCs/>
              </w:rPr>
              <w:t>ca</w:t>
            </w:r>
            <w:r>
              <w:t xml:space="preserve"> in </w:t>
            </w:r>
            <w:r>
              <w:rPr>
                <w:rStyle w:val="Foreign"/>
              </w:rPr>
              <w:t>pāda</w:t>
            </w:r>
            <w:r>
              <w:t xml:space="preserve"> </w:t>
            </w:r>
            <w:r>
              <w:rPr>
                <w:rStyle w:val="Foreign"/>
              </w:rPr>
              <w:t>c</w:t>
            </w:r>
            <w:r>
              <w:t xml:space="preserve"> is expected to be a short syllable, but by regular prosodic rules it is positionally long</w:t>
            </w:r>
          </w:p>
          <w:p w14:paraId="7A25C5AA" w14:textId="77777777">
            <w:pPr>
              <w:pStyle w:val="TableNote"/>
            </w:pPr>
            <w:r>
              <w:t xml:space="preserve">deviation from the expected pattern has been recorded in </w:t>
            </w:r>
            <w:r>
              <w:rPr>
                <w:rStyle w:val="Codeattribute"/>
              </w:rPr>
              <w:t>@real</w:t>
            </w:r>
          </w:p>
        </w:tc>
      </w:tr>
    </w:tbl>
    <w:p w14:paraId="74C9DF36" w14:textId="77777777">
      <w:pPr>
        <w:pStyle w:val="Cmsor4"/>
      </w:pPr>
      <w:bookmarkStart w:id="155" w:name="_Ref224729838"/>
      <w:bookmarkStart w:id="156" w:name="_Ref224730076"/>
      <w:r>
        <w:t>Failure to observe the caesura</w:t>
      </w:r>
      <w:bookmarkEnd w:id="155"/>
      <w:bookmarkEnd w:id="156"/>
    </w:p>
    <w:p w14:paraId="7F850490" w14:textId="77777777">
      <w:r>
        <w:t xml:space="preserve">Caesuras </w:t>
      </w:r>
      <w:r>
        <w:rPr>
          <w:noProof/>
        </w:rPr>
        <w:t>(</w:t>
      </w:r>
      <w:r>
        <w:rPr>
          <w:rStyle w:val="Foreign"/>
        </w:rPr>
        <w:t>yati</w:t>
      </w:r>
      <w:r>
        <w:t>) shall not be marked up in quantitative verse.</w:t>
      </w:r>
      <w:r>
        <w:rPr>
          <w:rStyle w:val="Lbjegyzet-hivatkozs"/>
        </w:rPr>
        <w:footnoteReference w:id="12"/>
      </w:r>
      <w:r>
        <w:t xml:space="preserve"> However, if you notice a caesura that was disregarded by the composer or involves sandhi that blurs its location, you may optionally encode this as follows:</w:t>
      </w:r>
    </w:p>
    <w:p w14:paraId="2D0D0286" w14:textId="77777777">
      <w:pPr>
        <w:pStyle w:val="Lista"/>
        <w:rPr>
          <w:rStyle w:val="Code"/>
          <w:rFonts w:ascii="Gentium Plus" w:hAnsi="Gentium Plus" w:cs="Arial Unicode MS"/>
          <w:noProof w:val="0"/>
          <w:color w:val="auto"/>
          <w:shd w:val="clear" w:color="auto" w:fill="auto"/>
        </w:rPr>
      </w:pPr>
      <w:r>
        <w:rPr>
          <w:rStyle w:val="Code"/>
        </w:rPr>
        <w:t xml:space="preserve">&lt;milestone </w:t>
      </w:r>
      <w:r>
        <w:rPr>
          <w:rStyle w:val="Codeattribute"/>
        </w:rPr>
        <w:t>type</w:t>
      </w:r>
      <w:r>
        <w:rPr>
          <w:rStyle w:val="Code"/>
        </w:rPr>
        <w:t>=</w:t>
      </w:r>
      <w:r>
        <w:rPr>
          <w:rStyle w:val="Codevalue"/>
        </w:rPr>
        <w:t>"yati"</w:t>
      </w:r>
      <w:r>
        <w:rPr>
          <w:rStyle w:val="Code"/>
        </w:rPr>
        <w:t xml:space="preserve"> </w:t>
      </w:r>
      <w:r>
        <w:rPr>
          <w:rStyle w:val="Codeattribute"/>
        </w:rPr>
        <w:t>break</w:t>
      </w:r>
      <w:r>
        <w:rPr>
          <w:rStyle w:val="Code"/>
        </w:rPr>
        <w:t>=</w:t>
      </w:r>
      <w:r>
        <w:rPr>
          <w:rStyle w:val="Codevalue"/>
        </w:rPr>
        <w:t>"no"</w:t>
      </w:r>
      <w:r>
        <w:rPr>
          <w:rStyle w:val="Code"/>
        </w:rPr>
        <w:t>&gt;</w:t>
      </w:r>
    </w:p>
    <w:p w14:paraId="4CD77922" w14:textId="7347139B">
      <w:pPr>
        <w:pStyle w:val="Lista"/>
      </w:pPr>
      <w:r>
        <w:t xml:space="preserve">illustrated in </w:t>
      </w:r>
      <w:r>
        <w:fldChar w:fldCharType="begin"/>
      </w:r>
      <w:r>
        <w:instrText xml:space="preserve"> REF _Ref44077259 \h </w:instrText>
      </w:r>
      <w:r>
        <w:fldChar w:fldCharType="separate"/>
      </w:r>
      <w:r>
        <w:t xml:space="preserve">Exhibit </w:t>
      </w:r>
      <w:r>
        <w:rPr>
          <w:noProof/>
        </w:rPr>
        <w:t>3.3</w:t>
      </w:r>
      <w:r>
        <w:t>.</w:t>
      </w:r>
      <w:r>
        <w:rPr>
          <w:noProof/>
        </w:rPr>
        <w:t>G</w:t>
      </w:r>
      <w:r>
        <w:fldChar w:fldCharType="end"/>
      </w:r>
      <w:r>
        <w:t xml:space="preserve"> and </w:t>
      </w:r>
      <w:r>
        <w:fldChar w:fldCharType="begin"/>
      </w:r>
      <w:r>
        <w:instrText xml:space="preserve"> REF _Ref44077336 \h </w:instrText>
      </w:r>
      <w:r>
        <w:fldChar w:fldCharType="separate"/>
      </w:r>
      <w:r>
        <w:t xml:space="preserve">Exhibit </w:t>
      </w:r>
      <w:r>
        <w:rPr>
          <w:noProof/>
        </w:rPr>
        <w:t>3.3</w:t>
      </w:r>
      <w:r>
        <w:t>.</w:t>
      </w:r>
      <w:r>
        <w:rPr>
          <w:noProof/>
        </w:rPr>
        <w:t>H</w:t>
      </w:r>
      <w:r>
        <w:fldChar w:fldCharType="end"/>
      </w:r>
      <w:bookmarkStart w:id="157" w:name="_l3elgprsa6k8" w:colFirst="0" w:colLast="0"/>
      <w:bookmarkEnd w:id="147"/>
      <w:bookmarkEnd w:id="157"/>
    </w:p>
    <w:tbl>
      <w:tblPr>
        <w:tblStyle w:val="CodeSampleTable"/>
        <w:tblW w:w="5000" w:type="pct"/>
        <w:tblLook w:val="04A0" w:firstRow="1" w:lastRow="0" w:firstColumn="1" w:lastColumn="0" w:noHBand="0" w:noVBand="1"/>
      </w:tblPr>
      <w:tblGrid>
        <w:gridCol w:w="9628"/>
      </w:tblGrid>
      <w:tr w14:paraId="49EE612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14EDFDA" w14:textId="49378D79">
            <w:pPr>
              <w:pStyle w:val="Kpalrs"/>
            </w:pPr>
            <w:bookmarkStart w:id="158" w:name="_Ref44077259"/>
            <w:r>
              <w:lastRenderedPageBreak/>
              <w:t xml:space="preserve">Exhibit </w:t>
            </w:r>
            <w:fldSimple w:instr=" STYLEREF 2 \s ">
              <w:r>
                <w:rPr>
                  <w:noProof/>
                </w:rPr>
                <w:t>3.3</w:t>
              </w:r>
            </w:fldSimple>
            <w:r>
              <w:t>.</w:t>
            </w:r>
            <w:fldSimple w:instr=" SEQ Exhibit \* ALPHABETIC \s 2 ">
              <w:r>
                <w:rPr>
                  <w:noProof/>
                </w:rPr>
                <w:t>G</w:t>
              </w:r>
            </w:fldSimple>
            <w:bookmarkEnd w:id="158"/>
            <w:r>
              <w:t xml:space="preserve">: moraic verse </w:t>
            </w:r>
            <w:r>
              <w:rPr>
                <w:noProof/>
              </w:rPr>
              <w:t>(</w:t>
            </w:r>
            <w:r>
              <w:rPr>
                <w:rStyle w:val="Foreign"/>
              </w:rPr>
              <w:t>vipulā āryā</w:t>
            </w:r>
            <w:r>
              <w:t>) with unobserved caesura and enjambement</w:t>
            </w:r>
          </w:p>
        </w:tc>
      </w:tr>
      <w:tr w14:paraId="17825F27" w14:textId="77777777">
        <w:tc>
          <w:tcPr>
            <w:tcW w:w="5000" w:type="pct"/>
          </w:tcPr>
          <w:p w14:paraId="5911B610" w14:textId="77777777">
            <w:pPr>
              <w:pStyle w:val="CodeParagraph"/>
              <w:keepNext/>
            </w:pPr>
            <w:r>
              <w:rPr>
                <w:rStyle w:val="Code"/>
              </w:rPr>
              <w:t xml:space="preserve">&lt;lg </w:t>
            </w:r>
            <w:r>
              <w:rPr>
                <w:rStyle w:val="Codeattribute"/>
              </w:rPr>
              <w:t>n</w:t>
            </w:r>
            <w:r>
              <w:rPr>
                <w:rStyle w:val="Code"/>
              </w:rPr>
              <w:t>=</w:t>
            </w:r>
            <w:r>
              <w:rPr>
                <w:rStyle w:val="Codevalue"/>
              </w:rPr>
              <w:t>"33"</w:t>
            </w:r>
            <w:r>
              <w:rPr>
                <w:rStyle w:val="Code"/>
              </w:rPr>
              <w:t xml:space="preserve"> </w:t>
            </w:r>
            <w:r>
              <w:rPr>
                <w:rStyle w:val="Codeattribute"/>
              </w:rPr>
              <w:t>met</w:t>
            </w:r>
            <w:r>
              <w:rPr>
                <w:rStyle w:val="Code"/>
              </w:rPr>
              <w:t>=</w:t>
            </w:r>
            <w:r>
              <w:rPr>
                <w:rStyle w:val="Codevalue"/>
              </w:rPr>
              <w:t>"āryā"</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"ab"</w:t>
            </w:r>
            <w:r>
              <w:rPr>
                <w:rStyle w:val="Code"/>
              </w:rPr>
              <w:t xml:space="preserve"> </w:t>
            </w:r>
            <w:r>
              <w:rPr>
                <w:rStyle w:val="Codeattribute"/>
              </w:rPr>
              <w:t>enjamb</w:t>
            </w:r>
            <w:r>
              <w:rPr>
                <w:rStyle w:val="Code"/>
              </w:rPr>
              <w:t>=</w:t>
            </w:r>
            <w:r>
              <w:rPr>
                <w:rStyle w:val="Codevalue"/>
              </w:rPr>
              <w:t>"yes"</w:t>
            </w:r>
            <w:r>
              <w:rPr>
                <w:rStyle w:val="Code"/>
              </w:rPr>
              <w:t>&gt;</w:t>
            </w:r>
            <w:r>
              <w:rPr>
                <w:rStyle w:val="Codetext"/>
              </w:rPr>
              <w:t>smara-vaśaga-taruṇa-jana-va</w:t>
            </w:r>
            <w:r>
              <w:rPr>
                <w:rStyle w:val="Code"/>
              </w:rPr>
              <w:t xml:space="preserve">&lt;milestone </w:t>
            </w:r>
            <w:r>
              <w:rPr>
                <w:rStyle w:val="Codeattribute"/>
              </w:rPr>
              <w:t>type</w:t>
            </w:r>
            <w:r>
              <w:rPr>
                <w:rStyle w:val="Code"/>
              </w:rPr>
              <w:t>=</w:t>
            </w:r>
            <w:r>
              <w:rPr>
                <w:rStyle w:val="Codevalue"/>
              </w:rPr>
              <w:t>"yati"</w:t>
            </w:r>
            <w:r>
              <w:rPr>
                <w:rStyle w:val="Code"/>
              </w:rPr>
              <w:t xml:space="preserve"> </w:t>
            </w:r>
            <w:r>
              <w:rPr>
                <w:rStyle w:val="Codeattribute"/>
              </w:rPr>
              <w:t>break</w:t>
            </w:r>
            <w:r>
              <w:rPr>
                <w:rStyle w:val="Code"/>
              </w:rPr>
              <w:t>=</w:t>
            </w:r>
            <w:r>
              <w:rPr>
                <w:rStyle w:val="Codevalue"/>
              </w:rPr>
              <w:t>"no"</w:t>
            </w:r>
            <w:r>
              <w:rPr>
                <w:rStyle w:val="Code"/>
              </w:rPr>
              <w:t>&gt;</w:t>
            </w:r>
            <w:r>
              <w:rPr>
                <w:rStyle w:val="Codetext"/>
              </w:rPr>
              <w:t>llabhāṅganā-vipula-kānta-pīnoru|</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"cd"</w:t>
            </w:r>
            <w:r>
              <w:rPr>
                <w:rStyle w:val="Code"/>
              </w:rPr>
              <w:t>&gt;-</w:t>
            </w:r>
            <w:r>
              <w:rPr>
                <w:rStyle w:val="Codetext"/>
              </w:rPr>
              <w:t>stana-jaghana-ghanāliṅgana-nirbhartsita-tuhina-hima-pāte||</w:t>
            </w:r>
            <w:r>
              <w:rPr>
                <w:rStyle w:val="Code"/>
              </w:rPr>
              <w:t>&lt;/l&gt;</w:t>
            </w:r>
            <w:r>
              <w:rPr>
                <w:rStyle w:val="Codetext"/>
              </w:rPr>
              <w:br/>
            </w:r>
            <w:r>
              <w:rPr>
                <w:rStyle w:val="Code"/>
              </w:rPr>
              <w:t>&lt;/lg&gt;</w:t>
            </w:r>
          </w:p>
        </w:tc>
      </w:tr>
      <w:tr w14:paraId="6B7ECBFD" w14:textId="77777777">
        <w:tc>
          <w:tcPr>
            <w:tcW w:w="5000" w:type="pct"/>
          </w:tcPr>
          <w:p w14:paraId="7F891EC0" w14:textId="7F1C82F5">
            <w:pPr>
              <w:pStyle w:val="TableNote"/>
            </w:pPr>
            <w:r>
              <w:t>the unobserved caesura is optionally encoded as per §</w:t>
            </w:r>
            <w:r>
              <w:fldChar w:fldCharType="begin"/>
            </w:r>
            <w:r>
              <w:instrText xml:space="preserve"> REF _Ref224729838 \r \h </w:instrText>
            </w:r>
            <w:r>
              <w:fldChar w:fldCharType="separate"/>
            </w:r>
            <w:r>
              <w:t>3.3.4.3</w:t>
            </w:r>
            <w:r>
              <w:fldChar w:fldCharType="end"/>
            </w:r>
            <w:r>
              <w:t xml:space="preserve"> </w:t>
            </w:r>
          </w:p>
          <w:p w14:paraId="4A6DA5CF" w14:textId="32968801">
            <w:pPr>
              <w:pStyle w:val="TableNote"/>
              <w:rPr>
                <w:rStyle w:val="Code"/>
                <w:rFonts w:ascii="Calibri" w:hAnsi="Calibri" w:cs="Arial Unicode MS"/>
                <w:noProof w:val="0"/>
                <w:color w:val="auto"/>
                <w:shd w:val="clear" w:color="auto" w:fill="auto"/>
              </w:rPr>
            </w:pPr>
            <w:r>
              <w:t xml:space="preserve">since the hemistich boundary is within a compound, </w:t>
            </w:r>
            <w:r>
              <w:rPr>
                <w:rStyle w:val="Codeattribute"/>
              </w:rPr>
              <w:t>@enjamb</w:t>
            </w:r>
            <w:r>
              <w:t xml:space="preserve"> is added to the first </w:t>
            </w:r>
            <w:r>
              <w:rPr>
                <w:rStyle w:val="Foreign"/>
              </w:rPr>
              <w:t>pāda</w:t>
            </w:r>
            <w:r>
              <w:t xml:space="preserve"> as per §</w:t>
            </w:r>
            <w:r>
              <w:fldChar w:fldCharType="begin"/>
            </w:r>
            <w:r>
              <w:instrText xml:space="preserve"> REF _Ref225326474 \r \h </w:instrText>
            </w:r>
            <w:r>
              <w:fldChar w:fldCharType="separate"/>
            </w:r>
            <w:r>
              <w:t>3.2.4.1</w:t>
            </w:r>
            <w:r>
              <w:fldChar w:fldCharType="end"/>
            </w:r>
            <w:r>
              <w:rPr>
                <w:rStyle w:val="Code"/>
                <w:rFonts w:ascii="Calibri" w:hAnsi="Calibri" w:cs="Arial Unicode MS"/>
                <w:noProof w:val="0"/>
                <w:color w:val="auto"/>
                <w:shd w:val="clear" w:color="auto" w:fill="auto"/>
              </w:rPr>
              <w:t xml:space="preserve"> </w:t>
            </w:r>
          </w:p>
        </w:tc>
      </w:tr>
    </w:tbl>
    <w:p w14:paraId="7A64A849" w14:textId="77777777"/>
    <w:tbl>
      <w:tblPr>
        <w:tblStyle w:val="CodeSampleTable"/>
        <w:tblW w:w="5000" w:type="pct"/>
        <w:tblLook w:val="04A0" w:firstRow="1" w:lastRow="0" w:firstColumn="1" w:lastColumn="0" w:noHBand="0" w:noVBand="1"/>
      </w:tblPr>
      <w:tblGrid>
        <w:gridCol w:w="9628"/>
      </w:tblGrid>
      <w:tr w14:paraId="405430EC"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298F0A2" w14:textId="6EBC217C">
            <w:pPr>
              <w:pStyle w:val="Kpalrs"/>
            </w:pPr>
            <w:bookmarkStart w:id="159" w:name="_Ref44077336"/>
            <w:r>
              <w:t xml:space="preserve">Exhibit </w:t>
            </w:r>
            <w:fldSimple w:instr=" STYLEREF 2 \s ">
              <w:r>
                <w:rPr>
                  <w:noProof/>
                </w:rPr>
                <w:t>3.3</w:t>
              </w:r>
            </w:fldSimple>
            <w:r>
              <w:t>.</w:t>
            </w:r>
            <w:fldSimple w:instr=" SEQ Exhibit \* ALPHABETIC \s 2 ">
              <w:r>
                <w:rPr>
                  <w:noProof/>
                </w:rPr>
                <w:t>H</w:t>
              </w:r>
            </w:fldSimple>
            <w:bookmarkEnd w:id="159"/>
            <w:r>
              <w:t xml:space="preserve">: </w:t>
            </w:r>
            <w:r>
              <w:rPr>
                <w:rStyle w:val="Foreign"/>
              </w:rPr>
              <w:t>varṇavr̥tta</w:t>
            </w:r>
            <w:r>
              <w:t xml:space="preserve"> verse with unobserved caesura and enjambement</w:t>
            </w:r>
          </w:p>
        </w:tc>
      </w:tr>
      <w:tr w14:paraId="1C0A4A36" w14:textId="77777777">
        <w:tc>
          <w:tcPr>
            <w:tcW w:w="5000" w:type="pct"/>
          </w:tcPr>
          <w:p w14:paraId="78E59ECE" w14:textId="77777777">
            <w:pPr>
              <w:pStyle w:val="CodeParagraph"/>
              <w:keepNext/>
            </w:pPr>
            <w:r>
              <w:rPr>
                <w:rStyle w:val="Code"/>
              </w:rPr>
              <w:t xml:space="preserve">&lt;lg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"pr̥thvī"</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w:t>
            </w:r>
            <w:r>
              <w:rPr>
                <w:rStyle w:val="Code"/>
              </w:rPr>
              <w:t>&gt;</w:t>
            </w:r>
            <w:r>
              <w:rPr>
                <w:rStyle w:val="Codetext"/>
              </w:rPr>
              <w:t>pradāna-bhuja-vikkrama-praśama-śāstra-vākyodayair</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"b"</w:t>
            </w:r>
            <w:r>
              <w:rPr>
                <w:rStyle w:val="Code"/>
              </w:rPr>
              <w:t>&gt;</w:t>
            </w:r>
            <w:r>
              <w:rPr>
                <w:rStyle w:val="Codetext"/>
              </w:rPr>
              <w:t>uparyyupari-sañcayocchritam aneka-mārggaṁ yaśaḥ</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"c"</w:t>
            </w:r>
            <w:r>
              <w:rPr>
                <w:rStyle w:val="Code"/>
              </w:rPr>
              <w:t xml:space="preserve"> </w:t>
            </w:r>
            <w:r>
              <w:rPr>
                <w:rStyle w:val="Codeattribute"/>
              </w:rPr>
              <w:t>enjamb</w:t>
            </w:r>
            <w:r>
              <w:rPr>
                <w:rStyle w:val="Code"/>
              </w:rPr>
              <w:t>=</w:t>
            </w:r>
            <w:r>
              <w:rPr>
                <w:rStyle w:val="Codevalue"/>
              </w:rPr>
              <w:t>"yes"</w:t>
            </w:r>
            <w:r>
              <w:rPr>
                <w:rStyle w:val="Code"/>
              </w:rPr>
              <w:t>&gt;</w:t>
            </w:r>
            <w:r>
              <w:rPr>
                <w:rStyle w:val="Codetext"/>
              </w:rPr>
              <w:t>punāti bhuvana-trayaṁ paśupater jjaṭāntar-guhā</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"d"</w:t>
            </w:r>
            <w:r>
              <w:rPr>
                <w:rStyle w:val="Code"/>
              </w:rPr>
              <w:t>&gt;</w:t>
            </w:r>
            <w:r>
              <w:rPr>
                <w:rStyle w:val="Codetext"/>
              </w:rPr>
              <w:t>-nirodha-parimokṣa-śī</w:t>
            </w:r>
            <w:r>
              <w:rPr>
                <w:rStyle w:val="Code"/>
              </w:rPr>
              <w:t xml:space="preserve">&lt;milestone </w:t>
            </w:r>
            <w:r>
              <w:rPr>
                <w:rStyle w:val="Codeattribute"/>
              </w:rPr>
              <w:t>type</w:t>
            </w:r>
            <w:r>
              <w:rPr>
                <w:rStyle w:val="Code"/>
              </w:rPr>
              <w:t>=</w:t>
            </w:r>
            <w:r>
              <w:rPr>
                <w:rStyle w:val="Codevalue"/>
              </w:rPr>
              <w:t>"yati"</w:t>
            </w:r>
            <w:r>
              <w:rPr>
                <w:rStyle w:val="Code"/>
              </w:rPr>
              <w:t xml:space="preserve"> </w:t>
            </w:r>
            <w:r>
              <w:rPr>
                <w:rStyle w:val="Codeattribute"/>
              </w:rPr>
              <w:t>break</w:t>
            </w:r>
            <w:r>
              <w:rPr>
                <w:rStyle w:val="Code"/>
              </w:rPr>
              <w:t>=</w:t>
            </w:r>
            <w:r>
              <w:rPr>
                <w:rStyle w:val="Codevalue"/>
              </w:rPr>
              <w:t>"no"</w:t>
            </w:r>
            <w:r>
              <w:rPr>
                <w:rStyle w:val="Code"/>
              </w:rPr>
              <w:t>&gt;</w:t>
            </w:r>
            <w:r>
              <w:rPr>
                <w:rStyle w:val="Codetext"/>
              </w:rPr>
              <w:t>ghram iva pāṇḍu gāṅgaṁ payaḥ</w:t>
            </w:r>
            <w:r>
              <w:rPr>
                <w:rStyle w:val="Code"/>
              </w:rPr>
              <w:t>&lt;/l&gt;</w:t>
            </w:r>
            <w:r>
              <w:rPr>
                <w:rStyle w:val="Codetext"/>
              </w:rPr>
              <w:br/>
            </w:r>
            <w:r>
              <w:rPr>
                <w:rStyle w:val="Code"/>
              </w:rPr>
              <w:t>&lt;/lg&gt;</w:t>
            </w:r>
          </w:p>
        </w:tc>
      </w:tr>
      <w:tr w14:paraId="2B2002CA" w14:textId="77777777">
        <w:tc>
          <w:tcPr>
            <w:tcW w:w="5000" w:type="pct"/>
          </w:tcPr>
          <w:p w14:paraId="51CDB961" w14:textId="2AF137E8">
            <w:pPr>
              <w:pStyle w:val="TableNote"/>
            </w:pPr>
            <w:r>
              <w:t>the unobserved caesura is optionally encoded as per §</w:t>
            </w:r>
            <w:r>
              <w:fldChar w:fldCharType="begin"/>
            </w:r>
            <w:r>
              <w:instrText xml:space="preserve"> REF _Ref224729838 \r \h </w:instrText>
            </w:r>
            <w:r>
              <w:fldChar w:fldCharType="separate"/>
            </w:r>
            <w:r>
              <w:t>3.3.4.3</w:t>
            </w:r>
            <w:r>
              <w:fldChar w:fldCharType="end"/>
            </w:r>
            <w:r>
              <w:t xml:space="preserve"> </w:t>
            </w:r>
          </w:p>
          <w:p w14:paraId="5C4DAE2E" w14:textId="60B7841E">
            <w:pPr>
              <w:pStyle w:val="TableNote"/>
              <w:rPr>
                <w:rStyle w:val="Code"/>
                <w:rFonts w:ascii="Calibri" w:hAnsi="Calibri" w:cs="Arial Unicode MS"/>
                <w:noProof w:val="0"/>
                <w:color w:val="auto"/>
                <w:shd w:val="clear" w:color="auto" w:fill="auto"/>
              </w:rPr>
            </w:pPr>
            <w:r>
              <w:t xml:space="preserve">since the boundary of the third and fourth </w:t>
            </w:r>
            <w:r>
              <w:rPr>
                <w:rStyle w:val="Foreign"/>
              </w:rPr>
              <w:t>pāda</w:t>
            </w:r>
            <w:r>
              <w:rPr>
                <w:rStyle w:val="Foreign"/>
                <w:i w:val="0"/>
                <w:iCs w:val="0"/>
              </w:rPr>
              <w:t>s</w:t>
            </w:r>
            <w:r>
              <w:t xml:space="preserve"> is within a compound, </w:t>
            </w:r>
            <w:r>
              <w:rPr>
                <w:rStyle w:val="Codeattribute"/>
              </w:rPr>
              <w:t>@enjamb</w:t>
            </w:r>
            <w:r>
              <w:t xml:space="preserve"> is added to the third line as per §</w:t>
            </w:r>
            <w:r>
              <w:fldChar w:fldCharType="begin"/>
            </w:r>
            <w:r>
              <w:instrText xml:space="preserve"> REF _Ref225326474 \r \h </w:instrText>
            </w:r>
            <w:r>
              <w:fldChar w:fldCharType="separate"/>
            </w:r>
            <w:r>
              <w:t>3.2.4.1</w:t>
            </w:r>
            <w:r>
              <w:fldChar w:fldCharType="end"/>
            </w:r>
            <w:r>
              <w:rPr>
                <w:rStyle w:val="Code"/>
                <w:rFonts w:ascii="Calibri" w:hAnsi="Calibri" w:cs="Arial Unicode MS"/>
                <w:noProof w:val="0"/>
                <w:color w:val="auto"/>
                <w:shd w:val="clear" w:color="auto" w:fill="auto"/>
              </w:rPr>
              <w:t xml:space="preserve"> </w:t>
            </w:r>
          </w:p>
        </w:tc>
      </w:tr>
    </w:tbl>
    <w:p w14:paraId="0617BE54" w14:textId="77777777">
      <w:pPr>
        <w:pStyle w:val="Cmsor1"/>
      </w:pPr>
      <w:bookmarkStart w:id="160" w:name="_u75tldno8fkf" w:colFirst="0" w:colLast="0"/>
      <w:bookmarkStart w:id="161" w:name="_Ref225261475"/>
      <w:bookmarkStart w:id="162" w:name="_Toc243922611"/>
      <w:bookmarkEnd w:id="160"/>
      <w:r>
        <w:lastRenderedPageBreak/>
        <w:t>Extrinsic structure</w:t>
      </w:r>
      <w:bookmarkEnd w:id="161"/>
      <w:bookmarkEnd w:id="162"/>
    </w:p>
    <w:p w14:paraId="57ED3FCE" w14:textId="77777777">
      <w:pPr>
        <w:pStyle w:val="Cmsor2"/>
      </w:pPr>
      <w:bookmarkStart w:id="163" w:name="_Ref182923075"/>
      <w:bookmarkStart w:id="164" w:name="_Ref225155416"/>
      <w:bookmarkStart w:id="165" w:name="_Toc243922612"/>
      <w:r>
        <w:t>Representing extrinsic structure</w:t>
      </w:r>
      <w:bookmarkEnd w:id="163"/>
      <w:bookmarkEnd w:id="165"/>
    </w:p>
    <w:p w14:paraId="43B5B0E1" w14:textId="6C80F24A">
      <w:r>
        <w:t xml:space="preserve">Of the various parallel, and more or less hierarchical, structures present in a written text, two are particularly relevant to encoding in the DHARMA scheme. </w:t>
      </w:r>
      <w:r>
        <w:rPr>
          <w:i/>
          <w:iCs/>
        </w:rPr>
        <w:t>Extrinsic structure</w:t>
      </w:r>
      <w:r>
        <w:t xml:space="preserve"> refers to the physical structure of a text “as document” in the terminology of </w:t>
      </w:r>
      <w:r>
        <w:rPr>
          <w:noProof/>
        </w:rPr>
        <w:t>Tanselle</w:t>
      </w:r>
      <w:r>
        <w:t xml:space="preserve"> (1989), i.e. the text in a particular, tangible manifestation. This is contrasted with </w:t>
      </w:r>
      <w:r>
        <w:rPr>
          <w:i/>
          <w:iCs/>
        </w:rPr>
        <w:t>intrinsic structure</w:t>
      </w:r>
      <w:r>
        <w:t xml:space="preserve"> (§</w:t>
      </w:r>
      <w:r>
        <w:fldChar w:fldCharType="begin"/>
      </w:r>
      <w:r>
        <w:instrText xml:space="preserve"> REF _Ref43978632 \r \h </w:instrText>
      </w:r>
      <w:r>
        <w:fldChar w:fldCharType="separate"/>
      </w:r>
      <w:r>
        <w:t>3</w:t>
      </w:r>
      <w:r>
        <w:fldChar w:fldCharType="end"/>
      </w:r>
      <w:r>
        <w:t xml:space="preserve">), which is the structure of the text “as work,” viewed as an abstract, intangible entity. In a quintessential book, extrinsic structure might comprise a number of fascicles or gatherings, each containing a number of pages, each containing a number of lines. The extrinsic structure of inscriptions is comprised, at the minimum, of an inscribed field (also called a </w:t>
      </w:r>
      <w:r>
        <w:rPr>
          <w:rStyle w:val="Foreign"/>
        </w:rPr>
        <w:t>campus</w:t>
      </w:r>
      <w:r>
        <w:t>), within which there is at least one line, but usually several lines of inscribed text. In more complex cases, the inscribed field may consist of physically distinct subfields (such as pages in a set of copper plates, the faces of a stele, or different limbs of a statue), each of which contain one or more lines. Such hierarchical divisions of extrinsic structure may coincide with breaks in intrinsic structure (for example: verse lines may be printed as physical lines; new chapters can begin on new pages, etc.), but they do not necessarily do so; indeed, in the actual practice of the documents we edit, they usually do not. Extrinsic structure can also involve non-hierarchical divisions, less typical in codicology but fairly common in inscriptions which may, for example, be written on a three-dimensional support so that some or all lines continue across a number of distinct surfaces such as the faces of a polygonal pillar or a series of masonry blocks in a wall, or may come to us in fragments.</w:t>
      </w:r>
    </w:p>
    <w:p w14:paraId="2C4F88EC" w14:textId="2A30ED53">
      <w:pPr>
        <w:pStyle w:val="Normlbehzs"/>
      </w:pPr>
      <w:r>
        <w:t xml:space="preserve">In order to encode the extrinsic structure of any inscription consisting of more than one distinct zone, you must determine the nature of the boundary between those zones. We refer to such boundaries as </w:t>
      </w:r>
      <w:r>
        <w:rPr>
          <w:i/>
          <w:iCs/>
        </w:rPr>
        <w:t>partitions</w:t>
      </w:r>
      <w:r>
        <w:t xml:space="preserve">, and classify them into three categories on the basis of their rank in the hierarchy of extrinsic structure and their relation to the hierarchy of intrinsic structure. The possible patterns of this interaction, abstracted from physical layout, are illustrated in </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 xml:space="preserve">, which represents zones with light blue rectangles, lines with dark blue oblongs, and the linear flow of the text with a red line. Zones are shown as being side by side and identical in size and shape, and lines are shown as one below another, again identical in size and shape, but this is only for schematic representation. The actual topology of the zones laid out on the support is completely irrelevant to this classification, and the same functional patterns can be present in zones and lines of any size, shape and arrangement. The question to ask yourself while choosing the right encoding for a partition is this: </w:t>
      </w:r>
      <w:r>
        <w:rPr>
          <w:i/>
          <w:iCs/>
        </w:rPr>
        <w:t>what does the text do as it reaches the boundary of a zone?</w:t>
      </w:r>
    </w:p>
    <w:tbl>
      <w:tblPr>
        <w:tblStyle w:val="FigureTable"/>
        <w:tblW w:w="5000" w:type="pct"/>
        <w:tblLook w:val="04A0" w:firstRow="1" w:lastRow="0" w:firstColumn="1" w:lastColumn="0" w:noHBand="0" w:noVBand="1"/>
      </w:tblPr>
      <w:tblGrid>
        <w:gridCol w:w="3210"/>
        <w:gridCol w:w="3210"/>
        <w:gridCol w:w="3208"/>
      </w:tblGrid>
      <w:tr w14:paraId="1B4C175D"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3"/>
          </w:tcPr>
          <w:p w14:paraId="02448FC5" w14:textId="0B7C3E7C">
            <w:pPr>
              <w:pStyle w:val="Kpalrs"/>
            </w:pPr>
            <w:bookmarkStart w:id="166" w:name="_Ref224742060"/>
            <w:bookmarkStart w:id="167" w:name="_Ref224742059"/>
            <w:r>
              <w:t xml:space="preserve">Exhibit </w:t>
            </w:r>
            <w:fldSimple w:instr=" STYLEREF 2 \s ">
              <w:r>
                <w:rPr>
                  <w:noProof/>
                </w:rPr>
                <w:t>4.1</w:t>
              </w:r>
            </w:fldSimple>
            <w:r>
              <w:t>.</w:t>
            </w:r>
            <w:fldSimple w:instr=" SEQ Exhibit \* ALPHABETIC \s 2 ">
              <w:r>
                <w:rPr>
                  <w:noProof/>
                </w:rPr>
                <w:t>A</w:t>
              </w:r>
            </w:fldSimple>
            <w:bookmarkEnd w:id="166"/>
            <w:r>
              <w:t>. Functional patterns of partitions interacting with intrinsic structure and lines</w:t>
            </w:r>
            <w:bookmarkEnd w:id="167"/>
          </w:p>
        </w:tc>
      </w:tr>
      <w:tr w14:paraId="37257B45" w14:textId="77777777">
        <w:tc>
          <w:tcPr>
            <w:tcW w:w="1667" w:type="pct"/>
          </w:tcPr>
          <w:p w14:paraId="5129175D" w14:textId="77777777">
            <w:pPr>
              <w:pStyle w:val="Image"/>
            </w:pPr>
            <w:r>
              <w:t>1</w:t>
            </w:r>
          </w:p>
        </w:tc>
        <w:tc>
          <w:tcPr>
            <w:tcW w:w="1667" w:type="pct"/>
          </w:tcPr>
          <w:p w14:paraId="30722DB1" w14:textId="77777777">
            <w:pPr>
              <w:pStyle w:val="Image"/>
            </w:pPr>
            <w:r>
              <w:t>2</w:t>
            </w:r>
          </w:p>
        </w:tc>
        <w:tc>
          <w:tcPr>
            <w:tcW w:w="1666" w:type="pct"/>
          </w:tcPr>
          <w:p w14:paraId="274FB026" w14:textId="77777777">
            <w:pPr>
              <w:pStyle w:val="Image"/>
            </w:pPr>
            <w:r>
              <w:t>3</w:t>
            </w:r>
          </w:p>
        </w:tc>
      </w:tr>
      <w:tr w14:paraId="58A96E8F" w14:textId="77777777">
        <w:tc>
          <w:tcPr>
            <w:tcW w:w="1667" w:type="pct"/>
          </w:tcPr>
          <w:p w14:paraId="33F6DB43" w14:textId="77777777">
            <w:pPr>
              <w:pStyle w:val="Image"/>
            </w:pPr>
            <w:r>
              <w:drawing>
                <wp:inline distT="0" distB="0" distL="0" distR="0" wp14:anchorId="61B65E2A" wp14:editId="2C4750DE">
                  <wp:extent cx="1557412" cy="911853"/>
                  <wp:effectExtent l="0" t="0" r="5080" b="3175"/>
                  <wp:docPr id="5" name="image8.png"/>
                  <wp:cNvGraphicFramePr/>
                  <a:graphic xmlns:a="http://schemas.openxmlformats.org/drawingml/2006/main">
                    <a:graphicData uri="http://schemas.openxmlformats.org/drawingml/2006/picture">
                      <pic:pic xmlns:pic="http://schemas.openxmlformats.org/drawingml/2006/picture">
                        <pic:nvPicPr>
                          <pic:cNvPr id="5" name="image8.png"/>
                          <pic:cNvPicPr preferRelativeResize="0"/>
                        </pic:nvPicPr>
                        <pic:blipFill>
                          <a:blip r:embed="rId13"/>
                          <a:stretch>
                            <a:fillRect/>
                          </a:stretch>
                        </pic:blipFill>
                        <pic:spPr>
                          <a:xfrm>
                            <a:off x="0" y="0"/>
                            <a:ext cx="1557412" cy="911853"/>
                          </a:xfrm>
                          <a:prstGeom prst="rect">
                            <a:avLst/>
                          </a:prstGeom>
                          <a:ln/>
                        </pic:spPr>
                      </pic:pic>
                    </a:graphicData>
                  </a:graphic>
                </wp:inline>
              </w:drawing>
            </w:r>
          </w:p>
        </w:tc>
        <w:tc>
          <w:tcPr>
            <w:tcW w:w="1667" w:type="pct"/>
          </w:tcPr>
          <w:p w14:paraId="204660F9" w14:textId="77777777">
            <w:pPr>
              <w:pStyle w:val="Image"/>
            </w:pPr>
            <w:r>
              <w:drawing>
                <wp:inline distT="0" distB="0" distL="0" distR="0" wp14:anchorId="46F625CC" wp14:editId="6C14D215">
                  <wp:extent cx="1731600" cy="914400"/>
                  <wp:effectExtent l="0" t="0" r="2540" b="0"/>
                  <wp:docPr id="28" name="image23.png"/>
                  <wp:cNvGraphicFramePr/>
                  <a:graphic xmlns:a="http://schemas.openxmlformats.org/drawingml/2006/main">
                    <a:graphicData uri="http://schemas.openxmlformats.org/drawingml/2006/picture">
                      <pic:pic xmlns:pic="http://schemas.openxmlformats.org/drawingml/2006/picture">
                        <pic:nvPicPr>
                          <pic:cNvPr id="28" name="image23.png"/>
                          <pic:cNvPicPr preferRelativeResize="0"/>
                        </pic:nvPicPr>
                        <pic:blipFill>
                          <a:blip r:embed="rId14"/>
                          <a:srcRect t="4904" b="4904"/>
                          <a:stretch>
                            <a:fillRect/>
                          </a:stretch>
                        </pic:blipFill>
                        <pic:spPr>
                          <a:xfrm>
                            <a:off x="0" y="0"/>
                            <a:ext cx="1731600" cy="914400"/>
                          </a:xfrm>
                          <a:prstGeom prst="rect">
                            <a:avLst/>
                          </a:prstGeom>
                          <a:ln/>
                        </pic:spPr>
                      </pic:pic>
                    </a:graphicData>
                  </a:graphic>
                </wp:inline>
              </w:drawing>
            </w:r>
          </w:p>
        </w:tc>
        <w:tc>
          <w:tcPr>
            <w:tcW w:w="1666" w:type="pct"/>
          </w:tcPr>
          <w:p w14:paraId="4702FCCF" w14:textId="77777777">
            <w:pPr>
              <w:pStyle w:val="Image"/>
            </w:pPr>
            <w:r>
              <w:drawing>
                <wp:inline distT="0" distB="0" distL="0" distR="0" wp14:anchorId="75CC5AB3" wp14:editId="3BC07499">
                  <wp:extent cx="1557412" cy="911853"/>
                  <wp:effectExtent l="0" t="0" r="5080" b="3175"/>
                  <wp:docPr id="19" name="image4.png"/>
                  <wp:cNvGraphicFramePr/>
                  <a:graphic xmlns:a="http://schemas.openxmlformats.org/drawingml/2006/main">
                    <a:graphicData uri="http://schemas.openxmlformats.org/drawingml/2006/picture">
                      <pic:pic xmlns:pic="http://schemas.openxmlformats.org/drawingml/2006/picture">
                        <pic:nvPicPr>
                          <pic:cNvPr id="19" name="image4.png"/>
                          <pic:cNvPicPr preferRelativeResize="0"/>
                        </pic:nvPicPr>
                        <pic:blipFill>
                          <a:blip r:embed="rId15"/>
                          <a:stretch>
                            <a:fillRect/>
                          </a:stretch>
                        </pic:blipFill>
                        <pic:spPr>
                          <a:xfrm>
                            <a:off x="0" y="0"/>
                            <a:ext cx="1557412" cy="911853"/>
                          </a:xfrm>
                          <a:prstGeom prst="rect">
                            <a:avLst/>
                          </a:prstGeom>
                          <a:ln/>
                        </pic:spPr>
                      </pic:pic>
                    </a:graphicData>
                  </a:graphic>
                </wp:inline>
              </w:drawing>
            </w:r>
          </w:p>
        </w:tc>
      </w:tr>
      <w:tr w14:paraId="3A7D4235" w14:textId="77777777">
        <w:tc>
          <w:tcPr>
            <w:tcW w:w="1667" w:type="pct"/>
          </w:tcPr>
          <w:p w14:paraId="77034A39" w14:textId="77777777">
            <w:pPr>
              <w:pStyle w:val="Tabletext"/>
              <w:keepNext/>
              <w:jc w:val="center"/>
            </w:pPr>
            <w:r>
              <w:t>text ends</w:t>
            </w:r>
          </w:p>
        </w:tc>
        <w:tc>
          <w:tcPr>
            <w:tcW w:w="1667" w:type="pct"/>
          </w:tcPr>
          <w:p w14:paraId="54436A96" w14:textId="77777777">
            <w:pPr>
              <w:pStyle w:val="Tabletext"/>
              <w:keepNext/>
              <w:jc w:val="center"/>
            </w:pPr>
            <w:r>
              <w:t>texts flows on</w:t>
            </w:r>
          </w:p>
        </w:tc>
        <w:tc>
          <w:tcPr>
            <w:tcW w:w="1666" w:type="pct"/>
          </w:tcPr>
          <w:p w14:paraId="395CDC54" w14:textId="77777777">
            <w:pPr>
              <w:pStyle w:val="Tabletext"/>
              <w:keepNext/>
              <w:jc w:val="center"/>
            </w:pPr>
            <w:r>
              <w:t>text runs across</w:t>
            </w:r>
          </w:p>
        </w:tc>
      </w:tr>
      <w:tr w14:paraId="086FB637" w14:textId="77777777">
        <w:tc>
          <w:tcPr>
            <w:tcW w:w="1667" w:type="pct"/>
          </w:tcPr>
          <w:p w14:paraId="7261ADDD" w14:textId="4442B6F9">
            <w:pPr>
              <w:pStyle w:val="Tabletext"/>
              <w:keepNext/>
              <w:jc w:val="center"/>
            </w:pPr>
            <w:r>
              <w:t>boxlike partition, §</w:t>
            </w:r>
            <w:r>
              <w:fldChar w:fldCharType="begin"/>
            </w:r>
            <w:r>
              <w:instrText xml:space="preserve"> REF _Ref225155416 \r \h </w:instrText>
            </w:r>
            <w:r>
              <w:fldChar w:fldCharType="separate"/>
            </w:r>
            <w:r>
              <w:t>4.1</w:t>
            </w:r>
            <w:r>
              <w:fldChar w:fldCharType="end"/>
            </w:r>
            <w:r>
              <w:t xml:space="preserve"> </w:t>
            </w:r>
          </w:p>
        </w:tc>
        <w:tc>
          <w:tcPr>
            <w:tcW w:w="1667" w:type="pct"/>
          </w:tcPr>
          <w:p w14:paraId="2857E37C" w14:textId="13D32030">
            <w:pPr>
              <w:pStyle w:val="Tabletext"/>
              <w:keepNext/>
              <w:jc w:val="center"/>
            </w:pPr>
            <w:r>
              <w:t>pagelike partition, §</w:t>
            </w:r>
            <w:r>
              <w:fldChar w:fldCharType="begin"/>
            </w:r>
            <w:r>
              <w:instrText xml:space="preserve"> REF _Ref233982406 \r \h </w:instrText>
            </w:r>
            <w:r>
              <w:fldChar w:fldCharType="separate"/>
            </w:r>
            <w:r>
              <w:t>4.4</w:t>
            </w:r>
            <w:r>
              <w:fldChar w:fldCharType="end"/>
            </w:r>
          </w:p>
        </w:tc>
        <w:tc>
          <w:tcPr>
            <w:tcW w:w="1666" w:type="pct"/>
          </w:tcPr>
          <w:p w14:paraId="4EBECA9D" w14:textId="339A82B5">
            <w:pPr>
              <w:pStyle w:val="Tabletext"/>
              <w:keepNext/>
              <w:jc w:val="center"/>
            </w:pPr>
            <w:r>
              <w:t>gridlike partition, §</w:t>
            </w:r>
            <w:r>
              <w:fldChar w:fldCharType="begin"/>
            </w:r>
            <w:r>
              <w:instrText xml:space="preserve"> REF _Ref43984651 \w \h  \* MERGEFORMAT </w:instrText>
            </w:r>
            <w:r>
              <w:fldChar w:fldCharType="separate"/>
            </w:r>
            <w:r>
              <w:t>4.6</w:t>
            </w:r>
            <w:r>
              <w:fldChar w:fldCharType="end"/>
            </w:r>
          </w:p>
        </w:tc>
      </w:tr>
    </w:tbl>
    <w:p w14:paraId="71180739" w14:textId="6900A17A">
      <w:r>
        <w:t>If the text progresses through all lines of a zone and ends there (</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 xml:space="preserve">/1), with the first zone comprising an integral and complete semantic unit and the text essentially starting anew in the second zone as an independent, likewise integral and complete semantic unit, then you have a </w:t>
      </w:r>
      <w:r>
        <w:rPr>
          <w:b/>
          <w:bCs/>
        </w:rPr>
        <w:t>boxlike partition</w:t>
      </w:r>
      <w:r>
        <w:t xml:space="preserve">. Boxlike partitions are thus like chapters in a book — especially short stories in an anthology or scholarly articles in a compiled volume — that together comprise a whole, and may not need to be read in a particular sequence. Another applicable book analogy is the relation of the title page, the front matter, the actual book content and the blurb. We call such a partition boxlike because each one is a functional box enclosing a discrete </w:t>
      </w:r>
      <w:r>
        <w:lastRenderedPageBreak/>
        <w:t>segment of text that is complete in itself. In terms of structural hierarchies, a boxlike partition occurs when units of extrinsic and intrinsic structure coincide, so that a physical boundary coincides with a semantic boundary. In the extrinsic hierarchy itself, a boxlike partition is the uppermost tier.</w:t>
      </w:r>
    </w:p>
    <w:p w14:paraId="41DA17B5" w14:textId="430F449E">
      <w:pPr>
        <w:pStyle w:val="Normlbehzs"/>
      </w:pPr>
      <w:r>
        <w:t xml:space="preserve">If the text progresses through all lines of a zone and then flows on to the next zone </w:t>
      </w:r>
      <w:r>
        <w:rPr>
          <w:noProof/>
        </w:rPr>
        <w:t>(</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 xml:space="preserve">/2), without the necessary presence of a major semantic break, then you have a </w:t>
      </w:r>
      <w:r>
        <w:rPr>
          <w:b/>
          <w:bCs/>
        </w:rPr>
        <w:t>pagelike partition</w:t>
      </w:r>
      <w:r>
        <w:t>. A pagelike partition is, unsurprisingly, like that of pages within a single chapter of a book, or of columns on a newspaper page. Each zone is physically distinct, but the units of intrinsic structure do not necessarily coincide with the zones. Thus, the partition normally occurs inside a block-level element of intrinsic structure, although it may — incidentally — be at a break in intrinsic structure. In terms of structural hierarchies, a pagelike partition is purely a feature of extrinsic structure, and its position in the extrinsic hierarchy is above that of lines, so that each pagelike zone is constituted of a number of lines.</w:t>
      </w:r>
    </w:p>
    <w:p w14:paraId="66CC5A49" w14:textId="4CA205B8">
      <w:pPr>
        <w:pStyle w:val="Normlbehzs"/>
      </w:pPr>
      <w:r>
        <w:t xml:space="preserve">Finally, if one or more lines of the text run across from one zone into the next </w:t>
      </w:r>
      <w:r>
        <w:rPr>
          <w:noProof/>
        </w:rPr>
        <w:t>(</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 xml:space="preserve">/3) before continuing to the next line in the first zone, then you have a </w:t>
      </w:r>
      <w:r>
        <w:rPr>
          <w:b/>
          <w:bCs/>
        </w:rPr>
        <w:t>gridlike partition</w:t>
      </w:r>
      <w:r>
        <w:t>. A gridlike partition is like the grid of a table where each row consists of a number of cells. Line after line, the text carries seamlessly on through the grid, although here too, partitions may in some cases coincide with boundaries of the intrinsic structure, for example in the case of verse laid out in a columnlike structure (§</w:t>
      </w:r>
      <w:r>
        <w:fldChar w:fldCharType="begin"/>
      </w:r>
      <w:r>
        <w:instrText xml:space="preserve"> REF _Ref225865506 \r \h </w:instrText>
      </w:r>
      <w:r>
        <w:fldChar w:fldCharType="separate"/>
      </w:r>
      <w:r>
        <w:t>4.7.5.3</w:t>
      </w:r>
      <w:r>
        <w:fldChar w:fldCharType="end"/>
      </w:r>
      <w:r>
        <w:t>). In terms of structural hierarchies, a gridlike partition is again purely a feature of extrinsic structure, but it is independent of the hierarchy constituted of lines, subfields and the campus. It does, however, affect the hierarchy of extrinsic structure because it may cut across the units of that hierarchy, including lines, and thus effectively create a subdivision below the level of lines, so that each line is constituted of a number of gridlike zones.</w:t>
      </w:r>
    </w:p>
    <w:p w14:paraId="39069FE9" w14:textId="4AE769B0">
      <w:pPr>
        <w:pStyle w:val="Normlbehzs"/>
      </w:pPr>
      <w:r>
        <w:t>Because XML cannot include overlapping hierarchies (§</w:t>
      </w:r>
      <w:r>
        <w:fldChar w:fldCharType="begin"/>
      </w:r>
      <w:r>
        <w:instrText xml:space="preserve"> REF _Ref224893456 \r \h </w:instrText>
      </w:r>
      <w:r>
        <w:fldChar w:fldCharType="separate"/>
      </w:r>
      <w:r>
        <w:t>2.2.4</w:t>
      </w:r>
      <w:r>
        <w:fldChar w:fldCharType="end"/>
      </w:r>
      <w:r>
        <w:t>) and the hierarchy of XML elements in our edition is dedicated to the representation of intrinsic structure (§</w:t>
      </w:r>
      <w:r>
        <w:fldChar w:fldCharType="begin"/>
      </w:r>
      <w:r>
        <w:instrText xml:space="preserve"> REF _Ref225153755 \r \h </w:instrText>
      </w:r>
      <w:r>
        <w:fldChar w:fldCharType="separate"/>
      </w:r>
      <w:r>
        <w:t>3.1</w:t>
      </w:r>
      <w:r>
        <w:fldChar w:fldCharType="end"/>
      </w:r>
      <w:r>
        <w:t>), we cannot use block-level elements for representing units of extrinsic structure unless they are units which, by nature, always coincide with units of intrinsic structure. As evident from the above classification, this is true of boxlike partitions. These are thus encoded as textpart divisions, which are also the uppermost tier in the encoding of intrinsic structure. However, the hierarchically lower units of extrinsic structure do not consistently correspond to units of intrinsic structure, so they necessitate a different encoding approach. This employs empty elements (§</w:t>
      </w:r>
      <w:r>
        <w:fldChar w:fldCharType="begin"/>
      </w:r>
      <w:r>
        <w:instrText xml:space="preserve"> REF _Ref224893557 \r \h </w:instrText>
      </w:r>
      <w:r>
        <w:fldChar w:fldCharType="separate"/>
      </w:r>
      <w:r>
        <w:t>2.2.2</w:t>
      </w:r>
      <w:r>
        <w:fldChar w:fldCharType="end"/>
      </w:r>
      <w:r>
        <w:t>) corresponding to points of transition, rather than text-containing elements corresponding to structural units. This kind of element is called a milestone (§</w:t>
      </w:r>
      <w:r>
        <w:fldChar w:fldCharType="begin"/>
      </w:r>
      <w:r>
        <w:instrText xml:space="preserve"> REF _Ref225327729 \r \h </w:instrText>
      </w:r>
      <w:r>
        <w:fldChar w:fldCharType="separate"/>
      </w:r>
      <w:r>
        <w:t>4.3</w:t>
      </w:r>
      <w:r>
        <w:fldChar w:fldCharType="end"/>
      </w:r>
      <w:r>
        <w:t xml:space="preserve">). Whereas for intrinsic structure, the start-tag and end-tag of a container enclose a unit such as a paragraph, for extrinsic structure we encode a single milestone at the beginning of each unit such as a line. The encoding hierarchy of extrinsic structure is illustrated in </w:t>
      </w:r>
      <w:r>
        <w:fldChar w:fldCharType="begin"/>
      </w:r>
      <w:r>
        <w:instrText xml:space="preserve"> REF _Ref224829834 \h </w:instrText>
      </w:r>
      <w:r>
        <w:fldChar w:fldCharType="separate"/>
      </w:r>
      <w:r>
        <w:t xml:space="preserve">Exhibit </w:t>
      </w:r>
      <w:r>
        <w:rPr>
          <w:noProof/>
        </w:rPr>
        <w:t>4.1</w:t>
      </w:r>
      <w:r>
        <w:t>.</w:t>
      </w:r>
      <w:r>
        <w:rPr>
          <w:noProof/>
        </w:rPr>
        <w:t>B</w:t>
      </w:r>
      <w:r>
        <w:fldChar w:fldCharType="end"/>
      </w:r>
      <w:r>
        <w:t>, where saturated colours (green, blue and yellow) represent mandatory components of an edition, and pastel colours (light green, lavender and aqua) represent non-mandatory components. The labels in the Exhibit are shown in angle brackets to indicate that they correspond to XML elements, but the actual XML elements are introduced in the sections discussing their encoding.</w:t>
      </w:r>
    </w:p>
    <w:tbl>
      <w:tblPr>
        <w:tblStyle w:val="FigureTable"/>
        <w:tblW w:w="0" w:type="auto"/>
        <w:tblLook w:val="04A0" w:firstRow="1" w:lastRow="0" w:firstColumn="1" w:lastColumn="0" w:noHBand="0" w:noVBand="1"/>
      </w:tblPr>
      <w:tblGrid>
        <w:gridCol w:w="9628"/>
      </w:tblGrid>
      <w:tr w14:paraId="59EE76D5" w14:textId="77777777">
        <w:trPr>
          <w:cnfStyle w:val="100000000000" w:firstRow="1" w:lastRow="0" w:firstColumn="0" w:lastColumn="0" w:oddVBand="0" w:evenVBand="0" w:oddHBand="0" w:evenHBand="0" w:firstRowFirstColumn="0" w:firstRowLastColumn="0" w:lastRowFirstColumn="0" w:lastRowLastColumn="0"/>
        </w:trPr>
        <w:tc>
          <w:tcPr>
            <w:tcW w:w="9628" w:type="dxa"/>
          </w:tcPr>
          <w:p w14:paraId="4E3171FB" w14:textId="60842268">
            <w:pPr>
              <w:pStyle w:val="Kpalrs"/>
            </w:pPr>
            <w:bookmarkStart w:id="168" w:name="_Ref224829834"/>
            <w:r>
              <w:lastRenderedPageBreak/>
              <w:t xml:space="preserve">Exhibit </w:t>
            </w:r>
            <w:fldSimple w:instr=" STYLEREF 2 \s ">
              <w:r>
                <w:rPr>
                  <w:noProof/>
                </w:rPr>
                <w:t>4.1</w:t>
              </w:r>
            </w:fldSimple>
            <w:r>
              <w:t>.</w:t>
            </w:r>
            <w:fldSimple w:instr=" SEQ Exhibit \* ALPHABETIC \s 2 ">
              <w:r>
                <w:rPr>
                  <w:noProof/>
                </w:rPr>
                <w:t>B</w:t>
              </w:r>
            </w:fldSimple>
            <w:bookmarkEnd w:id="168"/>
            <w:r>
              <w:t>. the encoding hierarchy of extrinsic structure</w:t>
            </w:r>
          </w:p>
        </w:tc>
      </w:tr>
      <w:tr w14:paraId="198D3C54" w14:textId="77777777">
        <w:tc>
          <w:tcPr>
            <w:tcW w:w="9628" w:type="dxa"/>
          </w:tcPr>
          <w:tbl>
            <w:tblPr>
              <w:tblStyle w:val="Rcsostblzat"/>
              <w:tblW w:w="0" w:type="auto"/>
              <w:jc w:val="cente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284"/>
              <w:gridCol w:w="284"/>
              <w:gridCol w:w="284"/>
              <w:gridCol w:w="1701"/>
              <w:gridCol w:w="1701"/>
              <w:gridCol w:w="1134"/>
              <w:gridCol w:w="1701"/>
              <w:gridCol w:w="1134"/>
              <w:gridCol w:w="284"/>
              <w:gridCol w:w="284"/>
            </w:tblGrid>
            <w:tr w14:paraId="57A3D6D4" w14:textId="77777777">
              <w:trPr>
                <w:trHeight w:hRule="exact" w:val="397"/>
                <w:jc w:val="center"/>
              </w:trPr>
              <w:tc>
                <w:tcPr>
                  <w:tcW w:w="8791" w:type="dxa"/>
                  <w:gridSpan w:val="10"/>
                  <w:tcBorders>
                    <w:top w:val="double" w:sz="12" w:space="0" w:color="auto"/>
                    <w:left w:val="double" w:sz="12" w:space="0" w:color="auto"/>
                    <w:right w:val="double" w:sz="12" w:space="0" w:color="auto"/>
                  </w:tcBorders>
                  <w:shd w:val="clear" w:color="auto" w:fill="92D050"/>
                </w:tcPr>
                <w:p w14:paraId="2C51C29D" w14:textId="77777777">
                  <w:pPr>
                    <w:pStyle w:val="Tabletext"/>
                    <w:keepNext/>
                    <w:keepLines/>
                    <w:ind w:firstLine="0"/>
                  </w:pPr>
                  <w:r>
                    <w:t>&lt;edition&gt; contains</w:t>
                  </w:r>
                </w:p>
              </w:tc>
            </w:tr>
            <w:tr w14:paraId="003CB1A7" w14:textId="77777777">
              <w:trPr>
                <w:trHeight w:hRule="exact" w:val="284"/>
                <w:jc w:val="center"/>
              </w:trPr>
              <w:tc>
                <w:tcPr>
                  <w:tcW w:w="284" w:type="dxa"/>
                  <w:vMerge w:val="restart"/>
                  <w:tcBorders>
                    <w:top w:val="nil"/>
                    <w:left w:val="double" w:sz="12" w:space="0" w:color="auto"/>
                    <w:right w:val="double" w:sz="4" w:space="0" w:color="auto"/>
                  </w:tcBorders>
                  <w:shd w:val="clear" w:color="auto" w:fill="92D050"/>
                </w:tcPr>
                <w:p w14:paraId="43755C08" w14:textId="77777777">
                  <w:pPr>
                    <w:pStyle w:val="Tabletext"/>
                    <w:keepNext/>
                    <w:keepLines/>
                    <w:ind w:firstLine="0"/>
                  </w:pPr>
                </w:p>
              </w:tc>
              <w:tc>
                <w:tcPr>
                  <w:tcW w:w="8223" w:type="dxa"/>
                  <w:gridSpan w:val="8"/>
                  <w:tcBorders>
                    <w:top w:val="double" w:sz="4" w:space="0" w:color="auto"/>
                    <w:left w:val="double" w:sz="4" w:space="0" w:color="auto"/>
                    <w:bottom w:val="nil"/>
                    <w:right w:val="double" w:sz="4" w:space="0" w:color="auto"/>
                  </w:tcBorders>
                  <w:shd w:val="clear" w:color="auto" w:fill="CCFFCC"/>
                </w:tcPr>
                <w:p w14:paraId="085870A8" w14:textId="77777777">
                  <w:pPr>
                    <w:pStyle w:val="Tabletext"/>
                    <w:keepNext/>
                    <w:keepLines/>
                    <w:ind w:firstLine="0"/>
                  </w:pPr>
                  <w:r>
                    <w:t>&lt;textpart A&gt; contains</w:t>
                  </w:r>
                </w:p>
              </w:tc>
              <w:tc>
                <w:tcPr>
                  <w:tcW w:w="284" w:type="dxa"/>
                  <w:vMerge w:val="restart"/>
                  <w:tcBorders>
                    <w:left w:val="double" w:sz="4" w:space="0" w:color="auto"/>
                    <w:right w:val="double" w:sz="12" w:space="0" w:color="auto"/>
                  </w:tcBorders>
                  <w:shd w:val="clear" w:color="auto" w:fill="92D050"/>
                </w:tcPr>
                <w:p w14:paraId="43E69707" w14:textId="77777777">
                  <w:pPr>
                    <w:pStyle w:val="Tabletext"/>
                    <w:keepNext/>
                    <w:keepLines/>
                    <w:ind w:firstLine="0"/>
                  </w:pPr>
                </w:p>
              </w:tc>
            </w:tr>
            <w:tr w14:paraId="21021150" w14:textId="77777777">
              <w:trPr>
                <w:trHeight w:hRule="exact" w:val="284"/>
                <w:jc w:val="center"/>
              </w:trPr>
              <w:tc>
                <w:tcPr>
                  <w:tcW w:w="284" w:type="dxa"/>
                  <w:vMerge/>
                  <w:tcBorders>
                    <w:left w:val="double" w:sz="12" w:space="0" w:color="auto"/>
                    <w:right w:val="double" w:sz="4" w:space="0" w:color="auto"/>
                  </w:tcBorders>
                  <w:shd w:val="clear" w:color="auto" w:fill="92D050"/>
                </w:tcPr>
                <w:p w14:paraId="3377F96F" w14:textId="77777777">
                  <w:pPr>
                    <w:pStyle w:val="Tabletext"/>
                    <w:keepNext/>
                    <w:keepLines/>
                    <w:ind w:firstLine="0"/>
                  </w:pPr>
                </w:p>
              </w:tc>
              <w:tc>
                <w:tcPr>
                  <w:tcW w:w="284" w:type="dxa"/>
                  <w:tcBorders>
                    <w:top w:val="nil"/>
                    <w:left w:val="double" w:sz="4" w:space="0" w:color="auto"/>
                    <w:right w:val="single" w:sz="4" w:space="0" w:color="auto"/>
                  </w:tcBorders>
                  <w:shd w:val="clear" w:color="auto" w:fill="CCFFCC"/>
                </w:tcPr>
                <w:p w14:paraId="1CA8DFC9" w14:textId="77777777">
                  <w:pPr>
                    <w:pStyle w:val="Tabletext"/>
                    <w:keepNext/>
                    <w:keepLines/>
                    <w:ind w:firstLine="0"/>
                  </w:pPr>
                </w:p>
              </w:tc>
              <w:tc>
                <w:tcPr>
                  <w:tcW w:w="7655" w:type="dxa"/>
                  <w:gridSpan w:val="6"/>
                  <w:tcBorders>
                    <w:top w:val="single" w:sz="4" w:space="0" w:color="auto"/>
                    <w:left w:val="single" w:sz="4" w:space="0" w:color="auto"/>
                    <w:bottom w:val="nil"/>
                    <w:right w:val="single" w:sz="4" w:space="0" w:color="auto"/>
                  </w:tcBorders>
                  <w:shd w:val="clear" w:color="auto" w:fill="CCCCFF"/>
                </w:tcPr>
                <w:p w14:paraId="159DD653" w14:textId="77777777">
                  <w:pPr>
                    <w:pStyle w:val="Tabletext"/>
                    <w:keepNext/>
                    <w:keepLines/>
                    <w:ind w:firstLine="0"/>
                  </w:pPr>
                  <w:r>
                    <w:t>&lt;page 1&gt; “contains”</w:t>
                  </w:r>
                </w:p>
              </w:tc>
              <w:tc>
                <w:tcPr>
                  <w:tcW w:w="284" w:type="dxa"/>
                  <w:vMerge w:val="restart"/>
                  <w:tcBorders>
                    <w:top w:val="nil"/>
                    <w:left w:val="single" w:sz="4" w:space="0" w:color="auto"/>
                    <w:right w:val="double" w:sz="4" w:space="0" w:color="auto"/>
                  </w:tcBorders>
                  <w:shd w:val="clear" w:color="auto" w:fill="CCFFCC"/>
                </w:tcPr>
                <w:p w14:paraId="6333D962"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57277D63" w14:textId="77777777">
                  <w:pPr>
                    <w:pStyle w:val="Tabletext"/>
                    <w:keepNext/>
                    <w:keepLines/>
                    <w:ind w:firstLine="0"/>
                  </w:pPr>
                </w:p>
              </w:tc>
            </w:tr>
            <w:tr w14:paraId="52D6CF8D" w14:textId="77777777">
              <w:trPr>
                <w:trHeight w:hRule="exact" w:val="284"/>
                <w:jc w:val="center"/>
              </w:trPr>
              <w:tc>
                <w:tcPr>
                  <w:tcW w:w="284" w:type="dxa"/>
                  <w:vMerge/>
                  <w:tcBorders>
                    <w:left w:val="double" w:sz="12" w:space="0" w:color="auto"/>
                    <w:right w:val="double" w:sz="4" w:space="0" w:color="auto"/>
                  </w:tcBorders>
                  <w:shd w:val="clear" w:color="auto" w:fill="92D050"/>
                </w:tcPr>
                <w:p w14:paraId="675EF570" w14:textId="77777777">
                  <w:pPr>
                    <w:pStyle w:val="Tabletext"/>
                    <w:keepNext/>
                    <w:keepLines/>
                    <w:ind w:firstLine="0"/>
                  </w:pPr>
                </w:p>
              </w:tc>
              <w:tc>
                <w:tcPr>
                  <w:tcW w:w="284" w:type="dxa"/>
                  <w:tcBorders>
                    <w:left w:val="double" w:sz="4" w:space="0" w:color="auto"/>
                    <w:right w:val="single" w:sz="4" w:space="0" w:color="auto"/>
                  </w:tcBorders>
                  <w:shd w:val="clear" w:color="auto" w:fill="CCFFCC"/>
                </w:tcPr>
                <w:p w14:paraId="40FABF8D" w14:textId="77777777">
                  <w:pPr>
                    <w:pStyle w:val="Tabletext"/>
                    <w:keepNext/>
                    <w:keepLines/>
                    <w:ind w:firstLine="0"/>
                  </w:pPr>
                </w:p>
              </w:tc>
              <w:tc>
                <w:tcPr>
                  <w:tcW w:w="284" w:type="dxa"/>
                  <w:vMerge w:val="restart"/>
                  <w:tcBorders>
                    <w:top w:val="nil"/>
                    <w:left w:val="single" w:sz="4" w:space="0" w:color="auto"/>
                    <w:bottom w:val="dashed" w:sz="4" w:space="0" w:color="auto"/>
                    <w:right w:val="dashed" w:sz="4" w:space="0" w:color="auto"/>
                  </w:tcBorders>
                  <w:shd w:val="clear" w:color="auto" w:fill="CCCCFF"/>
                </w:tcPr>
                <w:p w14:paraId="6E935358"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24F14FFB" w14:textId="77777777">
                  <w:pPr>
                    <w:pStyle w:val="Tabletext"/>
                    <w:keepNext/>
                    <w:keepLines/>
                    <w:ind w:firstLine="0"/>
                  </w:pPr>
                  <w:r>
                    <w:t>&lt;line 1&gt;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58961125" w14:textId="77777777">
                  <w:pPr>
                    <w:pStyle w:val="Tabletext"/>
                    <w:keepNext/>
                    <w:keepLines/>
                    <w:ind w:firstLine="0"/>
                  </w:pPr>
                  <w:r>
                    <w:t>&lt;cell A&gt;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101CA4CA" w14:textId="77777777">
                  <w:pPr>
                    <w:pStyle w:val="Tabletext"/>
                    <w:keepNext/>
                    <w:keepLines/>
                    <w:ind w:firstLine="0"/>
                    <w:jc w:val="center"/>
                    <w:rPr>
                      <w:i/>
                      <w:iCs/>
                    </w:rPr>
                  </w:pPr>
                  <w:r>
                    <w:rPr>
                      <w:i/>
                      <w:iCs/>
                    </w:rPr>
                    <w:t>…text a…</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35EAA5E3" w14:textId="77777777">
                  <w:pPr>
                    <w:pStyle w:val="Tabletext"/>
                    <w:keepNext/>
                    <w:keepLines/>
                    <w:ind w:firstLine="0"/>
                  </w:pPr>
                  <w:r>
                    <w:t>&lt;cell B&gt;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05EABA67" w14:textId="77777777">
                  <w:pPr>
                    <w:pStyle w:val="Tabletext"/>
                    <w:keepNext/>
                    <w:keepLines/>
                    <w:ind w:firstLine="0"/>
                    <w:jc w:val="center"/>
                    <w:rPr>
                      <w:i/>
                      <w:iCs/>
                    </w:rPr>
                  </w:pPr>
                  <w:r>
                    <w:rPr>
                      <w:i/>
                      <w:iCs/>
                    </w:rPr>
                    <w:t>…text b…</w:t>
                  </w:r>
                </w:p>
              </w:tc>
              <w:tc>
                <w:tcPr>
                  <w:tcW w:w="284" w:type="dxa"/>
                  <w:vMerge/>
                  <w:tcBorders>
                    <w:left w:val="single" w:sz="4" w:space="0" w:color="auto"/>
                    <w:right w:val="double" w:sz="4" w:space="0" w:color="auto"/>
                  </w:tcBorders>
                  <w:shd w:val="clear" w:color="auto" w:fill="CCFFCC"/>
                </w:tcPr>
                <w:p w14:paraId="18FDB918"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58B27F9F" w14:textId="77777777">
                  <w:pPr>
                    <w:pStyle w:val="Tabletext"/>
                    <w:keepNext/>
                    <w:keepLines/>
                    <w:ind w:firstLine="0"/>
                  </w:pPr>
                </w:p>
              </w:tc>
            </w:tr>
            <w:tr w14:paraId="4FEED53E" w14:textId="77777777">
              <w:trPr>
                <w:trHeight w:hRule="exact" w:val="284"/>
                <w:jc w:val="center"/>
              </w:trPr>
              <w:tc>
                <w:tcPr>
                  <w:tcW w:w="284" w:type="dxa"/>
                  <w:vMerge/>
                  <w:tcBorders>
                    <w:left w:val="double" w:sz="12" w:space="0" w:color="auto"/>
                    <w:right w:val="double" w:sz="4" w:space="0" w:color="auto"/>
                  </w:tcBorders>
                  <w:shd w:val="clear" w:color="auto" w:fill="92D050"/>
                </w:tcPr>
                <w:p w14:paraId="15E5376E" w14:textId="77777777">
                  <w:pPr>
                    <w:pStyle w:val="Tabletext"/>
                    <w:keepNext/>
                    <w:keepLines/>
                    <w:ind w:firstLine="0"/>
                  </w:pPr>
                </w:p>
              </w:tc>
              <w:tc>
                <w:tcPr>
                  <w:tcW w:w="284" w:type="dxa"/>
                  <w:tcBorders>
                    <w:left w:val="double" w:sz="4" w:space="0" w:color="auto"/>
                    <w:right w:val="single" w:sz="4" w:space="0" w:color="auto"/>
                  </w:tcBorders>
                  <w:shd w:val="clear" w:color="auto" w:fill="CCFFCC"/>
                </w:tcPr>
                <w:p w14:paraId="158C3D52" w14:textId="77777777">
                  <w:pPr>
                    <w:pStyle w:val="Tabletext"/>
                    <w:keepNext/>
                    <w:keepLines/>
                    <w:ind w:firstLine="0"/>
                  </w:pPr>
                </w:p>
              </w:tc>
              <w:tc>
                <w:tcPr>
                  <w:tcW w:w="284" w:type="dxa"/>
                  <w:vMerge/>
                  <w:tcBorders>
                    <w:top w:val="single" w:sz="4" w:space="0" w:color="auto"/>
                    <w:left w:val="single" w:sz="4" w:space="0" w:color="auto"/>
                    <w:bottom w:val="dashed" w:sz="4" w:space="0" w:color="auto"/>
                    <w:right w:val="dashed" w:sz="4" w:space="0" w:color="auto"/>
                  </w:tcBorders>
                  <w:shd w:val="clear" w:color="auto" w:fill="CCCCFF"/>
                </w:tcPr>
                <w:p w14:paraId="40193BC5"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2316CB43" w14:textId="77777777">
                  <w:pPr>
                    <w:pStyle w:val="Tabletext"/>
                    <w:keepNext/>
                    <w:keepLines/>
                    <w:ind w:firstLine="0"/>
                  </w:pPr>
                  <w:r>
                    <w:t>&lt;line 2&gt;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3C8082E3" w14:textId="77777777">
                  <w:pPr>
                    <w:pStyle w:val="Tabletext"/>
                    <w:keepNext/>
                    <w:keepLines/>
                    <w:ind w:firstLine="0"/>
                  </w:pPr>
                  <w:r>
                    <w:t>&lt;cell A&gt;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292A0520" w14:textId="77777777">
                  <w:pPr>
                    <w:pStyle w:val="Tabletext"/>
                    <w:keepNext/>
                    <w:keepLines/>
                    <w:ind w:firstLine="0"/>
                    <w:jc w:val="center"/>
                    <w:rPr>
                      <w:i/>
                      <w:iCs/>
                    </w:rPr>
                  </w:pPr>
                  <w:r>
                    <w:rPr>
                      <w:i/>
                      <w:iCs/>
                    </w:rPr>
                    <w:t>…text c…</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4C135B1D" w14:textId="77777777">
                  <w:pPr>
                    <w:pStyle w:val="Tabletext"/>
                    <w:keepNext/>
                    <w:keepLines/>
                    <w:ind w:firstLine="0"/>
                  </w:pPr>
                  <w:r>
                    <w:t>&lt;cell B&gt;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1D9B541C" w14:textId="77777777">
                  <w:pPr>
                    <w:pStyle w:val="Tabletext"/>
                    <w:keepNext/>
                    <w:keepLines/>
                    <w:ind w:firstLine="0"/>
                    <w:jc w:val="center"/>
                    <w:rPr>
                      <w:i/>
                      <w:iCs/>
                    </w:rPr>
                  </w:pPr>
                  <w:r>
                    <w:rPr>
                      <w:i/>
                      <w:iCs/>
                    </w:rPr>
                    <w:t>…text d…</w:t>
                  </w:r>
                </w:p>
              </w:tc>
              <w:tc>
                <w:tcPr>
                  <w:tcW w:w="284" w:type="dxa"/>
                  <w:vMerge/>
                  <w:tcBorders>
                    <w:left w:val="single" w:sz="4" w:space="0" w:color="auto"/>
                    <w:right w:val="double" w:sz="4" w:space="0" w:color="auto"/>
                  </w:tcBorders>
                  <w:shd w:val="clear" w:color="auto" w:fill="CCFFCC"/>
                </w:tcPr>
                <w:p w14:paraId="6AF67137"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0B6229EB" w14:textId="77777777">
                  <w:pPr>
                    <w:pStyle w:val="Tabletext"/>
                    <w:keepNext/>
                    <w:keepLines/>
                    <w:ind w:firstLine="0"/>
                  </w:pPr>
                </w:p>
              </w:tc>
            </w:tr>
            <w:tr w14:paraId="79421EEC" w14:textId="77777777">
              <w:trPr>
                <w:trHeight w:hRule="exact" w:val="284"/>
                <w:jc w:val="center"/>
              </w:trPr>
              <w:tc>
                <w:tcPr>
                  <w:tcW w:w="284" w:type="dxa"/>
                  <w:vMerge/>
                  <w:tcBorders>
                    <w:left w:val="double" w:sz="12" w:space="0" w:color="auto"/>
                    <w:right w:val="double" w:sz="4" w:space="0" w:color="auto"/>
                  </w:tcBorders>
                  <w:shd w:val="clear" w:color="auto" w:fill="92D050"/>
                </w:tcPr>
                <w:p w14:paraId="18778032" w14:textId="77777777">
                  <w:pPr>
                    <w:pStyle w:val="Tabletext"/>
                    <w:keepNext/>
                    <w:keepLines/>
                    <w:ind w:firstLine="0"/>
                  </w:pPr>
                </w:p>
              </w:tc>
              <w:tc>
                <w:tcPr>
                  <w:tcW w:w="284" w:type="dxa"/>
                  <w:tcBorders>
                    <w:left w:val="double" w:sz="4" w:space="0" w:color="auto"/>
                    <w:right w:val="single" w:sz="4" w:space="0" w:color="auto"/>
                  </w:tcBorders>
                  <w:shd w:val="clear" w:color="auto" w:fill="CCFFCC"/>
                </w:tcPr>
                <w:p w14:paraId="3B7DBB62" w14:textId="77777777">
                  <w:pPr>
                    <w:pStyle w:val="Tabletext"/>
                    <w:keepNext/>
                    <w:keepLines/>
                    <w:ind w:firstLine="0"/>
                  </w:pPr>
                </w:p>
              </w:tc>
              <w:tc>
                <w:tcPr>
                  <w:tcW w:w="284" w:type="dxa"/>
                  <w:vMerge/>
                  <w:tcBorders>
                    <w:top w:val="single" w:sz="4" w:space="0" w:color="auto"/>
                    <w:left w:val="single" w:sz="4" w:space="0" w:color="auto"/>
                    <w:bottom w:val="dashed" w:sz="4" w:space="0" w:color="auto"/>
                    <w:right w:val="dashed" w:sz="4" w:space="0" w:color="auto"/>
                  </w:tcBorders>
                  <w:shd w:val="clear" w:color="auto" w:fill="CCCCFF"/>
                </w:tcPr>
                <w:p w14:paraId="618A6170"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14C8E06E" w14:textId="77777777">
                  <w:pPr>
                    <w:pStyle w:val="Tabletext"/>
                    <w:keepNext/>
                    <w:keepLines/>
                    <w:ind w:firstLine="0"/>
                  </w:pPr>
                  <w:r>
                    <w:t>&lt;line 3&gt;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79568E29" w14:textId="77777777">
                  <w:pPr>
                    <w:pStyle w:val="Tabletext"/>
                    <w:keepNext/>
                    <w:keepLines/>
                    <w:ind w:firstLine="0"/>
                  </w:pPr>
                  <w:r>
                    <w:t>&lt;cell A&gt;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0898AF90" w14:textId="77777777">
                  <w:pPr>
                    <w:pStyle w:val="Tabletext"/>
                    <w:keepNext/>
                    <w:keepLines/>
                    <w:ind w:firstLine="0"/>
                    <w:jc w:val="center"/>
                    <w:rPr>
                      <w:i/>
                      <w:iCs/>
                    </w:rPr>
                  </w:pPr>
                  <w:r>
                    <w:rPr>
                      <w:i/>
                      <w:iCs/>
                    </w:rPr>
                    <w:t>…text e…</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6493D3BE" w14:textId="77777777">
                  <w:pPr>
                    <w:pStyle w:val="Tabletext"/>
                    <w:keepNext/>
                    <w:keepLines/>
                    <w:ind w:firstLine="0"/>
                  </w:pPr>
                  <w:r>
                    <w:t>&lt;cell B&gt;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162F1537" w14:textId="77777777">
                  <w:pPr>
                    <w:pStyle w:val="Tabletext"/>
                    <w:keepNext/>
                    <w:keepLines/>
                    <w:ind w:firstLine="0"/>
                    <w:jc w:val="center"/>
                    <w:rPr>
                      <w:i/>
                      <w:iCs/>
                    </w:rPr>
                  </w:pPr>
                  <w:r>
                    <w:rPr>
                      <w:i/>
                      <w:iCs/>
                    </w:rPr>
                    <w:t>…text f…</w:t>
                  </w:r>
                </w:p>
              </w:tc>
              <w:tc>
                <w:tcPr>
                  <w:tcW w:w="284" w:type="dxa"/>
                  <w:vMerge/>
                  <w:tcBorders>
                    <w:left w:val="single" w:sz="4" w:space="0" w:color="auto"/>
                    <w:right w:val="double" w:sz="4" w:space="0" w:color="auto"/>
                  </w:tcBorders>
                  <w:shd w:val="clear" w:color="auto" w:fill="CCFFCC"/>
                </w:tcPr>
                <w:p w14:paraId="274D95C1"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6676DE7C" w14:textId="77777777">
                  <w:pPr>
                    <w:pStyle w:val="Tabletext"/>
                    <w:keepNext/>
                    <w:keepLines/>
                    <w:ind w:firstLine="0"/>
                  </w:pPr>
                </w:p>
              </w:tc>
            </w:tr>
            <w:tr w14:paraId="62576750" w14:textId="77777777">
              <w:trPr>
                <w:trHeight w:hRule="exact" w:val="284"/>
                <w:jc w:val="center"/>
              </w:trPr>
              <w:tc>
                <w:tcPr>
                  <w:tcW w:w="284" w:type="dxa"/>
                  <w:vMerge/>
                  <w:tcBorders>
                    <w:left w:val="double" w:sz="12" w:space="0" w:color="auto"/>
                    <w:right w:val="double" w:sz="4" w:space="0" w:color="auto"/>
                  </w:tcBorders>
                  <w:shd w:val="clear" w:color="auto" w:fill="92D050"/>
                </w:tcPr>
                <w:p w14:paraId="78A948CE" w14:textId="77777777">
                  <w:pPr>
                    <w:pStyle w:val="Tabletext"/>
                    <w:keepNext/>
                    <w:keepLines/>
                    <w:ind w:firstLine="0"/>
                  </w:pPr>
                </w:p>
              </w:tc>
              <w:tc>
                <w:tcPr>
                  <w:tcW w:w="284" w:type="dxa"/>
                  <w:tcBorders>
                    <w:left w:val="double" w:sz="4" w:space="0" w:color="auto"/>
                    <w:right w:val="single" w:sz="4" w:space="0" w:color="auto"/>
                  </w:tcBorders>
                  <w:shd w:val="clear" w:color="auto" w:fill="CCFFCC"/>
                </w:tcPr>
                <w:p w14:paraId="115AF775" w14:textId="77777777">
                  <w:pPr>
                    <w:pStyle w:val="Tabletext"/>
                    <w:keepNext/>
                    <w:keepLines/>
                    <w:ind w:firstLine="0"/>
                  </w:pPr>
                </w:p>
              </w:tc>
              <w:tc>
                <w:tcPr>
                  <w:tcW w:w="7655" w:type="dxa"/>
                  <w:gridSpan w:val="6"/>
                  <w:tcBorders>
                    <w:top w:val="nil"/>
                    <w:left w:val="single" w:sz="4" w:space="0" w:color="auto"/>
                    <w:bottom w:val="nil"/>
                    <w:right w:val="single" w:sz="4" w:space="0" w:color="auto"/>
                  </w:tcBorders>
                  <w:shd w:val="clear" w:color="auto" w:fill="CCCCFF"/>
                </w:tcPr>
                <w:p w14:paraId="69D3F747" w14:textId="77777777">
                  <w:pPr>
                    <w:pStyle w:val="Tabletext"/>
                    <w:keepNext/>
                    <w:keepLines/>
                    <w:ind w:firstLine="0"/>
                  </w:pPr>
                  <w:r>
                    <w:t>&lt;page 2&gt; “contains”</w:t>
                  </w:r>
                </w:p>
              </w:tc>
              <w:tc>
                <w:tcPr>
                  <w:tcW w:w="284" w:type="dxa"/>
                  <w:vMerge/>
                  <w:tcBorders>
                    <w:left w:val="single" w:sz="4" w:space="0" w:color="auto"/>
                    <w:right w:val="double" w:sz="4" w:space="0" w:color="auto"/>
                  </w:tcBorders>
                  <w:shd w:val="clear" w:color="auto" w:fill="CCFFCC"/>
                </w:tcPr>
                <w:p w14:paraId="03C24C58"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4FF76E83" w14:textId="77777777">
                  <w:pPr>
                    <w:pStyle w:val="Tabletext"/>
                    <w:keepNext/>
                    <w:keepLines/>
                    <w:ind w:firstLine="0"/>
                  </w:pPr>
                </w:p>
              </w:tc>
            </w:tr>
            <w:tr w14:paraId="22955D2F" w14:textId="77777777">
              <w:trPr>
                <w:trHeight w:hRule="exact" w:val="284"/>
                <w:jc w:val="center"/>
              </w:trPr>
              <w:tc>
                <w:tcPr>
                  <w:tcW w:w="284" w:type="dxa"/>
                  <w:vMerge/>
                  <w:tcBorders>
                    <w:left w:val="double" w:sz="12" w:space="0" w:color="auto"/>
                    <w:right w:val="double" w:sz="4" w:space="0" w:color="auto"/>
                  </w:tcBorders>
                  <w:shd w:val="clear" w:color="auto" w:fill="92D050"/>
                </w:tcPr>
                <w:p w14:paraId="4E234C17" w14:textId="77777777">
                  <w:pPr>
                    <w:pStyle w:val="Tabletext"/>
                    <w:keepNext/>
                    <w:keepLines/>
                    <w:ind w:firstLine="0"/>
                  </w:pPr>
                </w:p>
              </w:tc>
              <w:tc>
                <w:tcPr>
                  <w:tcW w:w="284" w:type="dxa"/>
                  <w:tcBorders>
                    <w:left w:val="double" w:sz="4" w:space="0" w:color="auto"/>
                    <w:right w:val="single" w:sz="4" w:space="0" w:color="auto"/>
                  </w:tcBorders>
                  <w:shd w:val="clear" w:color="auto" w:fill="CCFFCC"/>
                </w:tcPr>
                <w:p w14:paraId="3B2AFB01" w14:textId="77777777">
                  <w:pPr>
                    <w:pStyle w:val="Tabletext"/>
                    <w:keepNext/>
                    <w:keepLines/>
                    <w:ind w:firstLine="0"/>
                  </w:pPr>
                </w:p>
              </w:tc>
              <w:tc>
                <w:tcPr>
                  <w:tcW w:w="284" w:type="dxa"/>
                  <w:vMerge w:val="restart"/>
                  <w:tcBorders>
                    <w:top w:val="nil"/>
                    <w:left w:val="single" w:sz="4" w:space="0" w:color="auto"/>
                    <w:bottom w:val="single" w:sz="4" w:space="0" w:color="auto"/>
                    <w:right w:val="dashed" w:sz="4" w:space="0" w:color="auto"/>
                  </w:tcBorders>
                  <w:shd w:val="clear" w:color="auto" w:fill="CCCCFF"/>
                </w:tcPr>
                <w:p w14:paraId="7AEC175F"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4E4998B0" w14:textId="77777777">
                  <w:pPr>
                    <w:pStyle w:val="Tabletext"/>
                    <w:keepNext/>
                    <w:keepLines/>
                    <w:ind w:firstLine="0"/>
                  </w:pPr>
                  <w:r>
                    <w:t>&lt;line 4&gt;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78737778" w14:textId="77777777">
                  <w:pPr>
                    <w:pStyle w:val="Tabletext"/>
                    <w:keepNext/>
                    <w:keepLines/>
                    <w:ind w:firstLine="0"/>
                  </w:pPr>
                  <w:r>
                    <w:t>&lt;cell C&gt;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00BB2724" w14:textId="77777777">
                  <w:pPr>
                    <w:pStyle w:val="Tabletext"/>
                    <w:keepNext/>
                    <w:keepLines/>
                    <w:ind w:firstLine="0"/>
                    <w:jc w:val="center"/>
                    <w:rPr>
                      <w:i/>
                      <w:iCs/>
                    </w:rPr>
                  </w:pPr>
                  <w:r>
                    <w:rPr>
                      <w:i/>
                      <w:iCs/>
                    </w:rPr>
                    <w:t>…text g…</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26D93CF6" w14:textId="77777777">
                  <w:pPr>
                    <w:pStyle w:val="Tabletext"/>
                    <w:keepNext/>
                    <w:keepLines/>
                    <w:ind w:firstLine="0"/>
                  </w:pPr>
                  <w:r>
                    <w:t>&lt;cell D&gt;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77047BA3" w14:textId="77777777">
                  <w:pPr>
                    <w:pStyle w:val="Tabletext"/>
                    <w:keepNext/>
                    <w:keepLines/>
                    <w:ind w:firstLine="0"/>
                    <w:jc w:val="center"/>
                    <w:rPr>
                      <w:i/>
                      <w:iCs/>
                    </w:rPr>
                  </w:pPr>
                  <w:r>
                    <w:rPr>
                      <w:i/>
                      <w:iCs/>
                    </w:rPr>
                    <w:t>…text h…</w:t>
                  </w:r>
                </w:p>
              </w:tc>
              <w:tc>
                <w:tcPr>
                  <w:tcW w:w="284" w:type="dxa"/>
                  <w:vMerge/>
                  <w:tcBorders>
                    <w:left w:val="single" w:sz="4" w:space="0" w:color="auto"/>
                    <w:right w:val="double" w:sz="4" w:space="0" w:color="auto"/>
                  </w:tcBorders>
                  <w:shd w:val="clear" w:color="auto" w:fill="CCFFCC"/>
                </w:tcPr>
                <w:p w14:paraId="0208127E"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0ABA27CB" w14:textId="77777777">
                  <w:pPr>
                    <w:pStyle w:val="Tabletext"/>
                    <w:keepNext/>
                    <w:keepLines/>
                    <w:ind w:firstLine="0"/>
                  </w:pPr>
                </w:p>
              </w:tc>
            </w:tr>
            <w:tr w14:paraId="1896EE6F" w14:textId="77777777">
              <w:trPr>
                <w:trHeight w:hRule="exact" w:val="284"/>
                <w:jc w:val="center"/>
              </w:trPr>
              <w:tc>
                <w:tcPr>
                  <w:tcW w:w="284" w:type="dxa"/>
                  <w:vMerge/>
                  <w:tcBorders>
                    <w:left w:val="double" w:sz="12" w:space="0" w:color="auto"/>
                    <w:right w:val="double" w:sz="4" w:space="0" w:color="auto"/>
                  </w:tcBorders>
                  <w:shd w:val="clear" w:color="auto" w:fill="92D050"/>
                </w:tcPr>
                <w:p w14:paraId="572494A7" w14:textId="77777777">
                  <w:pPr>
                    <w:pStyle w:val="Tabletext"/>
                    <w:keepNext/>
                    <w:keepLines/>
                    <w:ind w:firstLine="0"/>
                  </w:pPr>
                </w:p>
              </w:tc>
              <w:tc>
                <w:tcPr>
                  <w:tcW w:w="284" w:type="dxa"/>
                  <w:tcBorders>
                    <w:left w:val="double" w:sz="4" w:space="0" w:color="auto"/>
                    <w:right w:val="single" w:sz="4" w:space="0" w:color="auto"/>
                  </w:tcBorders>
                  <w:shd w:val="clear" w:color="auto" w:fill="CCFFCC"/>
                </w:tcPr>
                <w:p w14:paraId="3167AB4A" w14:textId="77777777">
                  <w:pPr>
                    <w:pStyle w:val="Tabletext"/>
                    <w:keepNext/>
                    <w:keepLines/>
                    <w:ind w:firstLine="0"/>
                  </w:pPr>
                </w:p>
              </w:tc>
              <w:tc>
                <w:tcPr>
                  <w:tcW w:w="284" w:type="dxa"/>
                  <w:vMerge/>
                  <w:tcBorders>
                    <w:top w:val="nil"/>
                    <w:left w:val="single" w:sz="4" w:space="0" w:color="auto"/>
                    <w:bottom w:val="single" w:sz="4" w:space="0" w:color="auto"/>
                    <w:right w:val="dashed" w:sz="4" w:space="0" w:color="auto"/>
                  </w:tcBorders>
                  <w:shd w:val="clear" w:color="auto" w:fill="CCCCFF"/>
                </w:tcPr>
                <w:p w14:paraId="71230527"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6789B01D" w14:textId="77777777">
                  <w:pPr>
                    <w:pStyle w:val="Tabletext"/>
                    <w:keepNext/>
                    <w:keepLines/>
                    <w:ind w:firstLine="0"/>
                  </w:pPr>
                  <w:r>
                    <w:t>&lt;line 5&gt;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2836279F" w14:textId="77777777">
                  <w:pPr>
                    <w:pStyle w:val="Tabletext"/>
                    <w:keepNext/>
                    <w:keepLines/>
                    <w:ind w:firstLine="0"/>
                  </w:pPr>
                  <w:r>
                    <w:t>&lt;cell C&gt;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409AC57F" w14:textId="77777777">
                  <w:pPr>
                    <w:pStyle w:val="Tabletext"/>
                    <w:keepNext/>
                    <w:keepLines/>
                    <w:ind w:firstLine="0"/>
                    <w:jc w:val="center"/>
                    <w:rPr>
                      <w:i/>
                      <w:iCs/>
                    </w:rPr>
                  </w:pPr>
                  <w:r>
                    <w:rPr>
                      <w:i/>
                      <w:iCs/>
                    </w:rPr>
                    <w:t xml:space="preserve">…text </w:t>
                  </w:r>
                  <w:r>
                    <w:rPr>
                      <w:i/>
                      <w:iCs/>
                      <w:noProof/>
                    </w:rPr>
                    <w:t>i</w:t>
                  </w:r>
                  <w:r>
                    <w:rPr>
                      <w:i/>
                      <w:iCs/>
                    </w:rPr>
                    <w:t>…</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0C975E99" w14:textId="77777777">
                  <w:pPr>
                    <w:pStyle w:val="Tabletext"/>
                    <w:keepNext/>
                    <w:keepLines/>
                    <w:ind w:firstLine="0"/>
                  </w:pPr>
                  <w:r>
                    <w:t>&lt;cell D&gt;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2614D5AC" w14:textId="77777777">
                  <w:pPr>
                    <w:pStyle w:val="Tabletext"/>
                    <w:keepNext/>
                    <w:keepLines/>
                    <w:ind w:firstLine="0"/>
                    <w:jc w:val="center"/>
                    <w:rPr>
                      <w:i/>
                      <w:iCs/>
                    </w:rPr>
                  </w:pPr>
                  <w:r>
                    <w:rPr>
                      <w:i/>
                      <w:iCs/>
                    </w:rPr>
                    <w:t>…text j…</w:t>
                  </w:r>
                </w:p>
              </w:tc>
              <w:tc>
                <w:tcPr>
                  <w:tcW w:w="284" w:type="dxa"/>
                  <w:vMerge/>
                  <w:tcBorders>
                    <w:left w:val="single" w:sz="4" w:space="0" w:color="auto"/>
                    <w:right w:val="double" w:sz="4" w:space="0" w:color="auto"/>
                  </w:tcBorders>
                  <w:shd w:val="clear" w:color="auto" w:fill="CCFFCC"/>
                </w:tcPr>
                <w:p w14:paraId="0855E2E8"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61EE9354" w14:textId="77777777">
                  <w:pPr>
                    <w:pStyle w:val="Tabletext"/>
                    <w:keepNext/>
                    <w:keepLines/>
                    <w:ind w:firstLine="0"/>
                  </w:pPr>
                </w:p>
              </w:tc>
            </w:tr>
            <w:tr w14:paraId="74C41667" w14:textId="77777777">
              <w:trPr>
                <w:trHeight w:hRule="exact" w:val="284"/>
                <w:jc w:val="center"/>
              </w:trPr>
              <w:tc>
                <w:tcPr>
                  <w:tcW w:w="284" w:type="dxa"/>
                  <w:vMerge/>
                  <w:tcBorders>
                    <w:left w:val="double" w:sz="12" w:space="0" w:color="auto"/>
                    <w:right w:val="double" w:sz="4" w:space="0" w:color="auto"/>
                  </w:tcBorders>
                  <w:shd w:val="clear" w:color="auto" w:fill="92D050"/>
                </w:tcPr>
                <w:p w14:paraId="7145E7E5" w14:textId="77777777">
                  <w:pPr>
                    <w:pStyle w:val="Tabletext"/>
                    <w:keepNext/>
                    <w:keepLines/>
                    <w:ind w:firstLine="0"/>
                  </w:pPr>
                </w:p>
              </w:tc>
              <w:tc>
                <w:tcPr>
                  <w:tcW w:w="284" w:type="dxa"/>
                  <w:tcBorders>
                    <w:left w:val="double" w:sz="4" w:space="0" w:color="auto"/>
                    <w:bottom w:val="nil"/>
                    <w:right w:val="single" w:sz="4" w:space="0" w:color="auto"/>
                  </w:tcBorders>
                  <w:shd w:val="clear" w:color="auto" w:fill="CCFFCC"/>
                </w:tcPr>
                <w:p w14:paraId="21DE38A6" w14:textId="77777777">
                  <w:pPr>
                    <w:pStyle w:val="Tabletext"/>
                    <w:keepNext/>
                    <w:keepLines/>
                    <w:ind w:firstLine="0"/>
                  </w:pPr>
                </w:p>
              </w:tc>
              <w:tc>
                <w:tcPr>
                  <w:tcW w:w="284" w:type="dxa"/>
                  <w:vMerge/>
                  <w:tcBorders>
                    <w:top w:val="nil"/>
                    <w:left w:val="single" w:sz="4" w:space="0" w:color="auto"/>
                    <w:bottom w:val="single" w:sz="4" w:space="0" w:color="auto"/>
                    <w:right w:val="dashed" w:sz="4" w:space="0" w:color="auto"/>
                  </w:tcBorders>
                  <w:shd w:val="clear" w:color="auto" w:fill="CCCCFF"/>
                </w:tcPr>
                <w:p w14:paraId="653006E7" w14:textId="77777777">
                  <w:pPr>
                    <w:pStyle w:val="Tabletext"/>
                    <w:keepNext/>
                    <w:keepLines/>
                    <w:ind w:firstLine="0"/>
                  </w:pPr>
                </w:p>
              </w:tc>
              <w:tc>
                <w:tcPr>
                  <w:tcW w:w="1701" w:type="dxa"/>
                  <w:tcBorders>
                    <w:top w:val="dashed" w:sz="4" w:space="0" w:color="auto"/>
                    <w:left w:val="dashed" w:sz="4" w:space="0" w:color="auto"/>
                    <w:bottom w:val="single" w:sz="4" w:space="0" w:color="auto"/>
                    <w:right w:val="dashed" w:sz="4" w:space="0" w:color="auto"/>
                  </w:tcBorders>
                  <w:shd w:val="clear" w:color="auto" w:fill="00B0F0"/>
                </w:tcPr>
                <w:p w14:paraId="7E85BA82" w14:textId="77777777">
                  <w:pPr>
                    <w:pStyle w:val="Tabletext"/>
                    <w:keepNext/>
                    <w:keepLines/>
                    <w:ind w:firstLine="0"/>
                  </w:pPr>
                  <w:r>
                    <w:t>&lt;line 6&gt; “contains”</w:t>
                  </w:r>
                </w:p>
              </w:tc>
              <w:tc>
                <w:tcPr>
                  <w:tcW w:w="1701" w:type="dxa"/>
                  <w:tcBorders>
                    <w:top w:val="dashed" w:sz="4" w:space="0" w:color="auto"/>
                    <w:left w:val="dashed" w:sz="4" w:space="0" w:color="auto"/>
                    <w:bottom w:val="single" w:sz="4" w:space="0" w:color="auto"/>
                    <w:right w:val="dashed" w:sz="4" w:space="0" w:color="auto"/>
                  </w:tcBorders>
                  <w:shd w:val="clear" w:color="auto" w:fill="CCFFFF"/>
                </w:tcPr>
                <w:p w14:paraId="6B511153" w14:textId="77777777">
                  <w:pPr>
                    <w:pStyle w:val="Tabletext"/>
                    <w:keepNext/>
                    <w:keepLines/>
                    <w:ind w:firstLine="0"/>
                  </w:pPr>
                  <w:r>
                    <w:t>&lt;cell C&gt; “contains”</w:t>
                  </w:r>
                </w:p>
              </w:tc>
              <w:tc>
                <w:tcPr>
                  <w:tcW w:w="1134" w:type="dxa"/>
                  <w:tcBorders>
                    <w:top w:val="dashed" w:sz="4" w:space="0" w:color="auto"/>
                    <w:left w:val="dashed" w:sz="4" w:space="0" w:color="auto"/>
                    <w:bottom w:val="single" w:sz="4" w:space="0" w:color="auto"/>
                    <w:right w:val="dashed" w:sz="4" w:space="0" w:color="auto"/>
                  </w:tcBorders>
                  <w:shd w:val="clear" w:color="auto" w:fill="FFFF00"/>
                </w:tcPr>
                <w:p w14:paraId="20127FFC" w14:textId="77777777">
                  <w:pPr>
                    <w:pStyle w:val="Tabletext"/>
                    <w:keepNext/>
                    <w:keepLines/>
                    <w:ind w:firstLine="0"/>
                    <w:jc w:val="center"/>
                    <w:rPr>
                      <w:i/>
                      <w:iCs/>
                    </w:rPr>
                  </w:pPr>
                  <w:r>
                    <w:rPr>
                      <w:i/>
                      <w:iCs/>
                    </w:rPr>
                    <w:t>…text k…</w:t>
                  </w:r>
                </w:p>
              </w:tc>
              <w:tc>
                <w:tcPr>
                  <w:tcW w:w="1701" w:type="dxa"/>
                  <w:tcBorders>
                    <w:top w:val="dashed" w:sz="4" w:space="0" w:color="auto"/>
                    <w:left w:val="dashed" w:sz="4" w:space="0" w:color="auto"/>
                    <w:bottom w:val="single" w:sz="4" w:space="0" w:color="auto"/>
                    <w:right w:val="dashed" w:sz="4" w:space="0" w:color="auto"/>
                  </w:tcBorders>
                  <w:shd w:val="clear" w:color="auto" w:fill="CCFFFF"/>
                </w:tcPr>
                <w:p w14:paraId="00C4B081" w14:textId="77777777">
                  <w:pPr>
                    <w:pStyle w:val="Tabletext"/>
                    <w:keepNext/>
                    <w:keepLines/>
                    <w:ind w:firstLine="0"/>
                  </w:pPr>
                  <w:r>
                    <w:t>&lt;cell D&gt; “contains”</w:t>
                  </w:r>
                </w:p>
              </w:tc>
              <w:tc>
                <w:tcPr>
                  <w:tcW w:w="1134" w:type="dxa"/>
                  <w:tcBorders>
                    <w:top w:val="dashed" w:sz="4" w:space="0" w:color="auto"/>
                    <w:left w:val="dashed" w:sz="4" w:space="0" w:color="auto"/>
                    <w:bottom w:val="single" w:sz="4" w:space="0" w:color="auto"/>
                    <w:right w:val="single" w:sz="4" w:space="0" w:color="auto"/>
                  </w:tcBorders>
                  <w:shd w:val="clear" w:color="auto" w:fill="FFFF00"/>
                </w:tcPr>
                <w:p w14:paraId="14B4030F" w14:textId="77777777">
                  <w:pPr>
                    <w:pStyle w:val="Tabletext"/>
                    <w:keepNext/>
                    <w:keepLines/>
                    <w:ind w:firstLine="0"/>
                    <w:jc w:val="center"/>
                    <w:rPr>
                      <w:i/>
                      <w:iCs/>
                    </w:rPr>
                  </w:pPr>
                  <w:r>
                    <w:rPr>
                      <w:i/>
                      <w:iCs/>
                    </w:rPr>
                    <w:t>…text l…</w:t>
                  </w:r>
                </w:p>
              </w:tc>
              <w:tc>
                <w:tcPr>
                  <w:tcW w:w="284" w:type="dxa"/>
                  <w:vMerge/>
                  <w:tcBorders>
                    <w:left w:val="single" w:sz="4" w:space="0" w:color="auto"/>
                    <w:right w:val="double" w:sz="4" w:space="0" w:color="auto"/>
                  </w:tcBorders>
                  <w:shd w:val="clear" w:color="auto" w:fill="CCFFCC"/>
                </w:tcPr>
                <w:p w14:paraId="58E600C9"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0AB8F60D" w14:textId="77777777">
                  <w:pPr>
                    <w:pStyle w:val="Tabletext"/>
                    <w:keepNext/>
                    <w:keepLines/>
                    <w:ind w:firstLine="0"/>
                  </w:pPr>
                </w:p>
              </w:tc>
            </w:tr>
            <w:tr w14:paraId="0D557853" w14:textId="77777777">
              <w:trPr>
                <w:trHeight w:hRule="exact" w:val="284"/>
                <w:jc w:val="center"/>
              </w:trPr>
              <w:tc>
                <w:tcPr>
                  <w:tcW w:w="284" w:type="dxa"/>
                  <w:vMerge/>
                  <w:tcBorders>
                    <w:left w:val="double" w:sz="12" w:space="0" w:color="auto"/>
                    <w:right w:val="double" w:sz="4" w:space="0" w:color="auto"/>
                  </w:tcBorders>
                  <w:shd w:val="clear" w:color="auto" w:fill="92D050"/>
                </w:tcPr>
                <w:p w14:paraId="219C6AC6" w14:textId="77777777">
                  <w:pPr>
                    <w:pStyle w:val="Tabletext"/>
                    <w:keepNext/>
                    <w:keepLines/>
                    <w:ind w:firstLine="0"/>
                  </w:pPr>
                </w:p>
              </w:tc>
              <w:tc>
                <w:tcPr>
                  <w:tcW w:w="8223" w:type="dxa"/>
                  <w:gridSpan w:val="8"/>
                  <w:tcBorders>
                    <w:top w:val="nil"/>
                    <w:left w:val="double" w:sz="4" w:space="0" w:color="auto"/>
                    <w:bottom w:val="double" w:sz="4" w:space="0" w:color="auto"/>
                    <w:right w:val="double" w:sz="4" w:space="0" w:color="auto"/>
                  </w:tcBorders>
                  <w:shd w:val="clear" w:color="auto" w:fill="CCFFCC"/>
                </w:tcPr>
                <w:p w14:paraId="08B9036D" w14:textId="77777777">
                  <w:pPr>
                    <w:pStyle w:val="Tabletext"/>
                    <w:keepNext/>
                    <w:keepLines/>
                    <w:ind w:firstLine="0"/>
                  </w:pPr>
                </w:p>
                <w:p w14:paraId="3CC529BD" w14:textId="77777777">
                  <w:pPr>
                    <w:pStyle w:val="Tabletext"/>
                    <w:keepNext/>
                    <w:keepLines/>
                    <w:ind w:firstLine="0"/>
                  </w:pPr>
                  <w:r>
                    <w:t>a</w:t>
                  </w:r>
                </w:p>
                <w:p w14:paraId="72DF19E3" w14:textId="77777777">
                  <w:pPr>
                    <w:pStyle w:val="Tabletext"/>
                    <w:keepNext/>
                    <w:keepLines/>
                    <w:ind w:firstLine="0"/>
                  </w:pPr>
                  <w:r>
                    <w:t>a</w:t>
                  </w:r>
                </w:p>
                <w:p w14:paraId="73F11EAF" w14:textId="77777777">
                  <w:pPr>
                    <w:pStyle w:val="Tabletext"/>
                    <w:keepNext/>
                    <w:keepLines/>
                    <w:ind w:firstLine="0"/>
                  </w:pPr>
                  <w:r>
                    <w:t>a</w:t>
                  </w:r>
                </w:p>
                <w:p w14:paraId="04331E48" w14:textId="77777777">
                  <w:pPr>
                    <w:pStyle w:val="Tabletext"/>
                    <w:keepNext/>
                    <w:keepLines/>
                    <w:ind w:firstLine="0"/>
                  </w:pPr>
                  <w:r>
                    <w:t>a</w:t>
                  </w:r>
                </w:p>
                <w:p w14:paraId="381D69A1" w14:textId="77777777">
                  <w:pPr>
                    <w:pStyle w:val="Tabletext"/>
                    <w:keepNext/>
                    <w:keepLines/>
                    <w:ind w:firstLine="0"/>
                  </w:pPr>
                  <w:r>
                    <w:t>a</w:t>
                  </w:r>
                </w:p>
              </w:tc>
              <w:tc>
                <w:tcPr>
                  <w:tcW w:w="284" w:type="dxa"/>
                  <w:vMerge/>
                  <w:tcBorders>
                    <w:left w:val="double" w:sz="4" w:space="0" w:color="auto"/>
                    <w:right w:val="double" w:sz="12" w:space="0" w:color="auto"/>
                  </w:tcBorders>
                  <w:shd w:val="clear" w:color="auto" w:fill="92D050"/>
                </w:tcPr>
                <w:p w14:paraId="5B6A052D" w14:textId="77777777">
                  <w:pPr>
                    <w:pStyle w:val="Tabletext"/>
                    <w:keepNext/>
                    <w:keepLines/>
                    <w:ind w:firstLine="0"/>
                  </w:pPr>
                </w:p>
              </w:tc>
            </w:tr>
            <w:tr w14:paraId="594B6F6C" w14:textId="77777777">
              <w:trPr>
                <w:trHeight w:hRule="exact" w:val="284"/>
                <w:jc w:val="center"/>
              </w:trPr>
              <w:tc>
                <w:tcPr>
                  <w:tcW w:w="284" w:type="dxa"/>
                  <w:vMerge/>
                  <w:tcBorders>
                    <w:left w:val="double" w:sz="12" w:space="0" w:color="auto"/>
                    <w:right w:val="double" w:sz="4" w:space="0" w:color="auto"/>
                  </w:tcBorders>
                  <w:shd w:val="clear" w:color="auto" w:fill="92D050"/>
                </w:tcPr>
                <w:p w14:paraId="22F5CDFD" w14:textId="77777777">
                  <w:pPr>
                    <w:pStyle w:val="Tabletext"/>
                    <w:keepNext/>
                    <w:keepLines/>
                    <w:ind w:firstLine="0"/>
                  </w:pPr>
                </w:p>
              </w:tc>
              <w:tc>
                <w:tcPr>
                  <w:tcW w:w="8223" w:type="dxa"/>
                  <w:gridSpan w:val="8"/>
                  <w:tcBorders>
                    <w:top w:val="nil"/>
                    <w:left w:val="double" w:sz="4" w:space="0" w:color="auto"/>
                    <w:bottom w:val="nil"/>
                    <w:right w:val="double" w:sz="4" w:space="0" w:color="auto"/>
                  </w:tcBorders>
                  <w:shd w:val="clear" w:color="auto" w:fill="CCFFCC"/>
                </w:tcPr>
                <w:p w14:paraId="4AEC217A" w14:textId="77777777">
                  <w:pPr>
                    <w:pStyle w:val="Tabletext"/>
                    <w:keepNext/>
                    <w:keepLines/>
                    <w:ind w:firstLine="0"/>
                  </w:pPr>
                  <w:r>
                    <w:t>&lt;textpart B&gt; contains</w:t>
                  </w:r>
                </w:p>
              </w:tc>
              <w:tc>
                <w:tcPr>
                  <w:tcW w:w="284" w:type="dxa"/>
                  <w:vMerge/>
                  <w:tcBorders>
                    <w:left w:val="double" w:sz="4" w:space="0" w:color="auto"/>
                    <w:right w:val="double" w:sz="12" w:space="0" w:color="auto"/>
                  </w:tcBorders>
                  <w:shd w:val="clear" w:color="auto" w:fill="92D050"/>
                </w:tcPr>
                <w:p w14:paraId="5FCD127F" w14:textId="77777777">
                  <w:pPr>
                    <w:pStyle w:val="Tabletext"/>
                    <w:keepNext/>
                    <w:keepLines/>
                    <w:ind w:firstLine="0"/>
                  </w:pPr>
                </w:p>
              </w:tc>
            </w:tr>
            <w:tr w14:paraId="1A883AC4" w14:textId="77777777">
              <w:trPr>
                <w:trHeight w:hRule="exact" w:val="284"/>
                <w:jc w:val="center"/>
              </w:trPr>
              <w:tc>
                <w:tcPr>
                  <w:tcW w:w="284" w:type="dxa"/>
                  <w:vMerge/>
                  <w:tcBorders>
                    <w:left w:val="double" w:sz="12" w:space="0" w:color="auto"/>
                    <w:right w:val="double" w:sz="4" w:space="0" w:color="auto"/>
                  </w:tcBorders>
                  <w:shd w:val="clear" w:color="auto" w:fill="92D050"/>
                </w:tcPr>
                <w:p w14:paraId="3DFE618B" w14:textId="77777777">
                  <w:pPr>
                    <w:pStyle w:val="Tabletext"/>
                    <w:keepNext/>
                    <w:keepLines/>
                    <w:ind w:firstLine="0"/>
                  </w:pPr>
                </w:p>
              </w:tc>
              <w:tc>
                <w:tcPr>
                  <w:tcW w:w="284" w:type="dxa"/>
                  <w:vMerge w:val="restart"/>
                  <w:tcBorders>
                    <w:top w:val="nil"/>
                    <w:left w:val="double" w:sz="4" w:space="0" w:color="auto"/>
                    <w:right w:val="single" w:sz="4" w:space="0" w:color="auto"/>
                  </w:tcBorders>
                  <w:shd w:val="clear" w:color="auto" w:fill="CCFFCC"/>
                </w:tcPr>
                <w:p w14:paraId="62F0ED22" w14:textId="77777777">
                  <w:pPr>
                    <w:pStyle w:val="Tabletext"/>
                    <w:keepNext/>
                    <w:keepLines/>
                    <w:ind w:firstLine="0"/>
                  </w:pPr>
                </w:p>
              </w:tc>
              <w:tc>
                <w:tcPr>
                  <w:tcW w:w="7655" w:type="dxa"/>
                  <w:gridSpan w:val="6"/>
                  <w:tcBorders>
                    <w:top w:val="single" w:sz="4" w:space="0" w:color="auto"/>
                    <w:left w:val="single" w:sz="4" w:space="0" w:color="auto"/>
                    <w:bottom w:val="nil"/>
                    <w:right w:val="single" w:sz="4" w:space="0" w:color="auto"/>
                  </w:tcBorders>
                  <w:shd w:val="clear" w:color="auto" w:fill="CCCCFF"/>
                </w:tcPr>
                <w:p w14:paraId="4FC610CF" w14:textId="77777777">
                  <w:pPr>
                    <w:pStyle w:val="Tabletext"/>
                    <w:keepNext/>
                    <w:keepLines/>
                    <w:ind w:firstLine="0"/>
                  </w:pPr>
                  <w:r>
                    <w:t>&lt;page 1&gt; “contains”</w:t>
                  </w:r>
                </w:p>
              </w:tc>
              <w:tc>
                <w:tcPr>
                  <w:tcW w:w="284" w:type="dxa"/>
                  <w:vMerge w:val="restart"/>
                  <w:tcBorders>
                    <w:top w:val="nil"/>
                    <w:left w:val="single" w:sz="4" w:space="0" w:color="auto"/>
                    <w:right w:val="double" w:sz="4" w:space="0" w:color="auto"/>
                  </w:tcBorders>
                  <w:shd w:val="clear" w:color="auto" w:fill="CCFFCC"/>
                </w:tcPr>
                <w:p w14:paraId="7C7FBEC5"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4BC68925" w14:textId="77777777">
                  <w:pPr>
                    <w:pStyle w:val="Tabletext"/>
                    <w:keepNext/>
                    <w:keepLines/>
                    <w:ind w:firstLine="0"/>
                  </w:pPr>
                </w:p>
              </w:tc>
            </w:tr>
            <w:tr w14:paraId="32E3D243" w14:textId="77777777">
              <w:trPr>
                <w:trHeight w:hRule="exact" w:val="284"/>
                <w:jc w:val="center"/>
              </w:trPr>
              <w:tc>
                <w:tcPr>
                  <w:tcW w:w="284" w:type="dxa"/>
                  <w:vMerge/>
                  <w:tcBorders>
                    <w:left w:val="double" w:sz="12" w:space="0" w:color="auto"/>
                    <w:right w:val="double" w:sz="4" w:space="0" w:color="auto"/>
                  </w:tcBorders>
                  <w:shd w:val="clear" w:color="auto" w:fill="92D050"/>
                </w:tcPr>
                <w:p w14:paraId="77434160" w14:textId="77777777">
                  <w:pPr>
                    <w:pStyle w:val="Tabletext"/>
                    <w:keepNext/>
                    <w:keepLines/>
                    <w:ind w:firstLine="0"/>
                  </w:pPr>
                </w:p>
              </w:tc>
              <w:tc>
                <w:tcPr>
                  <w:tcW w:w="284" w:type="dxa"/>
                  <w:vMerge/>
                  <w:tcBorders>
                    <w:left w:val="double" w:sz="4" w:space="0" w:color="auto"/>
                    <w:right w:val="single" w:sz="4" w:space="0" w:color="auto"/>
                  </w:tcBorders>
                  <w:shd w:val="clear" w:color="auto" w:fill="CCFFCC"/>
                </w:tcPr>
                <w:p w14:paraId="6A2FE759" w14:textId="77777777">
                  <w:pPr>
                    <w:pStyle w:val="Tabletext"/>
                    <w:keepNext/>
                    <w:keepLines/>
                    <w:ind w:firstLine="0"/>
                  </w:pPr>
                </w:p>
              </w:tc>
              <w:tc>
                <w:tcPr>
                  <w:tcW w:w="284" w:type="dxa"/>
                  <w:vMerge w:val="restart"/>
                  <w:tcBorders>
                    <w:top w:val="nil"/>
                    <w:left w:val="single" w:sz="4" w:space="0" w:color="auto"/>
                    <w:bottom w:val="dashed" w:sz="4" w:space="0" w:color="auto"/>
                    <w:right w:val="dashed" w:sz="4" w:space="0" w:color="auto"/>
                  </w:tcBorders>
                  <w:shd w:val="clear" w:color="auto" w:fill="CCCCFF"/>
                </w:tcPr>
                <w:p w14:paraId="4ACB3BB1"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71BDC087" w14:textId="77777777">
                  <w:pPr>
                    <w:pStyle w:val="Tabletext"/>
                    <w:keepNext/>
                    <w:keepLines/>
                    <w:ind w:firstLine="0"/>
                  </w:pPr>
                  <w:r>
                    <w:t>&lt;line 1&gt;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178FE2F9" w14:textId="77777777">
                  <w:pPr>
                    <w:pStyle w:val="Tabletext"/>
                    <w:keepNext/>
                    <w:keepLines/>
                    <w:ind w:firstLine="0"/>
                  </w:pPr>
                  <w:r>
                    <w:t>&lt;cell A&gt;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06031B8A" w14:textId="77777777">
                  <w:pPr>
                    <w:pStyle w:val="Tabletext"/>
                    <w:keepNext/>
                    <w:keepLines/>
                    <w:ind w:firstLine="0"/>
                    <w:jc w:val="center"/>
                    <w:rPr>
                      <w:i/>
                      <w:iCs/>
                    </w:rPr>
                  </w:pPr>
                  <w:r>
                    <w:rPr>
                      <w:i/>
                      <w:iCs/>
                    </w:rPr>
                    <w:t>…text m…</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40442FA3" w14:textId="77777777">
                  <w:pPr>
                    <w:pStyle w:val="Tabletext"/>
                    <w:keepNext/>
                    <w:keepLines/>
                    <w:ind w:firstLine="0"/>
                  </w:pPr>
                  <w:r>
                    <w:t>&lt;cell B&gt;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12E44407" w14:textId="77777777">
                  <w:pPr>
                    <w:pStyle w:val="Tabletext"/>
                    <w:keepNext/>
                    <w:keepLines/>
                    <w:ind w:firstLine="0"/>
                    <w:jc w:val="center"/>
                    <w:rPr>
                      <w:i/>
                      <w:iCs/>
                    </w:rPr>
                  </w:pPr>
                  <w:r>
                    <w:rPr>
                      <w:i/>
                      <w:iCs/>
                    </w:rPr>
                    <w:t>…text n…</w:t>
                  </w:r>
                </w:p>
              </w:tc>
              <w:tc>
                <w:tcPr>
                  <w:tcW w:w="284" w:type="dxa"/>
                  <w:vMerge/>
                  <w:tcBorders>
                    <w:left w:val="single" w:sz="4" w:space="0" w:color="auto"/>
                    <w:right w:val="double" w:sz="4" w:space="0" w:color="auto"/>
                  </w:tcBorders>
                  <w:shd w:val="clear" w:color="auto" w:fill="CCFFCC"/>
                </w:tcPr>
                <w:p w14:paraId="5A1282C7"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132FFC04" w14:textId="77777777">
                  <w:pPr>
                    <w:pStyle w:val="Tabletext"/>
                    <w:keepNext/>
                    <w:keepLines/>
                    <w:ind w:firstLine="0"/>
                  </w:pPr>
                </w:p>
              </w:tc>
            </w:tr>
            <w:tr w14:paraId="2352E3AC" w14:textId="77777777">
              <w:trPr>
                <w:trHeight w:hRule="exact" w:val="284"/>
                <w:jc w:val="center"/>
              </w:trPr>
              <w:tc>
                <w:tcPr>
                  <w:tcW w:w="284" w:type="dxa"/>
                  <w:vMerge/>
                  <w:tcBorders>
                    <w:left w:val="double" w:sz="12" w:space="0" w:color="auto"/>
                    <w:right w:val="double" w:sz="4" w:space="0" w:color="auto"/>
                  </w:tcBorders>
                  <w:shd w:val="clear" w:color="auto" w:fill="92D050"/>
                </w:tcPr>
                <w:p w14:paraId="69061FA4" w14:textId="77777777">
                  <w:pPr>
                    <w:pStyle w:val="Tabletext"/>
                    <w:keepNext/>
                    <w:keepLines/>
                    <w:ind w:firstLine="0"/>
                  </w:pPr>
                </w:p>
              </w:tc>
              <w:tc>
                <w:tcPr>
                  <w:tcW w:w="284" w:type="dxa"/>
                  <w:vMerge/>
                  <w:tcBorders>
                    <w:left w:val="double" w:sz="4" w:space="0" w:color="auto"/>
                    <w:right w:val="single" w:sz="4" w:space="0" w:color="auto"/>
                  </w:tcBorders>
                  <w:shd w:val="clear" w:color="auto" w:fill="CCFFCC"/>
                </w:tcPr>
                <w:p w14:paraId="2AF8C579" w14:textId="77777777">
                  <w:pPr>
                    <w:pStyle w:val="Tabletext"/>
                    <w:keepNext/>
                    <w:keepLines/>
                    <w:ind w:firstLine="0"/>
                  </w:pPr>
                </w:p>
              </w:tc>
              <w:tc>
                <w:tcPr>
                  <w:tcW w:w="284" w:type="dxa"/>
                  <w:vMerge/>
                  <w:tcBorders>
                    <w:top w:val="nil"/>
                    <w:left w:val="single" w:sz="4" w:space="0" w:color="auto"/>
                    <w:bottom w:val="dashed" w:sz="4" w:space="0" w:color="auto"/>
                    <w:right w:val="dashed" w:sz="4" w:space="0" w:color="auto"/>
                  </w:tcBorders>
                  <w:shd w:val="clear" w:color="auto" w:fill="CCCCFF"/>
                </w:tcPr>
                <w:p w14:paraId="24BC8634"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6F754B29" w14:textId="77777777">
                  <w:pPr>
                    <w:pStyle w:val="Tabletext"/>
                    <w:keepNext/>
                    <w:keepLines/>
                    <w:ind w:firstLine="0"/>
                  </w:pPr>
                  <w:r>
                    <w:t>&lt;line 2&gt;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01D14EAC" w14:textId="77777777">
                  <w:pPr>
                    <w:pStyle w:val="Tabletext"/>
                    <w:keepNext/>
                    <w:keepLines/>
                    <w:ind w:firstLine="0"/>
                  </w:pPr>
                  <w:r>
                    <w:t>&lt;cell A&gt;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55C3C9D1" w14:textId="77777777">
                  <w:pPr>
                    <w:pStyle w:val="Tabletext"/>
                    <w:keepNext/>
                    <w:keepLines/>
                    <w:ind w:firstLine="0"/>
                    <w:jc w:val="center"/>
                    <w:rPr>
                      <w:i/>
                      <w:iCs/>
                    </w:rPr>
                  </w:pPr>
                  <w:r>
                    <w:rPr>
                      <w:i/>
                      <w:iCs/>
                    </w:rPr>
                    <w:t>…text o…</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53222CA5" w14:textId="77777777">
                  <w:pPr>
                    <w:pStyle w:val="Tabletext"/>
                    <w:keepNext/>
                    <w:keepLines/>
                    <w:ind w:firstLine="0"/>
                  </w:pPr>
                  <w:r>
                    <w:t>&lt;cell B&gt;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61179EFD" w14:textId="77777777">
                  <w:pPr>
                    <w:pStyle w:val="Tabletext"/>
                    <w:keepNext/>
                    <w:keepLines/>
                    <w:ind w:firstLine="0"/>
                    <w:jc w:val="center"/>
                    <w:rPr>
                      <w:i/>
                      <w:iCs/>
                    </w:rPr>
                  </w:pPr>
                  <w:r>
                    <w:rPr>
                      <w:i/>
                      <w:iCs/>
                    </w:rPr>
                    <w:t>…text p…</w:t>
                  </w:r>
                </w:p>
              </w:tc>
              <w:tc>
                <w:tcPr>
                  <w:tcW w:w="284" w:type="dxa"/>
                  <w:vMerge/>
                  <w:tcBorders>
                    <w:left w:val="single" w:sz="4" w:space="0" w:color="auto"/>
                    <w:right w:val="double" w:sz="4" w:space="0" w:color="auto"/>
                  </w:tcBorders>
                  <w:shd w:val="clear" w:color="auto" w:fill="CCFFCC"/>
                </w:tcPr>
                <w:p w14:paraId="623B4313"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168910B6" w14:textId="77777777">
                  <w:pPr>
                    <w:pStyle w:val="Tabletext"/>
                    <w:keepNext/>
                    <w:keepLines/>
                    <w:ind w:firstLine="0"/>
                  </w:pPr>
                </w:p>
              </w:tc>
            </w:tr>
            <w:tr w14:paraId="06C508E3" w14:textId="77777777">
              <w:trPr>
                <w:trHeight w:hRule="exact" w:val="284"/>
                <w:jc w:val="center"/>
              </w:trPr>
              <w:tc>
                <w:tcPr>
                  <w:tcW w:w="284" w:type="dxa"/>
                  <w:vMerge/>
                  <w:tcBorders>
                    <w:left w:val="double" w:sz="12" w:space="0" w:color="auto"/>
                    <w:right w:val="double" w:sz="4" w:space="0" w:color="auto"/>
                  </w:tcBorders>
                  <w:shd w:val="clear" w:color="auto" w:fill="92D050"/>
                </w:tcPr>
                <w:p w14:paraId="3DF4F0E3" w14:textId="77777777">
                  <w:pPr>
                    <w:pStyle w:val="Tabletext"/>
                    <w:keepNext/>
                    <w:keepLines/>
                    <w:ind w:firstLine="0"/>
                  </w:pPr>
                </w:p>
              </w:tc>
              <w:tc>
                <w:tcPr>
                  <w:tcW w:w="284" w:type="dxa"/>
                  <w:vMerge/>
                  <w:tcBorders>
                    <w:left w:val="double" w:sz="4" w:space="0" w:color="auto"/>
                    <w:right w:val="single" w:sz="4" w:space="0" w:color="auto"/>
                  </w:tcBorders>
                  <w:shd w:val="clear" w:color="auto" w:fill="CCFFCC"/>
                </w:tcPr>
                <w:p w14:paraId="78C9FF2A" w14:textId="77777777">
                  <w:pPr>
                    <w:pStyle w:val="Tabletext"/>
                    <w:keepNext/>
                    <w:keepLines/>
                    <w:ind w:firstLine="0"/>
                  </w:pPr>
                </w:p>
              </w:tc>
              <w:tc>
                <w:tcPr>
                  <w:tcW w:w="284" w:type="dxa"/>
                  <w:vMerge/>
                  <w:tcBorders>
                    <w:top w:val="nil"/>
                    <w:left w:val="single" w:sz="4" w:space="0" w:color="auto"/>
                    <w:bottom w:val="dashed" w:sz="4" w:space="0" w:color="auto"/>
                    <w:right w:val="dashed" w:sz="4" w:space="0" w:color="auto"/>
                  </w:tcBorders>
                  <w:shd w:val="clear" w:color="auto" w:fill="CCCCFF"/>
                </w:tcPr>
                <w:p w14:paraId="784EF221"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07ABD035" w14:textId="77777777">
                  <w:pPr>
                    <w:pStyle w:val="Tabletext"/>
                    <w:keepNext/>
                    <w:keepLines/>
                    <w:ind w:firstLine="0"/>
                  </w:pPr>
                  <w:r>
                    <w:t>&lt;line 3&gt;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655F2A3D" w14:textId="77777777">
                  <w:pPr>
                    <w:pStyle w:val="Tabletext"/>
                    <w:keepNext/>
                    <w:keepLines/>
                    <w:ind w:firstLine="0"/>
                  </w:pPr>
                  <w:r>
                    <w:t>&lt;cell A&gt;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0EE44DB7" w14:textId="77777777">
                  <w:pPr>
                    <w:pStyle w:val="Tabletext"/>
                    <w:keepNext/>
                    <w:keepLines/>
                    <w:ind w:firstLine="0"/>
                    <w:jc w:val="center"/>
                    <w:rPr>
                      <w:i/>
                      <w:iCs/>
                    </w:rPr>
                  </w:pPr>
                  <w:r>
                    <w:rPr>
                      <w:i/>
                      <w:iCs/>
                    </w:rPr>
                    <w:t>…text q…</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67861A01" w14:textId="77777777">
                  <w:pPr>
                    <w:pStyle w:val="Tabletext"/>
                    <w:keepNext/>
                    <w:keepLines/>
                    <w:ind w:firstLine="0"/>
                  </w:pPr>
                  <w:r>
                    <w:t>&lt;cell B&gt;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1EA07EDE" w14:textId="77777777">
                  <w:pPr>
                    <w:pStyle w:val="Tabletext"/>
                    <w:keepNext/>
                    <w:keepLines/>
                    <w:ind w:firstLine="0"/>
                    <w:jc w:val="center"/>
                    <w:rPr>
                      <w:i/>
                      <w:iCs/>
                    </w:rPr>
                  </w:pPr>
                  <w:r>
                    <w:rPr>
                      <w:i/>
                      <w:iCs/>
                    </w:rPr>
                    <w:t>…text r…</w:t>
                  </w:r>
                </w:p>
              </w:tc>
              <w:tc>
                <w:tcPr>
                  <w:tcW w:w="284" w:type="dxa"/>
                  <w:vMerge/>
                  <w:tcBorders>
                    <w:left w:val="single" w:sz="4" w:space="0" w:color="auto"/>
                    <w:right w:val="double" w:sz="4" w:space="0" w:color="auto"/>
                  </w:tcBorders>
                  <w:shd w:val="clear" w:color="auto" w:fill="CCFFCC"/>
                </w:tcPr>
                <w:p w14:paraId="0E2FD0B6"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5B668339" w14:textId="77777777">
                  <w:pPr>
                    <w:pStyle w:val="Tabletext"/>
                    <w:keepNext/>
                    <w:keepLines/>
                    <w:ind w:firstLine="0"/>
                  </w:pPr>
                </w:p>
              </w:tc>
            </w:tr>
            <w:tr w14:paraId="359AF469" w14:textId="77777777">
              <w:trPr>
                <w:trHeight w:hRule="exact" w:val="284"/>
                <w:jc w:val="center"/>
              </w:trPr>
              <w:tc>
                <w:tcPr>
                  <w:tcW w:w="284" w:type="dxa"/>
                  <w:vMerge/>
                  <w:tcBorders>
                    <w:left w:val="double" w:sz="12" w:space="0" w:color="auto"/>
                    <w:right w:val="double" w:sz="4" w:space="0" w:color="auto"/>
                  </w:tcBorders>
                  <w:shd w:val="clear" w:color="auto" w:fill="92D050"/>
                </w:tcPr>
                <w:p w14:paraId="4FF2A483" w14:textId="77777777">
                  <w:pPr>
                    <w:pStyle w:val="Tabletext"/>
                    <w:keepNext/>
                    <w:keepLines/>
                    <w:ind w:firstLine="0"/>
                  </w:pPr>
                </w:p>
              </w:tc>
              <w:tc>
                <w:tcPr>
                  <w:tcW w:w="284" w:type="dxa"/>
                  <w:vMerge/>
                  <w:tcBorders>
                    <w:left w:val="double" w:sz="4" w:space="0" w:color="auto"/>
                    <w:right w:val="single" w:sz="4" w:space="0" w:color="auto"/>
                  </w:tcBorders>
                  <w:shd w:val="clear" w:color="auto" w:fill="CCFFCC"/>
                </w:tcPr>
                <w:p w14:paraId="2A9E0A56" w14:textId="77777777">
                  <w:pPr>
                    <w:pStyle w:val="Tabletext"/>
                    <w:keepNext/>
                    <w:keepLines/>
                    <w:ind w:firstLine="0"/>
                  </w:pPr>
                </w:p>
              </w:tc>
              <w:tc>
                <w:tcPr>
                  <w:tcW w:w="7655" w:type="dxa"/>
                  <w:gridSpan w:val="6"/>
                  <w:tcBorders>
                    <w:top w:val="nil"/>
                    <w:left w:val="single" w:sz="4" w:space="0" w:color="auto"/>
                    <w:bottom w:val="nil"/>
                    <w:right w:val="single" w:sz="4" w:space="0" w:color="auto"/>
                  </w:tcBorders>
                  <w:shd w:val="clear" w:color="auto" w:fill="CCCCFF"/>
                </w:tcPr>
                <w:p w14:paraId="0BFF496E" w14:textId="77777777">
                  <w:pPr>
                    <w:pStyle w:val="Tabletext"/>
                    <w:keepNext/>
                    <w:keepLines/>
                    <w:ind w:firstLine="0"/>
                    <w:rPr>
                      <w:i/>
                      <w:iCs/>
                    </w:rPr>
                  </w:pPr>
                  <w:r>
                    <w:t>&lt;page 2&gt; “contains”</w:t>
                  </w:r>
                </w:p>
              </w:tc>
              <w:tc>
                <w:tcPr>
                  <w:tcW w:w="284" w:type="dxa"/>
                  <w:vMerge/>
                  <w:tcBorders>
                    <w:left w:val="single" w:sz="4" w:space="0" w:color="auto"/>
                    <w:right w:val="double" w:sz="4" w:space="0" w:color="auto"/>
                  </w:tcBorders>
                  <w:shd w:val="clear" w:color="auto" w:fill="CCFFCC"/>
                </w:tcPr>
                <w:p w14:paraId="5BB0BFAD"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26B62AF6" w14:textId="77777777">
                  <w:pPr>
                    <w:pStyle w:val="Tabletext"/>
                    <w:keepNext/>
                    <w:keepLines/>
                    <w:ind w:firstLine="0"/>
                  </w:pPr>
                </w:p>
              </w:tc>
            </w:tr>
            <w:tr w14:paraId="3D4222B5" w14:textId="77777777">
              <w:trPr>
                <w:trHeight w:hRule="exact" w:val="284"/>
                <w:jc w:val="center"/>
              </w:trPr>
              <w:tc>
                <w:tcPr>
                  <w:tcW w:w="284" w:type="dxa"/>
                  <w:vMerge/>
                  <w:tcBorders>
                    <w:left w:val="double" w:sz="12" w:space="0" w:color="auto"/>
                    <w:right w:val="double" w:sz="4" w:space="0" w:color="auto"/>
                  </w:tcBorders>
                  <w:shd w:val="clear" w:color="auto" w:fill="92D050"/>
                </w:tcPr>
                <w:p w14:paraId="149F4035" w14:textId="77777777">
                  <w:pPr>
                    <w:pStyle w:val="Tabletext"/>
                    <w:keepNext/>
                    <w:keepLines/>
                    <w:ind w:firstLine="0"/>
                  </w:pPr>
                </w:p>
              </w:tc>
              <w:tc>
                <w:tcPr>
                  <w:tcW w:w="284" w:type="dxa"/>
                  <w:vMerge/>
                  <w:tcBorders>
                    <w:left w:val="double" w:sz="4" w:space="0" w:color="auto"/>
                    <w:right w:val="single" w:sz="4" w:space="0" w:color="auto"/>
                  </w:tcBorders>
                  <w:shd w:val="clear" w:color="auto" w:fill="CCFFCC"/>
                </w:tcPr>
                <w:p w14:paraId="3C6EDF7C" w14:textId="77777777">
                  <w:pPr>
                    <w:pStyle w:val="Tabletext"/>
                    <w:keepNext/>
                    <w:keepLines/>
                    <w:ind w:firstLine="0"/>
                  </w:pPr>
                </w:p>
              </w:tc>
              <w:tc>
                <w:tcPr>
                  <w:tcW w:w="284" w:type="dxa"/>
                  <w:vMerge w:val="restart"/>
                  <w:tcBorders>
                    <w:top w:val="nil"/>
                    <w:left w:val="single" w:sz="4" w:space="0" w:color="auto"/>
                    <w:bottom w:val="single" w:sz="4" w:space="0" w:color="auto"/>
                    <w:right w:val="dashed" w:sz="4" w:space="0" w:color="auto"/>
                  </w:tcBorders>
                  <w:shd w:val="clear" w:color="auto" w:fill="CCCCFF"/>
                </w:tcPr>
                <w:p w14:paraId="048074AA"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4F083E5A" w14:textId="77777777">
                  <w:pPr>
                    <w:pStyle w:val="Tabletext"/>
                    <w:keepNext/>
                    <w:keepLines/>
                    <w:ind w:firstLine="0"/>
                  </w:pPr>
                  <w:r>
                    <w:t>&lt;line 4&gt;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0A4CDD10" w14:textId="77777777">
                  <w:pPr>
                    <w:pStyle w:val="Tabletext"/>
                    <w:keepNext/>
                    <w:keepLines/>
                    <w:ind w:firstLine="0"/>
                  </w:pPr>
                  <w:r>
                    <w:t>&lt;cell C&gt;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41C96489" w14:textId="77777777">
                  <w:pPr>
                    <w:pStyle w:val="Tabletext"/>
                    <w:keepNext/>
                    <w:keepLines/>
                    <w:ind w:firstLine="0"/>
                    <w:jc w:val="center"/>
                    <w:rPr>
                      <w:i/>
                      <w:iCs/>
                    </w:rPr>
                  </w:pPr>
                  <w:r>
                    <w:rPr>
                      <w:i/>
                      <w:iCs/>
                    </w:rPr>
                    <w:t>…text 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6622BEAC" w14:textId="77777777">
                  <w:pPr>
                    <w:pStyle w:val="Tabletext"/>
                    <w:keepNext/>
                    <w:keepLines/>
                    <w:ind w:firstLine="0"/>
                  </w:pPr>
                  <w:r>
                    <w:t>&lt;cell D&gt;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5DF9C3B2" w14:textId="77777777">
                  <w:pPr>
                    <w:pStyle w:val="Tabletext"/>
                    <w:keepNext/>
                    <w:keepLines/>
                    <w:ind w:firstLine="0"/>
                    <w:jc w:val="center"/>
                    <w:rPr>
                      <w:i/>
                      <w:iCs/>
                    </w:rPr>
                  </w:pPr>
                  <w:r>
                    <w:rPr>
                      <w:i/>
                      <w:iCs/>
                    </w:rPr>
                    <w:t>…text t…</w:t>
                  </w:r>
                </w:p>
              </w:tc>
              <w:tc>
                <w:tcPr>
                  <w:tcW w:w="284" w:type="dxa"/>
                  <w:vMerge/>
                  <w:tcBorders>
                    <w:left w:val="single" w:sz="4" w:space="0" w:color="auto"/>
                    <w:right w:val="double" w:sz="4" w:space="0" w:color="auto"/>
                  </w:tcBorders>
                  <w:shd w:val="clear" w:color="auto" w:fill="CCFFCC"/>
                </w:tcPr>
                <w:p w14:paraId="51D55D21"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01629030" w14:textId="77777777">
                  <w:pPr>
                    <w:pStyle w:val="Tabletext"/>
                    <w:keepNext/>
                    <w:keepLines/>
                    <w:ind w:firstLine="0"/>
                  </w:pPr>
                </w:p>
              </w:tc>
            </w:tr>
            <w:tr w14:paraId="6F6B7BCF" w14:textId="77777777">
              <w:trPr>
                <w:trHeight w:hRule="exact" w:val="284"/>
                <w:jc w:val="center"/>
              </w:trPr>
              <w:tc>
                <w:tcPr>
                  <w:tcW w:w="284" w:type="dxa"/>
                  <w:vMerge/>
                  <w:tcBorders>
                    <w:left w:val="double" w:sz="12" w:space="0" w:color="auto"/>
                    <w:right w:val="double" w:sz="4" w:space="0" w:color="auto"/>
                  </w:tcBorders>
                  <w:shd w:val="clear" w:color="auto" w:fill="92D050"/>
                </w:tcPr>
                <w:p w14:paraId="2D3A461C" w14:textId="77777777">
                  <w:pPr>
                    <w:pStyle w:val="Tabletext"/>
                    <w:keepNext/>
                    <w:keepLines/>
                    <w:ind w:firstLine="0"/>
                  </w:pPr>
                </w:p>
              </w:tc>
              <w:tc>
                <w:tcPr>
                  <w:tcW w:w="284" w:type="dxa"/>
                  <w:vMerge/>
                  <w:tcBorders>
                    <w:left w:val="double" w:sz="4" w:space="0" w:color="auto"/>
                    <w:right w:val="single" w:sz="4" w:space="0" w:color="auto"/>
                  </w:tcBorders>
                  <w:shd w:val="clear" w:color="auto" w:fill="CCFFCC"/>
                </w:tcPr>
                <w:p w14:paraId="2FA062A2" w14:textId="77777777">
                  <w:pPr>
                    <w:pStyle w:val="Tabletext"/>
                    <w:keepNext/>
                    <w:keepLines/>
                    <w:ind w:firstLine="0"/>
                  </w:pPr>
                </w:p>
              </w:tc>
              <w:tc>
                <w:tcPr>
                  <w:tcW w:w="284" w:type="dxa"/>
                  <w:vMerge/>
                  <w:tcBorders>
                    <w:top w:val="single" w:sz="4" w:space="0" w:color="auto"/>
                    <w:left w:val="single" w:sz="4" w:space="0" w:color="auto"/>
                    <w:bottom w:val="single" w:sz="4" w:space="0" w:color="auto"/>
                    <w:right w:val="dashed" w:sz="4" w:space="0" w:color="auto"/>
                  </w:tcBorders>
                  <w:shd w:val="clear" w:color="auto" w:fill="CCCCFF"/>
                </w:tcPr>
                <w:p w14:paraId="36F4BF1D"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66548257" w14:textId="77777777">
                  <w:pPr>
                    <w:pStyle w:val="Tabletext"/>
                    <w:keepNext/>
                    <w:keepLines/>
                    <w:ind w:firstLine="0"/>
                  </w:pPr>
                  <w:r>
                    <w:t>&lt;line 5&gt;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53193665" w14:textId="77777777">
                  <w:pPr>
                    <w:pStyle w:val="Tabletext"/>
                    <w:keepNext/>
                    <w:keepLines/>
                    <w:ind w:firstLine="0"/>
                  </w:pPr>
                  <w:r>
                    <w:t>&lt;cell C&gt;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0948A506" w14:textId="77777777">
                  <w:pPr>
                    <w:pStyle w:val="Tabletext"/>
                    <w:keepNext/>
                    <w:keepLines/>
                    <w:ind w:firstLine="0"/>
                    <w:jc w:val="center"/>
                    <w:rPr>
                      <w:i/>
                      <w:iCs/>
                    </w:rPr>
                  </w:pPr>
                  <w:r>
                    <w:rPr>
                      <w:i/>
                      <w:iCs/>
                    </w:rPr>
                    <w:t>…text u…</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42EF92F9" w14:textId="77777777">
                  <w:pPr>
                    <w:pStyle w:val="Tabletext"/>
                    <w:keepNext/>
                    <w:keepLines/>
                    <w:ind w:firstLine="0"/>
                  </w:pPr>
                  <w:r>
                    <w:t>&lt;cell D&gt;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7BE63258" w14:textId="77777777">
                  <w:pPr>
                    <w:pStyle w:val="Tabletext"/>
                    <w:keepNext/>
                    <w:keepLines/>
                    <w:ind w:firstLine="0"/>
                    <w:jc w:val="center"/>
                    <w:rPr>
                      <w:i/>
                      <w:iCs/>
                    </w:rPr>
                  </w:pPr>
                  <w:r>
                    <w:rPr>
                      <w:i/>
                      <w:iCs/>
                    </w:rPr>
                    <w:t>…text v…</w:t>
                  </w:r>
                </w:p>
              </w:tc>
              <w:tc>
                <w:tcPr>
                  <w:tcW w:w="284" w:type="dxa"/>
                  <w:vMerge/>
                  <w:tcBorders>
                    <w:left w:val="single" w:sz="4" w:space="0" w:color="auto"/>
                    <w:right w:val="double" w:sz="4" w:space="0" w:color="auto"/>
                  </w:tcBorders>
                  <w:shd w:val="clear" w:color="auto" w:fill="CCFFCC"/>
                </w:tcPr>
                <w:p w14:paraId="49265CA5"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5FBCF763" w14:textId="77777777">
                  <w:pPr>
                    <w:pStyle w:val="Tabletext"/>
                    <w:keepNext/>
                    <w:keepLines/>
                    <w:ind w:firstLine="0"/>
                  </w:pPr>
                </w:p>
              </w:tc>
            </w:tr>
            <w:tr w14:paraId="245582DF" w14:textId="77777777">
              <w:trPr>
                <w:trHeight w:hRule="exact" w:val="284"/>
                <w:jc w:val="center"/>
              </w:trPr>
              <w:tc>
                <w:tcPr>
                  <w:tcW w:w="284" w:type="dxa"/>
                  <w:vMerge/>
                  <w:tcBorders>
                    <w:left w:val="double" w:sz="12" w:space="0" w:color="auto"/>
                    <w:right w:val="double" w:sz="4" w:space="0" w:color="auto"/>
                  </w:tcBorders>
                  <w:shd w:val="clear" w:color="auto" w:fill="92D050"/>
                </w:tcPr>
                <w:p w14:paraId="0979B528" w14:textId="77777777">
                  <w:pPr>
                    <w:pStyle w:val="Tabletext"/>
                    <w:keepNext/>
                    <w:keepLines/>
                    <w:ind w:firstLine="0"/>
                  </w:pPr>
                </w:p>
              </w:tc>
              <w:tc>
                <w:tcPr>
                  <w:tcW w:w="284" w:type="dxa"/>
                  <w:vMerge/>
                  <w:tcBorders>
                    <w:left w:val="double" w:sz="4" w:space="0" w:color="auto"/>
                    <w:bottom w:val="nil"/>
                    <w:right w:val="single" w:sz="4" w:space="0" w:color="auto"/>
                  </w:tcBorders>
                  <w:shd w:val="clear" w:color="auto" w:fill="CCFFCC"/>
                </w:tcPr>
                <w:p w14:paraId="1D2763E0" w14:textId="77777777">
                  <w:pPr>
                    <w:pStyle w:val="Tabletext"/>
                    <w:keepNext/>
                    <w:keepLines/>
                    <w:ind w:firstLine="0"/>
                  </w:pPr>
                </w:p>
              </w:tc>
              <w:tc>
                <w:tcPr>
                  <w:tcW w:w="284" w:type="dxa"/>
                  <w:vMerge/>
                  <w:tcBorders>
                    <w:top w:val="single" w:sz="4" w:space="0" w:color="auto"/>
                    <w:left w:val="single" w:sz="4" w:space="0" w:color="auto"/>
                    <w:bottom w:val="single" w:sz="4" w:space="0" w:color="auto"/>
                    <w:right w:val="dashed" w:sz="4" w:space="0" w:color="auto"/>
                  </w:tcBorders>
                  <w:shd w:val="clear" w:color="auto" w:fill="CCCCFF"/>
                </w:tcPr>
                <w:p w14:paraId="0B2F3F87" w14:textId="77777777">
                  <w:pPr>
                    <w:pStyle w:val="Tabletext"/>
                    <w:keepNext/>
                    <w:keepLines/>
                    <w:ind w:firstLine="0"/>
                  </w:pPr>
                </w:p>
              </w:tc>
              <w:tc>
                <w:tcPr>
                  <w:tcW w:w="1701" w:type="dxa"/>
                  <w:tcBorders>
                    <w:top w:val="dashed" w:sz="4" w:space="0" w:color="auto"/>
                    <w:left w:val="dashed" w:sz="4" w:space="0" w:color="auto"/>
                    <w:bottom w:val="single" w:sz="4" w:space="0" w:color="auto"/>
                    <w:right w:val="dashed" w:sz="4" w:space="0" w:color="auto"/>
                  </w:tcBorders>
                  <w:shd w:val="clear" w:color="auto" w:fill="00B0F0"/>
                </w:tcPr>
                <w:p w14:paraId="2EA4C588" w14:textId="77777777">
                  <w:pPr>
                    <w:pStyle w:val="Tabletext"/>
                    <w:keepNext/>
                    <w:keepLines/>
                    <w:ind w:firstLine="0"/>
                  </w:pPr>
                  <w:r>
                    <w:t>&lt;line 6&gt; “contains”</w:t>
                  </w:r>
                </w:p>
              </w:tc>
              <w:tc>
                <w:tcPr>
                  <w:tcW w:w="1701" w:type="dxa"/>
                  <w:tcBorders>
                    <w:top w:val="dashed" w:sz="4" w:space="0" w:color="auto"/>
                    <w:left w:val="dashed" w:sz="4" w:space="0" w:color="auto"/>
                    <w:bottom w:val="single" w:sz="4" w:space="0" w:color="auto"/>
                    <w:right w:val="dashed" w:sz="4" w:space="0" w:color="auto"/>
                  </w:tcBorders>
                  <w:shd w:val="clear" w:color="auto" w:fill="CCFFFF"/>
                </w:tcPr>
                <w:p w14:paraId="023AC1AF" w14:textId="77777777">
                  <w:pPr>
                    <w:pStyle w:val="Tabletext"/>
                    <w:keepNext/>
                    <w:keepLines/>
                    <w:ind w:firstLine="0"/>
                  </w:pPr>
                  <w:r>
                    <w:t>&lt;cell C&gt; “contains”</w:t>
                  </w:r>
                </w:p>
              </w:tc>
              <w:tc>
                <w:tcPr>
                  <w:tcW w:w="1134" w:type="dxa"/>
                  <w:tcBorders>
                    <w:top w:val="dashed" w:sz="4" w:space="0" w:color="auto"/>
                    <w:left w:val="dashed" w:sz="4" w:space="0" w:color="auto"/>
                    <w:bottom w:val="single" w:sz="4" w:space="0" w:color="auto"/>
                    <w:right w:val="dashed" w:sz="4" w:space="0" w:color="auto"/>
                  </w:tcBorders>
                  <w:shd w:val="clear" w:color="auto" w:fill="FFFF00"/>
                </w:tcPr>
                <w:p w14:paraId="232510CC" w14:textId="77777777">
                  <w:pPr>
                    <w:pStyle w:val="Tabletext"/>
                    <w:keepNext/>
                    <w:keepLines/>
                    <w:ind w:firstLine="0"/>
                    <w:jc w:val="center"/>
                    <w:rPr>
                      <w:i/>
                      <w:iCs/>
                    </w:rPr>
                  </w:pPr>
                  <w:r>
                    <w:rPr>
                      <w:i/>
                      <w:iCs/>
                    </w:rPr>
                    <w:t>…text w…</w:t>
                  </w:r>
                </w:p>
              </w:tc>
              <w:tc>
                <w:tcPr>
                  <w:tcW w:w="1701" w:type="dxa"/>
                  <w:tcBorders>
                    <w:top w:val="dashed" w:sz="4" w:space="0" w:color="auto"/>
                    <w:left w:val="dashed" w:sz="4" w:space="0" w:color="auto"/>
                    <w:bottom w:val="single" w:sz="4" w:space="0" w:color="auto"/>
                    <w:right w:val="dashed" w:sz="4" w:space="0" w:color="auto"/>
                  </w:tcBorders>
                  <w:shd w:val="clear" w:color="auto" w:fill="CCFFFF"/>
                </w:tcPr>
                <w:p w14:paraId="60021AC2" w14:textId="77777777">
                  <w:pPr>
                    <w:pStyle w:val="Tabletext"/>
                    <w:keepNext/>
                    <w:keepLines/>
                    <w:ind w:firstLine="0"/>
                  </w:pPr>
                  <w:r>
                    <w:t>&lt;cell D&gt; “contains”</w:t>
                  </w:r>
                </w:p>
              </w:tc>
              <w:tc>
                <w:tcPr>
                  <w:tcW w:w="1134" w:type="dxa"/>
                  <w:tcBorders>
                    <w:top w:val="dashed" w:sz="4" w:space="0" w:color="auto"/>
                    <w:left w:val="dashed" w:sz="4" w:space="0" w:color="auto"/>
                    <w:bottom w:val="single" w:sz="4" w:space="0" w:color="auto"/>
                    <w:right w:val="single" w:sz="4" w:space="0" w:color="auto"/>
                  </w:tcBorders>
                  <w:shd w:val="clear" w:color="auto" w:fill="FFFF00"/>
                </w:tcPr>
                <w:p w14:paraId="4BC95B3E" w14:textId="77777777">
                  <w:pPr>
                    <w:pStyle w:val="Tabletext"/>
                    <w:keepNext/>
                    <w:keepLines/>
                    <w:ind w:firstLine="0"/>
                    <w:jc w:val="center"/>
                    <w:rPr>
                      <w:i/>
                      <w:iCs/>
                    </w:rPr>
                  </w:pPr>
                  <w:r>
                    <w:rPr>
                      <w:i/>
                      <w:iCs/>
                    </w:rPr>
                    <w:t>…text x…</w:t>
                  </w:r>
                </w:p>
              </w:tc>
              <w:tc>
                <w:tcPr>
                  <w:tcW w:w="284" w:type="dxa"/>
                  <w:vMerge/>
                  <w:tcBorders>
                    <w:left w:val="single" w:sz="4" w:space="0" w:color="auto"/>
                    <w:bottom w:val="nil"/>
                    <w:right w:val="double" w:sz="4" w:space="0" w:color="auto"/>
                  </w:tcBorders>
                  <w:shd w:val="clear" w:color="auto" w:fill="CCFFCC"/>
                </w:tcPr>
                <w:p w14:paraId="06BE4067"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4BB971F4" w14:textId="77777777">
                  <w:pPr>
                    <w:pStyle w:val="Tabletext"/>
                    <w:keepNext/>
                    <w:keepLines/>
                    <w:ind w:firstLine="0"/>
                  </w:pPr>
                </w:p>
              </w:tc>
            </w:tr>
            <w:tr w14:paraId="51901726" w14:textId="77777777">
              <w:trPr>
                <w:trHeight w:hRule="exact" w:val="284"/>
                <w:jc w:val="center"/>
              </w:trPr>
              <w:tc>
                <w:tcPr>
                  <w:tcW w:w="284" w:type="dxa"/>
                  <w:vMerge/>
                  <w:tcBorders>
                    <w:left w:val="double" w:sz="12" w:space="0" w:color="auto"/>
                    <w:bottom w:val="nil"/>
                    <w:right w:val="double" w:sz="4" w:space="0" w:color="auto"/>
                  </w:tcBorders>
                  <w:shd w:val="clear" w:color="auto" w:fill="92D050"/>
                </w:tcPr>
                <w:p w14:paraId="7F8A67B2" w14:textId="77777777">
                  <w:pPr>
                    <w:pStyle w:val="Tabletext"/>
                    <w:keepNext/>
                    <w:keepLines/>
                    <w:ind w:firstLine="0"/>
                  </w:pPr>
                </w:p>
              </w:tc>
              <w:tc>
                <w:tcPr>
                  <w:tcW w:w="8223" w:type="dxa"/>
                  <w:gridSpan w:val="8"/>
                  <w:tcBorders>
                    <w:top w:val="nil"/>
                    <w:left w:val="double" w:sz="4" w:space="0" w:color="auto"/>
                    <w:bottom w:val="double" w:sz="4" w:space="0" w:color="auto"/>
                    <w:right w:val="double" w:sz="4" w:space="0" w:color="auto"/>
                  </w:tcBorders>
                  <w:shd w:val="clear" w:color="auto" w:fill="CCFFCC"/>
                </w:tcPr>
                <w:p w14:paraId="7BB90AD3"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04E147E7" w14:textId="77777777">
                  <w:pPr>
                    <w:pStyle w:val="Tabletext"/>
                    <w:keepNext/>
                    <w:keepLines/>
                    <w:ind w:firstLine="0"/>
                  </w:pPr>
                </w:p>
              </w:tc>
            </w:tr>
            <w:tr w14:paraId="460B74D4" w14:textId="77777777">
              <w:trPr>
                <w:trHeight w:hRule="exact" w:val="284"/>
                <w:jc w:val="center"/>
              </w:trPr>
              <w:tc>
                <w:tcPr>
                  <w:tcW w:w="8791" w:type="dxa"/>
                  <w:gridSpan w:val="10"/>
                  <w:tcBorders>
                    <w:left w:val="double" w:sz="12" w:space="0" w:color="auto"/>
                    <w:bottom w:val="double" w:sz="12" w:space="0" w:color="auto"/>
                    <w:right w:val="double" w:sz="12" w:space="0" w:color="auto"/>
                  </w:tcBorders>
                  <w:shd w:val="clear" w:color="auto" w:fill="92D050"/>
                </w:tcPr>
                <w:p w14:paraId="1FD4E96B" w14:textId="77777777">
                  <w:pPr>
                    <w:pStyle w:val="Tabletext"/>
                    <w:keepNext/>
                    <w:keepLines/>
                    <w:ind w:firstLine="0"/>
                  </w:pPr>
                </w:p>
              </w:tc>
            </w:tr>
          </w:tbl>
          <w:p w14:paraId="408DC361" w14:textId="77777777"/>
        </w:tc>
      </w:tr>
    </w:tbl>
    <w:p w14:paraId="4EC4534C" w14:textId="1DFD20FE">
      <w:r>
        <w:t>As already discussed in §</w:t>
      </w:r>
      <w:r>
        <w:fldChar w:fldCharType="begin"/>
      </w:r>
      <w:r>
        <w:instrText xml:space="preserve"> REF _Ref225153755 \r \h </w:instrText>
      </w:r>
      <w:r>
        <w:fldChar w:fldCharType="separate"/>
      </w:r>
      <w:r>
        <w:t>3.1</w:t>
      </w:r>
      <w:r>
        <w:fldChar w:fldCharType="end"/>
      </w:r>
      <w:r>
        <w:t>, the edition division (§</w:t>
      </w:r>
      <w:r>
        <w:fldChar w:fldCharType="begin"/>
      </w:r>
      <w:r>
        <w:instrText xml:space="preserve"> REF _Ref224739111 \r \h </w:instrText>
      </w:r>
      <w:r>
        <w:fldChar w:fldCharType="separate"/>
      </w:r>
      <w:r>
        <w:t>2.3.3</w:t>
      </w:r>
      <w:r>
        <w:fldChar w:fldCharType="end"/>
      </w:r>
      <w:r>
        <w:t>) corresponds to the entirety of an inscription and thus contains the entire hierarchy of extrinsic structure as well as that of intrinsic structure. With respect to extrinsic structure, the edition division represents the inscribed campus. The edition may be subdivided into textparts, each comprising an integral whole and containing the entire text of a boxlike partition of the inscription. The edition and the boxlike partition are members of both the extrinsic and the intrinsic hierarchy, and are encoded as container elements. As a consequence, no XML element can begin inside one textpart division and end in the next.</w:t>
      </w:r>
    </w:p>
    <w:p w14:paraId="5CBC6413" w14:textId="77777777">
      <w:pPr>
        <w:pStyle w:val="Normlbehzs"/>
      </w:pPr>
      <w:r>
        <w:t>Within the edition – or, as the case may be, within any textpart division – the intrinsic and extrinsic hierarchies go their separate ways, with the extrinsic structure encoded as pointlike milestones. These represent virtual containers,</w:t>
      </w:r>
      <w:r>
        <w:rPr>
          <w:rStyle w:val="Lbjegyzet-hivatkozs"/>
        </w:rPr>
        <w:footnoteReference w:id="13"/>
      </w:r>
      <w:r>
        <w:t xml:space="preserve"> so that a partition may be said to “contain” everything that is located in the XML document from the point where the given partition begins to the point where another partition of the same hierarchical level begins, or a transition to a higher-level partition occurs, or a division (a textpart or the edition) ends. In the Exhibit, solid borders and colour-filled complete frames indicate actual containment by an XML element, while dashed borders without complete frames indicate virtual containment. An edition or textpart division must always contain one or more lines (blue). Within the edition or textpart division, groups of lines may be “contained” within pagelike partitions (lavender), and some or all lines may “contain” two or more gridlike partitions (aqua). </w:t>
      </w:r>
    </w:p>
    <w:p w14:paraId="42580219" w14:textId="77777777">
      <w:pPr>
        <w:pStyle w:val="Normlbehzs"/>
      </w:pPr>
      <w:r>
        <w:t xml:space="preserve">The extrinsic structure of some inscriptions can be highly complex. Were we to attempt to accurately reflect all details of structural complexity in encoding, the possible combinations of various overlapping hierarchies would soon proliferate beyond a reasonable point. On the one hand, it would be all but impossible to draw up, and then correctly observe, guidelines for all possibilities; on the other hand, doing so would serve no practical purpose while processing the digital edition by computer. Then again, many inscriptions have no partitions at all (consisting only of lines in a single zone), and the only common type of inscription </w:t>
      </w:r>
      <w:r>
        <w:lastRenderedPageBreak/>
        <w:t>that involves more than one kind of partition is the copperplate charter. Copperplate charters typically consist of a seal and a body, which are boxlike partitions, and their body in turn consists of pages (pagelike partitions), while there are no further partitions in the seal.</w:t>
      </w:r>
    </w:p>
    <w:p w14:paraId="455540B7" w14:textId="6777F454">
      <w:pPr>
        <w:pStyle w:val="Normlbehzs"/>
      </w:pPr>
      <w:r>
        <w:t>In DHARMA encoding practice, we make a point of keeping encoding complexity within reasonable limits. The use of textpart divisions in an edition is therefore limited to specific kinds of cases where this is deemed to be warranted (§</w:t>
      </w:r>
      <w:r>
        <w:fldChar w:fldCharType="begin"/>
      </w:r>
      <w:r>
        <w:instrText xml:space="preserve"> REF _Ref225759775 \r \h </w:instrText>
      </w:r>
      <w:r>
        <w:fldChar w:fldCharType="separate"/>
      </w:r>
      <w:r>
        <w:t>4.7.3</w:t>
      </w:r>
      <w:r>
        <w:fldChar w:fldCharType="end"/>
      </w:r>
      <w:r>
        <w:t>). A single division (the edition or a textpart) is permitted to contain only one kind of pagelike partition. When gridlike partitions are present, their encoding is recommended only when expedient (for instance to enable referring to specific “cells” of the grid). If necessary, more than one kind of gridlike partition may be used within a single division, but doing so is generally counter-recommended. In §</w:t>
      </w:r>
      <w:r>
        <w:fldChar w:fldCharType="begin"/>
      </w:r>
      <w:r>
        <w:instrText xml:space="preserve"> REF _Ref225242905 \r \h </w:instrText>
      </w:r>
      <w:r>
        <w:fldChar w:fldCharType="separate"/>
      </w:r>
      <w:r>
        <w:t>4.7</w:t>
      </w:r>
      <w:r>
        <w:fldChar w:fldCharType="end"/>
      </w:r>
      <w:r>
        <w:t xml:space="preserve"> we provide guidance for situations in which various kinds of encoded partitions are applicable, as well as for cases which are best encoded without the usual milestone elements for extrinsic structure (§</w:t>
      </w:r>
      <w:r>
        <w:fldChar w:fldCharType="begin"/>
      </w:r>
      <w:r>
        <w:instrText xml:space="preserve"> REF _Ref225779703 \r \h </w:instrText>
      </w:r>
      <w:r>
        <w:fldChar w:fldCharType="separate"/>
      </w:r>
      <w:r>
        <w:t>4.7.1</w:t>
      </w:r>
      <w:r>
        <w:fldChar w:fldCharType="end"/>
      </w:r>
      <w:r>
        <w:t>), including the encoding of forme work (i.e. pagination and foliation numbers, §</w:t>
      </w:r>
      <w:r>
        <w:fldChar w:fldCharType="begin"/>
      </w:r>
      <w:r>
        <w:instrText xml:space="preserve"> REF _Ref43984607 \r \h </w:instrText>
      </w:r>
      <w:r>
        <w:fldChar w:fldCharType="separate"/>
      </w:r>
      <w:r>
        <w:t>4.7.2</w:t>
      </w:r>
      <w:r>
        <w:fldChar w:fldCharType="end"/>
      </w:r>
      <w:r>
        <w:t xml:space="preserve">). Some complete encoding examples are provided in the Case Studies of </w:t>
      </w:r>
      <w:r>
        <w:fldChar w:fldCharType="begin"/>
      </w:r>
      <w:r>
        <w:instrText xml:space="preserve"> REF _Ref43985466 \w \h  \* MERGEFORMAT </w:instrText>
      </w:r>
      <w:r>
        <w:fldChar w:fldCharType="separate"/>
      </w:r>
      <w:r>
        <w:t>Appendix A</w:t>
      </w:r>
      <w:r>
        <w:fldChar w:fldCharType="end"/>
      </w:r>
      <w:r>
        <w:t>. As a general guideline, also keep in mind that whenever the encoded structure does not provide an accurate fit for the original structure, human-readable annotation can always be added.</w:t>
      </w:r>
    </w:p>
    <w:p w14:paraId="72A078D4" w14:textId="77777777">
      <w:pPr>
        <w:pStyle w:val="Cmsor3"/>
      </w:pPr>
      <w:bookmarkStart w:id="169" w:name="_Ref225331491"/>
      <w:bookmarkStart w:id="170" w:name="_Ref225321890"/>
      <w:bookmarkStart w:id="171" w:name="_Toc243922613"/>
      <w:r>
        <w:t>Numeration for reference</w:t>
      </w:r>
      <w:bookmarkEnd w:id="169"/>
      <w:bookmarkEnd w:id="171"/>
    </w:p>
    <w:p w14:paraId="114860BE" w14:textId="36CBEC55">
      <w:r>
        <w:rPr>
          <w:lang w:eastAsia="en-US" w:bidi="ar-SA"/>
        </w:rPr>
        <w:t xml:space="preserve">All TEI elements can be supplemented with arbitrary numeration using the attribute </w:t>
      </w:r>
      <w:r>
        <w:rPr>
          <w:rStyle w:val="Codeattribute"/>
        </w:rPr>
        <w:t>@n</w:t>
      </w:r>
      <w:r>
        <w:rPr>
          <w:lang w:eastAsia="en-US" w:bidi="ar-SA"/>
        </w:rPr>
        <w:t xml:space="preserve">, primarily to be used as reference by human end users. Another </w:t>
      </w:r>
      <w:r>
        <w:t xml:space="preserve">attribute, </w:t>
      </w:r>
      <w:r>
        <w:rPr>
          <w:rStyle w:val="Codeattribute"/>
        </w:rPr>
        <w:t>@xml:id</w:t>
      </w:r>
      <w:r>
        <w:t xml:space="preserve"> </w:t>
      </w:r>
      <w:r>
        <w:rPr>
          <w:noProof/>
        </w:rPr>
        <w:t>(</w:t>
      </w:r>
      <w:r>
        <w:t>§</w:t>
      </w:r>
      <w:r>
        <w:fldChar w:fldCharType="begin"/>
      </w:r>
      <w:r>
        <w:instrText xml:space="preserve"> REF _Ref43988993 \w \h  \* MERGEFORMAT </w:instrText>
      </w:r>
      <w:r>
        <w:fldChar w:fldCharType="separate"/>
      </w:r>
      <w:r>
        <w:t>14.6.6</w:t>
      </w:r>
      <w:r>
        <w:fldChar w:fldCharType="end"/>
      </w:r>
      <w:r>
        <w:t xml:space="preserve">), is employed for the rigorous, machine-readable referencing of elements. For the purpose of referring to units of extrinsic structure, </w:t>
      </w:r>
      <w:r>
        <w:rPr>
          <w:lang w:eastAsia="en-US" w:bidi="ar-SA"/>
        </w:rPr>
        <w:t xml:space="preserve">DHARMA editions use numeration involving </w:t>
      </w:r>
      <w:r>
        <w:rPr>
          <w:rStyle w:val="Codeattribute"/>
        </w:rPr>
        <w:t>@n</w:t>
      </w:r>
      <w:r>
        <w:t xml:space="preserve"> </w:t>
      </w:r>
      <w:r>
        <w:rPr>
          <w:lang w:eastAsia="en-US" w:bidi="ar-SA"/>
        </w:rPr>
        <w:t xml:space="preserve">on all milestone elements (as well as for textpart divisions). </w:t>
      </w:r>
      <w:r>
        <w:t>According to usual conventions, our editions’ stanzas and their lines can be referred to by the number of their container (§</w:t>
      </w:r>
      <w:r>
        <w:fldChar w:fldCharType="begin"/>
      </w:r>
      <w:r>
        <w:instrText xml:space="preserve"> REF _Ref225331879 \r \h </w:instrText>
      </w:r>
      <w:r>
        <w:fldChar w:fldCharType="separate"/>
      </w:r>
      <w:r>
        <w:t>3.1.1</w:t>
      </w:r>
      <w:r>
        <w:fldChar w:fldCharType="end"/>
      </w:r>
      <w:r>
        <w:t xml:space="preserve">), but our primary means of reference to the text of documentary editions is by line number. The projectwide conventions introduced in the applicable subsections for numbering elements with </w:t>
      </w:r>
      <w:r>
        <w:rPr>
          <w:rStyle w:val="Codeattribute"/>
        </w:rPr>
        <w:t>@n</w:t>
      </w:r>
      <w:r>
        <w:t xml:space="preserve"> not only ensure consistency in our editions, but also facilitate human-readable reference and in fact actually afford a degree of machine-interpretable referencing. This is possible so long as element numbers are unique within any given level of the hierarchy, so that any structural compartment can be unambiguously identified by a combination of the numbers of the elements representing its place in the structure. For instance, in </w:t>
      </w:r>
      <w:r>
        <w:fldChar w:fldCharType="begin"/>
      </w:r>
      <w:r>
        <w:instrText xml:space="preserve"> REF _Ref224829834 \h </w:instrText>
      </w:r>
      <w:r>
        <w:fldChar w:fldCharType="separate"/>
      </w:r>
      <w:r>
        <w:t xml:space="preserve">Exhibit </w:t>
      </w:r>
      <w:r>
        <w:rPr>
          <w:noProof/>
        </w:rPr>
        <w:t>4.1</w:t>
      </w:r>
      <w:r>
        <w:t>.</w:t>
      </w:r>
      <w:r>
        <w:rPr>
          <w:noProof/>
        </w:rPr>
        <w:t>B</w:t>
      </w:r>
      <w:r>
        <w:fldChar w:fldCharType="end"/>
      </w:r>
      <w:r>
        <w:t xml:space="preserve"> above, “text o” can be referred to by pointing to textpart B, page 1, line 2, cell A.</w:t>
      </w:r>
    </w:p>
    <w:p w14:paraId="20B41917" w14:textId="77777777">
      <w:pPr>
        <w:pStyle w:val="Cmsor2"/>
      </w:pPr>
      <w:bookmarkStart w:id="172" w:name="_Ref225778181"/>
      <w:bookmarkStart w:id="173" w:name="_Toc243922614"/>
      <w:bookmarkEnd w:id="164"/>
      <w:bookmarkEnd w:id="170"/>
      <w:r>
        <w:t>Boxlike partitions</w:t>
      </w:r>
      <w:bookmarkEnd w:id="172"/>
      <w:bookmarkEnd w:id="173"/>
    </w:p>
    <w:p w14:paraId="38334672" w14:textId="67E82551">
      <w:bookmarkStart w:id="174" w:name="_7afiixd3hprc" w:colFirst="0" w:colLast="0"/>
      <w:bookmarkEnd w:id="174"/>
      <w:r>
        <w:t>Recall from §</w:t>
      </w:r>
      <w:r>
        <w:fldChar w:fldCharType="begin"/>
      </w:r>
      <w:r>
        <w:instrText xml:space="preserve"> REF _Ref182923075 \r \h </w:instrText>
      </w:r>
      <w:r>
        <w:fldChar w:fldCharType="separate"/>
      </w:r>
      <w:r>
        <w:t>4.1</w:t>
      </w:r>
      <w:r>
        <w:fldChar w:fldCharType="end"/>
      </w:r>
      <w:r>
        <w:t xml:space="preserve"> that a boxlike partition is what happens when a discrete zone of the text is also semantically distinct from the rest as in </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/1, amounting to a major subunit of a text’s extrinsic as well as intrinsic hierarchy. Intrinsically, it usually contains a number of basic prose and/or verse containers. Extrinsically, it may or may not be divided into lower-level structural parts. The semantic discontinuity between two textparts is somewhat analogous to the chapters of a book. To understand clearly how textpart divisions differ from and relate to other divisions of intrinsic and extrinsic structure, carefully read §</w:t>
      </w:r>
      <w:r>
        <w:fldChar w:fldCharType="begin"/>
      </w:r>
      <w:r>
        <w:instrText xml:space="preserve"> REF _Ref225153755 \r \h </w:instrText>
      </w:r>
      <w:r>
        <w:fldChar w:fldCharType="separate"/>
      </w:r>
      <w:r>
        <w:t>3.1</w:t>
      </w:r>
      <w:r>
        <w:fldChar w:fldCharType="end"/>
      </w:r>
      <w:r>
        <w:t xml:space="preserve"> and §</w:t>
      </w:r>
      <w:r>
        <w:fldChar w:fldCharType="begin"/>
      </w:r>
      <w:r>
        <w:instrText xml:space="preserve"> REF _Ref182923075 \r \h </w:instrText>
      </w:r>
      <w:r>
        <w:fldChar w:fldCharType="separate"/>
      </w:r>
      <w:r>
        <w:t>4.1</w:t>
      </w:r>
      <w:r>
        <w:fldChar w:fldCharType="end"/>
      </w:r>
      <w:r>
        <w:t xml:space="preserve">. </w:t>
      </w:r>
    </w:p>
    <w:p w14:paraId="22225B02" w14:textId="59A7093D">
      <w:pPr>
        <w:pStyle w:val="Normlbehzs"/>
      </w:pPr>
      <w:r>
        <w:t>Boxlike partitions are encoded with a container element, the textpart division, as described in §</w:t>
      </w:r>
      <w:r>
        <w:fldChar w:fldCharType="begin"/>
      </w:r>
      <w:r>
        <w:instrText xml:space="preserve"> REF _Ref225342022 \r \h </w:instrText>
      </w:r>
      <w:r>
        <w:fldChar w:fldCharType="separate"/>
      </w:r>
      <w:r>
        <w:t>4.2.1</w:t>
      </w:r>
      <w:r>
        <w:fldChar w:fldCharType="end"/>
      </w:r>
      <w:r>
        <w:t>. Such a division is hierarchically subordinate to the edition division and superordinate to the basic containers for intrinsic structure. In essence, textpart divisions are complete editions except that they are gathered together in a single XML document and thus have a shared header, commentary and bibliography. Accordingly, the numbering of other elements within one textpart is independent of the numbering of similar elements in another textpart (§</w:t>
      </w:r>
      <w:r>
        <w:fldChar w:fldCharType="begin"/>
      </w:r>
      <w:r>
        <w:instrText xml:space="preserve"> REF _Ref43986747 \r \h </w:instrText>
      </w:r>
      <w:r>
        <w:fldChar w:fldCharType="separate"/>
      </w:r>
      <w:r>
        <w:t>4.2.1.4</w:t>
      </w:r>
      <w:r>
        <w:fldChar w:fldCharType="end"/>
      </w:r>
      <w:r>
        <w:t>). Conversely, the critical apparatus (§</w:t>
      </w:r>
      <w:r>
        <w:fldChar w:fldCharType="begin"/>
      </w:r>
      <w:r>
        <w:instrText xml:space="preserve"> REF _Ref43978773 \r \h </w:instrText>
      </w:r>
      <w:r>
        <w:fldChar w:fldCharType="separate"/>
      </w:r>
      <w:r>
        <w:t>10</w:t>
      </w:r>
      <w:r>
        <w:fldChar w:fldCharType="end"/>
      </w:r>
      <w:r>
        <w:t>) and translation (§</w:t>
      </w:r>
      <w:r>
        <w:fldChar w:fldCharType="begin"/>
      </w:r>
      <w:r>
        <w:instrText xml:space="preserve"> REF _Ref43978780 \r \h </w:instrText>
      </w:r>
      <w:r>
        <w:fldChar w:fldCharType="separate"/>
      </w:r>
      <w:r>
        <w:t>11</w:t>
      </w:r>
      <w:r>
        <w:fldChar w:fldCharType="end"/>
      </w:r>
      <w:r>
        <w:t>) included in a digital edition replicates the structure of the text itself, so if an edition contains textpart divisions, then corresponding textparts must also be created in the critical apparatus and the translation. In order to keep encoding complexity within limits, the use of textpart is limited in DHARMA practice to a small range of cases where this is deemed to be warranted (§</w:t>
      </w:r>
      <w:r>
        <w:fldChar w:fldCharType="begin"/>
      </w:r>
      <w:r>
        <w:instrText xml:space="preserve"> REF _Ref225759775 \r \h </w:instrText>
      </w:r>
      <w:r>
        <w:fldChar w:fldCharType="separate"/>
      </w:r>
      <w:r>
        <w:t>4.7.3</w:t>
      </w:r>
      <w:r>
        <w:fldChar w:fldCharType="end"/>
      </w:r>
      <w:r>
        <w:t>).</w:t>
      </w:r>
    </w:p>
    <w:p w14:paraId="1B0A1C2B" w14:textId="77777777">
      <w:pPr>
        <w:pStyle w:val="Cmsor3"/>
      </w:pPr>
      <w:bookmarkStart w:id="175" w:name="_Ref225342022"/>
      <w:bookmarkStart w:id="176" w:name="_Toc243922615"/>
      <w:r>
        <w:lastRenderedPageBreak/>
        <w:t>Encoding as textpart divisions</w:t>
      </w:r>
      <w:bookmarkEnd w:id="175"/>
      <w:bookmarkEnd w:id="176"/>
    </w:p>
    <w:tbl>
      <w:tblPr>
        <w:tblStyle w:val="CodeSampleTable"/>
        <w:tblpPr w:leftFromText="181" w:rightFromText="181" w:vertAnchor="text" w:horzAnchor="margin" w:tblpXSpec="right" w:tblpY="1"/>
        <w:tblOverlap w:val="never"/>
        <w:tblW w:w="4253" w:type="dxa"/>
        <w:tblLook w:val="04A0" w:firstRow="1" w:lastRow="0" w:firstColumn="1" w:lastColumn="0" w:noHBand="0" w:noVBand="1"/>
      </w:tblPr>
      <w:tblGrid>
        <w:gridCol w:w="4253"/>
      </w:tblGrid>
      <w:tr w14:paraId="5F556FC9"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DE75930" w14:textId="72E08EA5">
            <w:pPr>
              <w:pStyle w:val="Kpalrs"/>
            </w:pPr>
            <w:bookmarkStart w:id="177" w:name="_Ref225342504"/>
            <w:bookmarkStart w:id="178" w:name="_Ref225342497"/>
            <w:r>
              <w:t xml:space="preserve">Exhibit </w:t>
            </w:r>
            <w:fldSimple w:instr=" STYLEREF 2 \s ">
              <w:r>
                <w:rPr>
                  <w:noProof/>
                </w:rPr>
                <w:t>4.2</w:t>
              </w:r>
            </w:fldSimple>
            <w:r>
              <w:t>.</w:t>
            </w:r>
            <w:fldSimple w:instr=" SEQ Exhibit \* ALPHABETIC \s 2 ">
              <w:r>
                <w:rPr>
                  <w:noProof/>
                </w:rPr>
                <w:t>A</w:t>
              </w:r>
            </w:fldSimple>
            <w:bookmarkEnd w:id="177"/>
            <w:r>
              <w:t>: minimal encoding of textpart divisions</w:t>
            </w:r>
            <w:bookmarkEnd w:id="178"/>
          </w:p>
        </w:tc>
      </w:tr>
      <w:tr w14:paraId="3C3EFE5C" w14:textId="77777777">
        <w:tc>
          <w:tcPr>
            <w:tcW w:w="5000" w:type="pct"/>
          </w:tcPr>
          <w:p w14:paraId="6BAE5AD8" w14:textId="77777777">
            <w:pPr>
              <w:pStyle w:val="CodeParagraph"/>
              <w:keepNext/>
              <w:keepLines/>
              <w:rPr>
                <w:rStyle w:val="Code"/>
              </w:rPr>
            </w:pPr>
            <w:r>
              <w:rPr>
                <w:rStyle w:val="Code"/>
              </w:rPr>
              <w:t xml:space="preserve">&lt;div </w:t>
            </w:r>
            <w:r>
              <w:rPr>
                <w:rStyle w:val="Codeattribute"/>
              </w:rPr>
              <w:t>type</w:t>
            </w:r>
            <w:r>
              <w:rPr>
                <w:rStyle w:val="Code"/>
              </w:rPr>
              <w:t>=</w:t>
            </w:r>
            <w:r>
              <w:rPr>
                <w:rStyle w:val="Codevalue"/>
              </w:rPr>
              <w:t>"edition"</w:t>
            </w:r>
            <w:r>
              <w:rPr>
                <w:rStyle w:val="Code"/>
              </w:rPr>
              <w:t>&gt;</w:t>
            </w:r>
          </w:p>
          <w:p w14:paraId="1ADFEEBB" w14:textId="77777777">
            <w:pPr>
              <w:pStyle w:val="CodeParagraph"/>
              <w:keepNext/>
              <w:keepLines/>
              <w:rPr>
                <w:rStyle w:val="Codetext"/>
              </w:rPr>
            </w:pPr>
            <w:r>
              <w:rPr>
                <w:rStyle w:val="Code"/>
              </w:rPr>
              <w:t xml:space="preserve">  &lt;div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&gt;</w:t>
            </w:r>
            <w:r>
              <w:rPr>
                <w:rStyle w:val="Codetext"/>
              </w:rPr>
              <w:br/>
              <w:t xml:space="preserve">    ...</w:t>
            </w:r>
          </w:p>
          <w:p w14:paraId="1BD642E5" w14:textId="77777777">
            <w:pPr>
              <w:pStyle w:val="CodeParagraph"/>
              <w:keepNext/>
              <w:keepLines/>
              <w:rPr>
                <w:rStyle w:val="Code"/>
              </w:rPr>
            </w:pPr>
            <w:r>
              <w:rPr>
                <w:rStyle w:val="Code"/>
              </w:rPr>
              <w:t xml:space="preserve">  &lt;/div&gt;</w:t>
            </w:r>
          </w:p>
          <w:p w14:paraId="05D0FF32" w14:textId="77777777">
            <w:pPr>
              <w:pStyle w:val="CodeParagraph"/>
              <w:keepNext/>
              <w:keepLines/>
              <w:rPr>
                <w:rStyle w:val="Codetext"/>
              </w:rPr>
            </w:pPr>
            <w:r>
              <w:rPr>
                <w:rStyle w:val="Code"/>
              </w:rPr>
              <w:t xml:space="preserve">  &lt;div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"B"</w:t>
            </w:r>
            <w:r>
              <w:rPr>
                <w:rStyle w:val="Code"/>
              </w:rPr>
              <w:t>&gt;</w:t>
            </w:r>
            <w:r>
              <w:rPr>
                <w:rStyle w:val="Codetext"/>
              </w:rPr>
              <w:br/>
              <w:t xml:space="preserve">    ...</w:t>
            </w:r>
          </w:p>
          <w:p w14:paraId="3DDAD6E3" w14:textId="77777777">
            <w:pPr>
              <w:pStyle w:val="CodeParagraph"/>
              <w:rPr>
                <w:rStyle w:val="Code"/>
              </w:rPr>
            </w:pPr>
            <w:r>
              <w:rPr>
                <w:rStyle w:val="Code"/>
              </w:rPr>
              <w:t xml:space="preserve">  &lt;/div&gt;</w:t>
            </w:r>
          </w:p>
          <w:p w14:paraId="0F72A560" w14:textId="77777777">
            <w:pPr>
              <w:pStyle w:val="CodeParagraph"/>
            </w:pPr>
            <w:r>
              <w:rPr>
                <w:rStyle w:val="Code"/>
              </w:rPr>
              <w:t>&lt;/div&gt;</w:t>
            </w:r>
          </w:p>
        </w:tc>
      </w:tr>
    </w:tbl>
    <w:p w14:paraId="57B0E8E3" w14:textId="7505BCCA">
      <w:pPr>
        <w:pStyle w:val="Lista"/>
      </w:pPr>
      <w:r>
        <w:t xml:space="preserve">each boxlike unit must be wrapped in the element </w:t>
      </w:r>
      <w:r>
        <w:rPr>
          <w:rStyle w:val="Code"/>
        </w:rPr>
        <w:t>&lt;div&gt;</w:t>
      </w:r>
      <w:r>
        <w:t xml:space="preserve"> as in </w:t>
      </w:r>
      <w:r>
        <w:fldChar w:fldCharType="begin"/>
      </w:r>
      <w:r>
        <w:instrText xml:space="preserve"> REF _Ref225342504 \h </w:instrText>
      </w:r>
      <w:r>
        <w:fldChar w:fldCharType="separate"/>
      </w:r>
      <w:r>
        <w:t xml:space="preserve">Exhibit </w:t>
      </w:r>
      <w:r>
        <w:rPr>
          <w:noProof/>
        </w:rPr>
        <w:t>4.2</w:t>
      </w:r>
      <w:r>
        <w:t>.</w:t>
      </w:r>
      <w:r>
        <w:rPr>
          <w:noProof/>
        </w:rPr>
        <w:t>A</w:t>
      </w:r>
      <w:r>
        <w:fldChar w:fldCharType="end"/>
      </w:r>
      <w:r>
        <w:t>, with the following attributes</w:t>
      </w:r>
    </w:p>
    <w:p w14:paraId="38E321A9" w14:textId="77777777">
      <w:pPr>
        <w:pStyle w:val="Lista2"/>
      </w:pPr>
      <w:r>
        <w:t xml:space="preserve">mandatorily, </w:t>
      </w:r>
      <w:r>
        <w:rPr>
          <w:rStyle w:val="Codeattribute"/>
        </w:rPr>
        <w:t>@type</w:t>
      </w:r>
      <w:r>
        <w:rPr>
          <w:rStyle w:val="Code"/>
        </w:rPr>
        <w:t>=</w:t>
      </w:r>
      <w:r>
        <w:rPr>
          <w:rStyle w:val="Codevalue"/>
        </w:rPr>
        <w:t>"textpart"</w:t>
      </w:r>
    </w:p>
    <w:p w14:paraId="7C8F1806" w14:textId="450D3458">
      <w:pPr>
        <w:pStyle w:val="Lista2"/>
      </w:pPr>
      <w:r>
        <w:t xml:space="preserve">mandatorily, </w:t>
      </w:r>
      <w:r>
        <w:rPr>
          <w:rStyle w:val="Codeattribute"/>
        </w:rPr>
        <w:t>@n</w:t>
      </w:r>
      <w:r>
        <w:t xml:space="preserve"> as per §</w:t>
      </w:r>
      <w:r>
        <w:fldChar w:fldCharType="begin"/>
      </w:r>
      <w:r>
        <w:instrText xml:space="preserve"> REF _Ref182236772 \r \h </w:instrText>
      </w:r>
      <w:r>
        <w:fldChar w:fldCharType="separate"/>
      </w:r>
      <w:r>
        <w:t>4.2.1.1</w:t>
      </w:r>
      <w:r>
        <w:fldChar w:fldCharType="end"/>
      </w:r>
    </w:p>
    <w:p w14:paraId="189990E6" w14:textId="12997CCF">
      <w:pPr>
        <w:pStyle w:val="Lista2"/>
      </w:pPr>
      <w:r>
        <w:t xml:space="preserve">optionally, </w:t>
      </w:r>
      <w:r>
        <w:rPr>
          <w:rStyle w:val="Codeattribute"/>
        </w:rPr>
        <w:t>@subtype</w:t>
      </w:r>
      <w:r>
        <w:t xml:space="preserve"> as per §</w:t>
      </w:r>
      <w:r>
        <w:fldChar w:fldCharType="begin"/>
      </w:r>
      <w:r>
        <w:instrText xml:space="preserve"> REF _Ref182236825 \r \h </w:instrText>
      </w:r>
      <w:r>
        <w:fldChar w:fldCharType="separate"/>
      </w:r>
      <w:r>
        <w:t>4.2.1.2</w:t>
      </w:r>
      <w:r>
        <w:fldChar w:fldCharType="end"/>
      </w:r>
    </w:p>
    <w:p w14:paraId="56587EA0" w14:textId="77777777">
      <w:pPr>
        <w:pStyle w:val="Lista"/>
      </w:pPr>
      <w:r>
        <w:t>the encoding represents only the existence and demarcation of a textpart but says nothing about its physical aspects such as size or position on the support</w:t>
      </w:r>
    </w:p>
    <w:p w14:paraId="1BFEAD5F" w14:textId="77777777">
      <w:pPr>
        <w:pStyle w:val="Lista2"/>
      </w:pPr>
      <w:r>
        <w:t>the latter information shall be described for human readers in the annotation</w:t>
      </w:r>
    </w:p>
    <w:p w14:paraId="144DE8E9" w14:textId="64DA445D">
      <w:pPr>
        <w:pStyle w:val="Lista2"/>
      </w:pPr>
      <w:r>
        <w:t>the use cases in §</w:t>
      </w:r>
      <w:r>
        <w:fldChar w:fldCharType="begin"/>
      </w:r>
      <w:r>
        <w:instrText xml:space="preserve"> REF _Ref225759775 \r \h </w:instrText>
      </w:r>
      <w:r>
        <w:fldChar w:fldCharType="separate"/>
      </w:r>
      <w:r>
        <w:t>4.7.3</w:t>
      </w:r>
      <w:r>
        <w:fldChar w:fldCharType="end"/>
      </w:r>
      <w:r>
        <w:t xml:space="preserve"> give some illustrations of various topological arrangements and additional encoding examples</w:t>
      </w:r>
    </w:p>
    <w:p w14:paraId="0BECEC7E" w14:textId="77777777">
      <w:pPr>
        <w:pStyle w:val="Lista"/>
      </w:pPr>
      <w:r>
        <w:t xml:space="preserve">if your </w:t>
      </w:r>
      <w:r>
        <w:rPr>
          <w:rStyle w:val="Code"/>
        </w:rPr>
        <w:t xml:space="preserve">&lt;div </w:t>
      </w:r>
      <w:r>
        <w:rPr>
          <w:rStyle w:val="Codeattribute"/>
        </w:rPr>
        <w:t>type</w:t>
      </w:r>
      <w:r>
        <w:rPr>
          <w:rStyle w:val="Code"/>
        </w:rPr>
        <w:t>=</w:t>
      </w:r>
      <w:r>
        <w:rPr>
          <w:rStyle w:val="Codevalue"/>
        </w:rPr>
        <w:t>"edition"</w:t>
      </w:r>
      <w:r>
        <w:rPr>
          <w:rStyle w:val="Code"/>
        </w:rPr>
        <w:t>&gt;</w:t>
      </w:r>
      <w:r>
        <w:t xml:space="preserve"> includes a </w:t>
      </w:r>
      <w:r>
        <w:rPr>
          <w:rStyle w:val="Code"/>
        </w:rPr>
        <w:t xml:space="preserve">&lt;div </w:t>
      </w:r>
      <w:r>
        <w:rPr>
          <w:rStyle w:val="Codeattribute"/>
        </w:rPr>
        <w:t>type</w:t>
      </w:r>
      <w:r>
        <w:rPr>
          <w:rStyle w:val="Code"/>
        </w:rPr>
        <w:t>=</w:t>
      </w:r>
      <w:r>
        <w:rPr>
          <w:rStyle w:val="Codevalue"/>
        </w:rPr>
        <w:t>"textpart"</w:t>
      </w:r>
      <w:r>
        <w:rPr>
          <w:rStyle w:val="Code"/>
        </w:rPr>
        <w:t>&gt;</w:t>
      </w:r>
      <w:r>
        <w:t>, then the textpart divisions must tessellate, meaning that everything within the edition must be also within one textpart or another</w:t>
      </w:r>
    </w:p>
    <w:p w14:paraId="1B3959F2" w14:textId="77777777">
      <w:pPr>
        <w:pStyle w:val="Lista"/>
      </w:pPr>
      <w:r>
        <w:t>textparts shall be arranged in the order you deem to be the logical reading order of the text as a whole, or its best approximation</w:t>
      </w:r>
    </w:p>
    <w:p w14:paraId="023C46ED" w14:textId="77777777">
      <w:pPr>
        <w:pStyle w:val="Cmsor4"/>
      </w:pPr>
      <w:bookmarkStart w:id="179" w:name="_82q10pa3ovwa" w:colFirst="0" w:colLast="0"/>
      <w:bookmarkStart w:id="180" w:name="_Ref182236772"/>
      <w:bookmarkStart w:id="181" w:name="_Ref182318135"/>
      <w:bookmarkEnd w:id="179"/>
      <w:r>
        <w:t>Textpart numbering</w:t>
      </w:r>
      <w:bookmarkEnd w:id="180"/>
      <w:bookmarkEnd w:id="181"/>
    </w:p>
    <w:p w14:paraId="5D799370" w14:textId="77777777">
      <w:pPr>
        <w:pStyle w:val="Lista"/>
      </w:pPr>
      <w:r>
        <w:t xml:space="preserve">every textpart division must carry the mandatory attribute </w:t>
      </w:r>
      <w:r>
        <w:rPr>
          <w:rStyle w:val="Codeattribute"/>
        </w:rPr>
        <w:t>@n</w:t>
      </w:r>
      <w:r>
        <w:t>, the value of which must be unique through the XML document</w:t>
      </w:r>
    </w:p>
    <w:p w14:paraId="1C1A2960" w14:textId="01F4FF00">
      <w:pPr>
        <w:pStyle w:val="Lista"/>
      </w:pPr>
      <w:r>
        <w:t xml:space="preserve">the value of </w:t>
      </w:r>
      <w:r>
        <w:rPr>
          <w:rStyle w:val="Codeattribute"/>
        </w:rPr>
        <w:t>@n</w:t>
      </w:r>
      <w:r>
        <w:t xml:space="preserve"> is utilised in display for automatically generated headings (§</w:t>
      </w:r>
      <w:r>
        <w:fldChar w:fldCharType="begin"/>
      </w:r>
      <w:r>
        <w:instrText xml:space="preserve"> REF _Ref225177909 \r \h </w:instrText>
      </w:r>
      <w:r>
        <w:fldChar w:fldCharType="separate"/>
      </w:r>
      <w:r>
        <w:t>4.2.1.3</w:t>
      </w:r>
      <w:r>
        <w:fldChar w:fldCharType="end"/>
      </w:r>
      <w:r>
        <w:t>)</w:t>
      </w:r>
    </w:p>
    <w:p w14:paraId="32B211C1" w14:textId="77777777">
      <w:pPr>
        <w:pStyle w:val="Lista"/>
      </w:pPr>
      <w:r>
        <w:t>uppercase Latin letters are generally recommended for numeration, but any scheme may be used depending on your preference and the conventions of your specific field, including</w:t>
      </w:r>
    </w:p>
    <w:p w14:paraId="745FF6B2" w14:textId="77777777">
      <w:pPr>
        <w:pStyle w:val="Lista2"/>
      </w:pPr>
      <w:r>
        <w:t>Arabic numbers</w:t>
      </w:r>
    </w:p>
    <w:p w14:paraId="208805D9" w14:textId="7DA80413">
      <w:pPr>
        <w:pStyle w:val="Lista2"/>
      </w:pPr>
      <w:r>
        <w:t>a combination of uppercase and lowercase Latin letters to represent major and minor faces of a three-dimensional object in the same way as for pagelike milestones (§</w:t>
      </w:r>
      <w:r>
        <w:fldChar w:fldCharType="begin"/>
      </w:r>
      <w:r>
        <w:instrText xml:space="preserve"> REF _Ref182318136 \r \h </w:instrText>
      </w:r>
      <w:r>
        <w:fldChar w:fldCharType="separate"/>
      </w:r>
      <w:r>
        <w:t>4.4.3.1</w:t>
      </w:r>
      <w:r>
        <w:fldChar w:fldCharType="end"/>
      </w:r>
      <w:r>
        <w:t>)</w:t>
      </w:r>
    </w:p>
    <w:p w14:paraId="1D5520FD" w14:textId="77777777">
      <w:pPr>
        <w:pStyle w:val="Cmsor4"/>
      </w:pPr>
      <w:bookmarkStart w:id="182" w:name="_Ref182236825"/>
      <w:r>
        <w:t>Textpart subtypes</w:t>
      </w:r>
      <w:bookmarkEnd w:id="182"/>
    </w:p>
    <w:p w14:paraId="65DF4481" w14:textId="77777777">
      <w:pPr>
        <w:pStyle w:val="Lista"/>
      </w:pPr>
      <w:r>
        <w:t xml:space="preserve">the optional attribute </w:t>
      </w:r>
      <w:r>
        <w:rPr>
          <w:rStyle w:val="Codeattribute"/>
        </w:rPr>
        <w:t>@subtype</w:t>
      </w:r>
      <w:r>
        <w:t xml:space="preserve"> may be used to encode the physical nature of textparts</w:t>
      </w:r>
    </w:p>
    <w:p w14:paraId="4153E45A" w14:textId="7A29F3A7">
      <w:pPr>
        <w:pStyle w:val="Lista2"/>
      </w:pPr>
      <w:r>
        <w:t>the use of this attribute is recommended as a simple means of indicating the nature of a partition that can also be displayed as a title (§</w:t>
      </w:r>
      <w:r>
        <w:fldChar w:fldCharType="begin"/>
      </w:r>
      <w:r>
        <w:instrText xml:space="preserve"> REF _Ref225177909 \r \h </w:instrText>
      </w:r>
      <w:r>
        <w:fldChar w:fldCharType="separate"/>
      </w:r>
      <w:r>
        <w:t>4.2.1.3</w:t>
      </w:r>
      <w:r>
        <w:fldChar w:fldCharType="end"/>
      </w:r>
      <w:r>
        <w:t>)</w:t>
      </w:r>
    </w:p>
    <w:p w14:paraId="4A6C2238" w14:textId="4C89DDB9">
      <w:pPr>
        <w:pStyle w:val="Lista"/>
      </w:pPr>
      <w:r>
        <w:t xml:space="preserve">the value of </w:t>
      </w:r>
      <w:r>
        <w:rPr>
          <w:rStyle w:val="Codeattribute"/>
        </w:rPr>
        <w:t>@subtype</w:t>
      </w:r>
      <w:r>
        <w:t xml:space="preserve"> is utilised in display for automatically generated headings (§</w:t>
      </w:r>
      <w:r>
        <w:fldChar w:fldCharType="begin"/>
      </w:r>
      <w:r>
        <w:instrText xml:space="preserve"> REF _Ref225177909 \r \h </w:instrText>
      </w:r>
      <w:r>
        <w:fldChar w:fldCharType="separate"/>
      </w:r>
      <w:r>
        <w:t>4.2.1.3</w:t>
      </w:r>
      <w:r>
        <w:fldChar w:fldCharType="end"/>
      </w:r>
      <w:r>
        <w:t>)</w:t>
      </w:r>
    </w:p>
    <w:p w14:paraId="316989CC" w14:textId="77777777">
      <w:pPr>
        <w:pStyle w:val="Lista"/>
      </w:pPr>
      <w:r>
        <w:t xml:space="preserve">the value of </w:t>
      </w:r>
      <w:r>
        <w:rPr>
          <w:rStyle w:val="Codeattribute"/>
        </w:rPr>
        <w:t>@subtype</w:t>
      </w:r>
      <w:r>
        <w:t xml:space="preserve"> shall normally indicate the physical nature of the corresponding partition of extrinsic structure, disregarding its visual appearance, topological position relative to other textparts, and semantic function in intrinsic structure</w:t>
      </w:r>
    </w:p>
    <w:p w14:paraId="38D82D94" w14:textId="4178B05E">
      <w:pPr>
        <w:pStyle w:val="Lista"/>
      </w:pPr>
      <w:r>
        <w:t xml:space="preserve">the permitted values of </w:t>
      </w:r>
      <w:r>
        <w:rPr>
          <w:rStyle w:val="Codeattribute"/>
        </w:rPr>
        <w:t>@subtype</w:t>
      </w:r>
      <w:r>
        <w:t xml:space="preserve"> are listed below, while specific instructions for when </w:t>
      </w:r>
      <w:r>
        <w:rPr>
          <w:rStyle w:val="Codeattribute"/>
        </w:rPr>
        <w:t>@subtype</w:t>
      </w:r>
      <w:r>
        <w:t xml:space="preserve"> should be used and with what values are found in the subsections of §</w:t>
      </w:r>
      <w:r>
        <w:fldChar w:fldCharType="begin"/>
      </w:r>
      <w:r>
        <w:instrText xml:space="preserve"> REF _Ref225759775 \r \h </w:instrText>
      </w:r>
      <w:r>
        <w:fldChar w:fldCharType="separate"/>
      </w:r>
      <w:r>
        <w:t>4.7.3</w:t>
      </w:r>
      <w:r>
        <w:fldChar w:fldCharType="end"/>
      </w:r>
      <w:r>
        <w:t xml:space="preserve"> </w:t>
      </w:r>
    </w:p>
    <w:p w14:paraId="585951C5" w14:textId="77777777">
      <w:pPr>
        <w:pStyle w:val="Lista2"/>
      </w:pPr>
      <w:r>
        <w:rPr>
          <w:rStyle w:val="Codevalue"/>
        </w:rPr>
        <w:t>"column"</w:t>
      </w:r>
      <w:r>
        <w:t xml:space="preserve"> for zones placed side by side and generally taller than they are wide</w:t>
      </w:r>
    </w:p>
    <w:p w14:paraId="75A2C596" w14:textId="77777777">
      <w:pPr>
        <w:pStyle w:val="Lista2"/>
      </w:pPr>
      <w:r>
        <w:rPr>
          <w:rStyle w:val="Codevalue"/>
        </w:rPr>
        <w:t>"face"</w:t>
      </w:r>
      <w:r>
        <w:t xml:space="preserve"> for a physically contiguous surface of a three-dimensional object of any shape and any number of sides</w:t>
      </w:r>
    </w:p>
    <w:p w14:paraId="0082EF3A" w14:textId="77777777">
      <w:pPr>
        <w:pStyle w:val="Lista2"/>
      </w:pPr>
      <w:r>
        <w:rPr>
          <w:rStyle w:val="Codevalue"/>
        </w:rPr>
        <w:t>"faces"</w:t>
      </w:r>
      <w:r>
        <w:t xml:space="preserve"> for two or more contiguous surfaces that together comprise a box of text, such as the frontal and lateral face of a four-sided stele</w:t>
      </w:r>
    </w:p>
    <w:p w14:paraId="3A202E8E" w14:textId="469A8DE6">
      <w:pPr>
        <w:pStyle w:val="Lista2"/>
      </w:pPr>
      <w:r>
        <w:rPr>
          <w:rStyle w:val="Codevalue"/>
        </w:rPr>
        <w:t>"fragment"</w:t>
      </w:r>
      <w:r>
        <w:t xml:space="preserve"> for physical fragments as per §</w:t>
      </w:r>
      <w:r>
        <w:fldChar w:fldCharType="begin"/>
      </w:r>
      <w:r>
        <w:instrText xml:space="preserve"> REF _Ref225346692 \r \h </w:instrText>
      </w:r>
      <w:r>
        <w:fldChar w:fldCharType="separate"/>
      </w:r>
      <w:r>
        <w:t>4.7.3.2</w:t>
      </w:r>
      <w:r>
        <w:fldChar w:fldCharType="end"/>
      </w:r>
    </w:p>
    <w:p w14:paraId="7FA6D70C" w14:textId="77777777">
      <w:pPr>
        <w:pStyle w:val="Lista2"/>
      </w:pPr>
      <w:r>
        <w:rPr>
          <w:rStyle w:val="Codevalue"/>
        </w:rPr>
        <w:t>"item"</w:t>
      </w:r>
      <w:r>
        <w:t xml:space="preserve"> for physically separate objects such as architectural elements, e.g. when an inscription is engraved on two pillars or doorjambs</w:t>
      </w:r>
    </w:p>
    <w:p w14:paraId="3E94EE61" w14:textId="3E84ADB3">
      <w:pPr>
        <w:pStyle w:val="Lista2"/>
      </w:pPr>
      <w:r>
        <w:rPr>
          <w:rStyle w:val="Codevalue"/>
        </w:rPr>
        <w:t>"trial"</w:t>
      </w:r>
      <w:r>
        <w:t xml:space="preserve"> for trial engravings as per §</w:t>
      </w:r>
      <w:r>
        <w:fldChar w:fldCharType="begin"/>
      </w:r>
      <w:r>
        <w:instrText xml:space="preserve"> REF _Ref225178060 \r \h </w:instrText>
      </w:r>
      <w:r>
        <w:fldChar w:fldCharType="separate"/>
      </w:r>
      <w:r>
        <w:t>4.7.3.3</w:t>
      </w:r>
      <w:r>
        <w:fldChar w:fldCharType="end"/>
      </w:r>
    </w:p>
    <w:p w14:paraId="7289E55D" w14:textId="77777777">
      <w:pPr>
        <w:pStyle w:val="Lista2"/>
      </w:pPr>
      <w:r>
        <w:rPr>
          <w:rStyle w:val="Codevalue"/>
        </w:rPr>
        <w:t>"zone"</w:t>
      </w:r>
      <w:r>
        <w:t xml:space="preserve"> for visually distinct zones that do not readily meet any of the specific definitions above</w:t>
      </w:r>
    </w:p>
    <w:p w14:paraId="2F3110BB" w14:textId="77777777">
      <w:pPr>
        <w:pStyle w:val="Lista3"/>
      </w:pPr>
      <w:r>
        <w:t>a zone is generally conceived of as being on a single contiguous surface, but in inscriptions with a complex topology, this unit may also be used for a visually distinct area occupying two or more surfaces</w:t>
      </w:r>
    </w:p>
    <w:p w14:paraId="085B97CD" w14:textId="77777777">
      <w:pPr>
        <w:pStyle w:val="Lista2"/>
      </w:pPr>
      <w:r>
        <w:lastRenderedPageBreak/>
        <w:t xml:space="preserve">this list of values is largely identical to the values permitted for of </w:t>
      </w:r>
      <w:r>
        <w:rPr>
          <w:rStyle w:val="Codeattribute"/>
        </w:rPr>
        <w:t>@unit</w:t>
      </w:r>
      <w:r>
        <w:t xml:space="preserve"> on </w:t>
      </w:r>
      <w:r>
        <w:rPr>
          <w:rStyle w:val="Code"/>
        </w:rPr>
        <w:t>&lt;milestone&gt;</w:t>
      </w:r>
    </w:p>
    <w:p w14:paraId="3CDB39FC" w14:textId="77D0D528">
      <w:pPr>
        <w:pStyle w:val="Lista3"/>
      </w:pPr>
      <w:r>
        <w:t>these are discussed in §</w:t>
      </w:r>
      <w:r>
        <w:fldChar w:fldCharType="begin"/>
      </w:r>
      <w:r>
        <w:instrText xml:space="preserve"> REF _Ref182815315 \r \h </w:instrText>
      </w:r>
      <w:r>
        <w:fldChar w:fldCharType="separate"/>
      </w:r>
      <w:r>
        <w:t>4.3.1</w:t>
      </w:r>
      <w:r>
        <w:fldChar w:fldCharType="end"/>
      </w:r>
      <w:r>
        <w:t>, where you will also find pointers to illustrations</w:t>
      </w:r>
    </w:p>
    <w:p w14:paraId="414C6053" w14:textId="77777777">
      <w:pPr>
        <w:pStyle w:val="Lista2"/>
      </w:pPr>
      <w:r>
        <w:t>only the values listed above may be used, even though earlier versions of this Guide permitted using custom values</w:t>
      </w:r>
    </w:p>
    <w:p w14:paraId="2A181995" w14:textId="77777777">
      <w:pPr>
        <w:pStyle w:val="Cmsor4"/>
      </w:pPr>
      <w:bookmarkStart w:id="183" w:name="_Ref225177909"/>
      <w:r>
        <w:t>Titles for textparts</w:t>
      </w:r>
      <w:bookmarkEnd w:id="183"/>
    </w:p>
    <w:p w14:paraId="799A4344" w14:textId="77777777">
      <w:r>
        <w:t>When an XML edition is rendered for display in the DHARMA environment, headings for textpart divisions will be automatically generated from the subtype (if present) and the number. When these automatic headings are deemed insufficient, an optional custom heading may be added to the encoding, which will replace the auto-generated title.</w:t>
      </w:r>
    </w:p>
    <w:p w14:paraId="2E137540" w14:textId="77777777">
      <w:pPr>
        <w:pStyle w:val="Lista"/>
      </w:pPr>
      <w:r>
        <w:t xml:space="preserve">auto-generated headings will consist of the value of </w:t>
      </w:r>
      <w:r>
        <w:rPr>
          <w:rStyle w:val="Codeattribute"/>
        </w:rPr>
        <w:t>@subtype</w:t>
      </w:r>
      <w:r>
        <w:t xml:space="preserve"> (with the initial letter changed to uppercase), followed by the value of </w:t>
      </w:r>
      <w:r>
        <w:rPr>
          <w:rStyle w:val="Codeattribute"/>
        </w:rPr>
        <w:t>@n</w:t>
      </w:r>
      <w:r>
        <w:t xml:space="preserve"> (unchanged), for example as follows</w:t>
      </w:r>
    </w:p>
    <w:p w14:paraId="3B85E14E" w14:textId="77777777">
      <w:pPr>
        <w:pStyle w:val="Lista2"/>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&gt;</w:t>
      </w:r>
      <w:r>
        <w:t xml:space="preserve"> → “A”</w:t>
      </w:r>
    </w:p>
    <w:p w14:paraId="1A214B00" w14:textId="77777777">
      <w:pPr>
        <w:pStyle w:val="Lista2"/>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"1"</w:t>
      </w:r>
      <w:r>
        <w:rPr>
          <w:rStyle w:val="Code"/>
        </w:rPr>
        <w:t>&gt;</w:t>
      </w:r>
      <w:r>
        <w:t xml:space="preserve"> → “Fragment 1”</w:t>
      </w:r>
    </w:p>
    <w:p w14:paraId="0A46F46D" w14:textId="77777777">
      <w:pPr>
        <w:pStyle w:val="Lista2"/>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t xml:space="preserve"> → “Face a”</w:t>
      </w:r>
    </w:p>
    <w:p w14:paraId="5F1BC0A1" w14:textId="77777777">
      <w:pPr>
        <w:pStyle w:val="Lista"/>
      </w:pPr>
      <w:r>
        <w:t xml:space="preserve">to create a custom heading for a textpart division, use the optional element </w:t>
      </w:r>
      <w:r>
        <w:rPr>
          <w:rStyle w:val="Code"/>
        </w:rPr>
        <w:t xml:space="preserve">&lt;head </w:t>
      </w:r>
      <w:r>
        <w:rPr>
          <w:rStyle w:val="Codeattribute"/>
        </w:rPr>
        <w:t>xml:lang</w:t>
      </w:r>
      <w:r>
        <w:rPr>
          <w:rStyle w:val="Code"/>
        </w:rPr>
        <w:t>=</w:t>
      </w:r>
      <w:r>
        <w:rPr>
          <w:rStyle w:val="Codevalue"/>
        </w:rPr>
        <w:t>"eng"</w:t>
      </w:r>
      <w:r>
        <w:rPr>
          <w:rStyle w:val="Code"/>
        </w:rPr>
        <w:t>&gt;</w:t>
      </w:r>
      <w:r>
        <w:t xml:space="preserve"> immediately after the start tag of a textpart division</w:t>
      </w:r>
    </w:p>
    <w:p w14:paraId="46B9C1D2" w14:textId="77777777">
      <w:pPr>
        <w:pStyle w:val="Lista2"/>
      </w:pPr>
      <w:r>
        <w:t>such elements in our editions will by default be regarded as editorial and therefore need not be marked up explicitly as such</w:t>
      </w:r>
    </w:p>
    <w:p w14:paraId="5F4D6D41" w14:textId="6B01DA51">
      <w:pPr>
        <w:pStyle w:val="Lista3"/>
      </w:pPr>
      <w:r>
        <w:t>the mandatory language attribute (§</w:t>
      </w:r>
      <w:r>
        <w:fldChar w:fldCharType="begin"/>
      </w:r>
      <w:r>
        <w:instrText xml:space="preserve"> REF _Ref233727317 \r \h </w:instrText>
      </w:r>
      <w:r>
        <w:fldChar w:fldCharType="separate"/>
      </w:r>
      <w:r>
        <w:t>14.4.1</w:t>
      </w:r>
      <w:r>
        <w:fldChar w:fldCharType="end"/>
      </w:r>
      <w:r>
        <w:t>) makes it sufficiently clear that their content is not part of the original text</w:t>
      </w:r>
    </w:p>
    <w:p w14:paraId="386539E5" w14:textId="77777777">
      <w:pPr>
        <w:pStyle w:val="Lista2"/>
      </w:pPr>
      <w:r>
        <w:t>the use of this element is recommended when the textparts of an inscription are different in nature, so they cannot be conveniently described by a combination of subtype and number</w:t>
      </w:r>
    </w:p>
    <w:p w14:paraId="1E6AD385" w14:textId="77777777">
      <w:pPr>
        <w:pStyle w:val="Lista3"/>
      </w:pPr>
      <w:r>
        <w:t xml:space="preserve">in this case add a </w:t>
      </w:r>
      <w:r>
        <w:rPr>
          <w:rStyle w:val="Code"/>
        </w:rPr>
        <w:t>&lt;head&gt;</w:t>
      </w:r>
      <w:r>
        <w:t xml:space="preserve"> element and optionally omit </w:t>
      </w:r>
      <w:r>
        <w:rPr>
          <w:rStyle w:val="Codeattribute"/>
        </w:rPr>
        <w:t>@subtype</w:t>
      </w:r>
    </w:p>
    <w:p w14:paraId="03415A2E" w14:textId="77777777">
      <w:pPr>
        <w:pStyle w:val="Lista2"/>
      </w:pPr>
      <w:r>
        <w:t xml:space="preserve">when multiple textparts are of the same nature, the use of </w:t>
      </w:r>
      <w:r>
        <w:rPr>
          <w:rStyle w:val="Codeattribute"/>
        </w:rPr>
        <w:t>@subtype</w:t>
      </w:r>
      <w:r>
        <w:t xml:space="preserve"> remains recommended even if </w:t>
      </w:r>
      <w:r>
        <w:rPr>
          <w:rStyle w:val="Code"/>
        </w:rPr>
        <w:t>&lt;head&gt;</w:t>
      </w:r>
      <w:r>
        <w:t xml:space="preserve"> elements are also added</w:t>
      </w:r>
    </w:p>
    <w:p w14:paraId="7D2D4769" w14:textId="77777777">
      <w:pPr>
        <w:pStyle w:val="Lista2"/>
      </w:pPr>
      <w:r>
        <w:t xml:space="preserve">the attribute </w:t>
      </w:r>
      <w:r>
        <w:rPr>
          <w:rStyle w:val="Codeattribute"/>
        </w:rPr>
        <w:t>@n</w:t>
      </w:r>
      <w:r>
        <w:t xml:space="preserve"> on the </w:t>
      </w:r>
      <w:r>
        <w:rPr>
          <w:rStyle w:val="Code"/>
        </w:rPr>
        <w:t>&lt;div&gt;</w:t>
      </w:r>
      <w:r>
        <w:t xml:space="preserve"> element remains mandatory even if a </w:t>
      </w:r>
      <w:r>
        <w:rPr>
          <w:rStyle w:val="Code"/>
        </w:rPr>
        <w:t>&lt;head&gt;</w:t>
      </w:r>
      <w:r>
        <w:t xml:space="preserve"> is present </w:t>
      </w:r>
    </w:p>
    <w:p w14:paraId="4D1989E5" w14:textId="4A592395">
      <w:pPr>
        <w:pStyle w:val="Lista2"/>
      </w:pPr>
      <w:r>
        <w:t xml:space="preserve">see </w:t>
      </w:r>
      <w:r>
        <w:fldChar w:fldCharType="begin"/>
      </w:r>
      <w:r>
        <w:instrText xml:space="preserve"> REF _Ref44078271 \h </w:instrText>
      </w:r>
      <w:r>
        <w:fldChar w:fldCharType="separate"/>
      </w:r>
      <w:r>
        <w:t xml:space="preserve">Exhibit </w:t>
      </w:r>
      <w:r>
        <w:rPr>
          <w:noProof/>
        </w:rPr>
        <w:t>4.2</w:t>
      </w:r>
      <w:r>
        <w:t>.</w:t>
      </w:r>
      <w:r>
        <w:rPr>
          <w:noProof/>
        </w:rPr>
        <w:t>B</w:t>
      </w:r>
      <w:r>
        <w:fldChar w:fldCharType="end"/>
      </w:r>
      <w:r>
        <w:t xml:space="preserve"> for an illustration</w:t>
      </w:r>
    </w:p>
    <w:p w14:paraId="67CC059C" w14:textId="7B9A6E57">
      <w:pPr>
        <w:pStyle w:val="Lista"/>
      </w:pPr>
      <w:r>
        <w:t>it is generally recommended that you stick to concise headings in English, and in particular to the suggestions in the subsections of §</w:t>
      </w:r>
      <w:r>
        <w:fldChar w:fldCharType="begin"/>
      </w:r>
      <w:r>
        <w:instrText xml:space="preserve"> REF _Ref224742342 \r \h </w:instrText>
      </w:r>
      <w:r>
        <w:fldChar w:fldCharType="separate"/>
      </w:r>
      <w:r>
        <w:t>4.2.1.4</w:t>
      </w:r>
      <w:r>
        <w:fldChar w:fldCharType="end"/>
      </w:r>
      <w:r>
        <w:t xml:space="preserve"> for specific use cases</w:t>
      </w:r>
    </w:p>
    <w:p w14:paraId="19000F56" w14:textId="77777777">
      <w:pPr>
        <w:pStyle w:val="Lista2"/>
      </w:pPr>
      <w:r>
        <w:t xml:space="preserve">the editorial heading will be neither altered in display, nor supplemented with the value of </w:t>
      </w:r>
      <w:r>
        <w:rPr>
          <w:rStyle w:val="Codeattribute"/>
        </w:rPr>
        <w:t>@n</w:t>
      </w:r>
      <w:r>
        <w:t>, so when creating custom headings,</w:t>
      </w:r>
    </w:p>
    <w:p w14:paraId="32590BAB" w14:textId="77777777">
      <w:pPr>
        <w:pStyle w:val="Lista3"/>
      </w:pPr>
      <w:r>
        <w:t>use a capital initial and feel free to include spaces, additional capitals and punctuation as necessary</w:t>
      </w:r>
    </w:p>
    <w:p w14:paraId="2558C780" w14:textId="7150E6AC">
      <w:pPr>
        <w:pStyle w:val="Lista3"/>
      </w:pPr>
      <w:r>
        <w:t xml:space="preserve">however, to avoid complications, do not use any further markup within this element, except the element </w:t>
      </w:r>
      <w:r>
        <w:rPr>
          <w:rStyle w:val="Code"/>
        </w:rPr>
        <w:t>&lt;foreign&gt;</w:t>
      </w:r>
      <w:r>
        <w:t xml:space="preserve"> </w:t>
      </w:r>
      <w:r>
        <w:rPr>
          <w:noProof/>
        </w:rPr>
        <w:t>(</w:t>
      </w:r>
      <w:r>
        <w:t>§</w:t>
      </w:r>
      <w:r>
        <w:fldChar w:fldCharType="begin"/>
      </w:r>
      <w:r>
        <w:instrText xml:space="preserve"> REF _Ref43986658 \w \h  \* MERGEFORMAT </w:instrText>
      </w:r>
      <w:r>
        <w:fldChar w:fldCharType="separate"/>
      </w:r>
      <w:r>
        <w:t>14.4.2</w:t>
      </w:r>
      <w:r>
        <w:fldChar w:fldCharType="end"/>
      </w:r>
      <w:r>
        <w:t>), which you may employ if you deem necessary</w:t>
      </w:r>
    </w:p>
    <w:tbl>
      <w:tblPr>
        <w:tblStyle w:val="CodeSampleTable"/>
        <w:tblW w:w="5000" w:type="pct"/>
        <w:tblLook w:val="04A0" w:firstRow="1" w:lastRow="0" w:firstColumn="1" w:lastColumn="0" w:noHBand="0" w:noVBand="1"/>
      </w:tblPr>
      <w:tblGrid>
        <w:gridCol w:w="9628"/>
      </w:tblGrid>
      <w:tr w14:paraId="0D442584"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9EA5177" w14:textId="65E63AC7">
            <w:pPr>
              <w:pStyle w:val="Kpalrs"/>
            </w:pPr>
            <w:bookmarkStart w:id="184" w:name="_Ref44078271"/>
            <w:r>
              <w:t xml:space="preserve">Exhibit </w:t>
            </w:r>
            <w:fldSimple w:instr=" STYLEREF 2 \s ">
              <w:r>
                <w:rPr>
                  <w:noProof/>
                </w:rPr>
                <w:t>4.2</w:t>
              </w:r>
            </w:fldSimple>
            <w:r>
              <w:t>.</w:t>
            </w:r>
            <w:fldSimple w:instr=" SEQ Exhibit \* ALPHABETIC \s 2 ">
              <w:r>
                <w:rPr>
                  <w:noProof/>
                </w:rPr>
                <w:t>B</w:t>
              </w:r>
            </w:fldSimple>
            <w:bookmarkEnd w:id="184"/>
            <w:r>
              <w:t>: non-contiguous fragments with custom headings</w:t>
            </w:r>
          </w:p>
        </w:tc>
      </w:tr>
      <w:tr w14:paraId="4FD8F977" w14:textId="77777777">
        <w:tc>
          <w:tcPr>
            <w:tcW w:w="5000" w:type="pct"/>
          </w:tcPr>
          <w:p w14:paraId="0A5FDFEB" w14:textId="77777777">
            <w:pPr>
              <w:pStyle w:val="CodeParagraph"/>
              <w:keepNext/>
              <w:rPr>
                <w:rStyle w:val="Code"/>
              </w:rPr>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"1"</w:t>
            </w:r>
            <w:r>
              <w:rPr>
                <w:rStyle w:val="Code"/>
              </w:rPr>
              <w:t>&gt;</w:t>
            </w:r>
          </w:p>
          <w:p w14:paraId="1B1DFF3C" w14:textId="77777777">
            <w:pPr>
              <w:pStyle w:val="CodeParagraph"/>
              <w:keepNext/>
              <w:rPr>
                <w:rStyle w:val="Code"/>
              </w:rPr>
            </w:pPr>
            <w:r>
              <w:rPr>
                <w:rStyle w:val="Code"/>
              </w:rPr>
              <w:t xml:space="preserve">&lt;head </w:t>
            </w:r>
            <w:r>
              <w:rPr>
                <w:rStyle w:val="Codeattribute"/>
              </w:rPr>
              <w:t>xml:lang</w:t>
            </w:r>
            <w:r>
              <w:rPr>
                <w:rStyle w:val="Code"/>
              </w:rPr>
              <w:t>=</w:t>
            </w:r>
            <w:r>
              <w:rPr>
                <w:rStyle w:val="Codevalue"/>
              </w:rPr>
              <w:t>"eng"</w:t>
            </w:r>
            <w:r>
              <w:rPr>
                <w:rStyle w:val="Code"/>
              </w:rPr>
              <w:t>&gt;</w:t>
            </w:r>
            <w:r>
              <w:rPr>
                <w:rStyle w:val="Codetext"/>
              </w:rPr>
              <w:t>Upper left corner</w:t>
            </w:r>
            <w:r>
              <w:rPr>
                <w:rStyle w:val="Code"/>
              </w:rPr>
              <w:t>&lt;/head&gt;</w:t>
            </w:r>
            <w:r>
              <w:rPr>
                <w:rStyle w:val="Codetext"/>
              </w:rPr>
              <w:br/>
              <w:t xml:space="preserve">  ...</w:t>
            </w:r>
            <w:r>
              <w:rPr>
                <w:rStyle w:val="Codetext"/>
              </w:rPr>
              <w:br/>
            </w:r>
            <w:r>
              <w:rPr>
                <w:rStyle w:val="Code"/>
              </w:rPr>
              <w:t>&lt;/div&gt;</w:t>
            </w:r>
          </w:p>
          <w:p w14:paraId="68D55180" w14:textId="77777777">
            <w:pPr>
              <w:pStyle w:val="CodeParagraph"/>
              <w:keepNext/>
              <w:rPr>
                <w:rStyle w:val="Code"/>
              </w:rPr>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"2"</w:t>
            </w:r>
            <w:r>
              <w:rPr>
                <w:rStyle w:val="Code"/>
              </w:rPr>
              <w:t>&gt;</w:t>
            </w:r>
          </w:p>
          <w:p w14:paraId="5AA477E3" w14:textId="77777777">
            <w:pPr>
              <w:pStyle w:val="CodeParagraph"/>
              <w:keepNext/>
              <w:rPr>
                <w:rStyle w:val="Codetext"/>
              </w:rPr>
            </w:pPr>
            <w:r>
              <w:rPr>
                <w:rStyle w:val="Code"/>
              </w:rPr>
              <w:t xml:space="preserve">&lt;head </w:t>
            </w:r>
            <w:r>
              <w:rPr>
                <w:rStyle w:val="Codeattribute"/>
              </w:rPr>
              <w:t>xml:lang</w:t>
            </w:r>
            <w:r>
              <w:rPr>
                <w:rStyle w:val="Code"/>
              </w:rPr>
              <w:t>=</w:t>
            </w:r>
            <w:r>
              <w:rPr>
                <w:rStyle w:val="Codevalue"/>
              </w:rPr>
              <w:t>"eng"</w:t>
            </w:r>
            <w:r>
              <w:rPr>
                <w:rStyle w:val="Code"/>
              </w:rPr>
              <w:t>&gt;</w:t>
            </w:r>
            <w:r>
              <w:rPr>
                <w:rStyle w:val="Codetext"/>
              </w:rPr>
              <w:t>A small piece not adjacent to any edge</w:t>
            </w:r>
            <w:r>
              <w:rPr>
                <w:rStyle w:val="Code"/>
              </w:rPr>
              <w:t>&lt;/head&gt;</w:t>
            </w:r>
            <w:r>
              <w:rPr>
                <w:rStyle w:val="Codetext"/>
              </w:rPr>
              <w:br/>
              <w:t xml:space="preserve">  ...</w:t>
            </w:r>
          </w:p>
          <w:p w14:paraId="729817E1" w14:textId="77777777">
            <w:pPr>
              <w:pStyle w:val="CodeParagraph"/>
              <w:keepNext/>
              <w:rPr>
                <w:rFonts w:ascii="Consolas" w:hAnsi="Consolas" w:cs="Consolas"/>
                <w:noProof/>
                <w:color w:val="002060"/>
                <w:shd w:val="clear" w:color="auto" w:fill="F2F2F2" w:themeFill="background1" w:themeFillShade="F2"/>
              </w:rPr>
            </w:pPr>
            <w:r>
              <w:rPr>
                <w:rStyle w:val="Code"/>
              </w:rPr>
              <w:t>&lt;/div&gt;</w:t>
            </w:r>
          </w:p>
        </w:tc>
      </w:tr>
      <w:tr w14:paraId="2B8D9625" w14:textId="77777777">
        <w:tc>
          <w:tcPr>
            <w:tcW w:w="5000" w:type="pct"/>
          </w:tcPr>
          <w:p w14:paraId="51E72544" w14:textId="77777777">
            <w:pPr>
              <w:pStyle w:val="TableNote"/>
            </w:pPr>
            <w:r>
              <w:t>explicitly encoded headings will show “Upper left corner” and “A small piece not adjacent to any edge”</w:t>
            </w:r>
          </w:p>
        </w:tc>
      </w:tr>
    </w:tbl>
    <w:p w14:paraId="71C5C741" w14:textId="77777777">
      <w:pPr>
        <w:pStyle w:val="Cmsor4"/>
      </w:pPr>
      <w:bookmarkStart w:id="185" w:name="_ntlxakteb3wm" w:colFirst="0" w:colLast="0"/>
      <w:bookmarkStart w:id="186" w:name="_u4tz39yk0lmz" w:colFirst="0" w:colLast="0"/>
      <w:bookmarkStart w:id="187" w:name="_v01oqe9wesr6" w:colFirst="0" w:colLast="0"/>
      <w:bookmarkStart w:id="188" w:name="_suh8lewninkg" w:colFirst="0" w:colLast="0"/>
      <w:bookmarkStart w:id="189" w:name="_ro2q56korov1" w:colFirst="0" w:colLast="0"/>
      <w:bookmarkStart w:id="190" w:name="_fh0zn6srq43l" w:colFirst="0" w:colLast="0"/>
      <w:bookmarkStart w:id="191" w:name="_Ref225324541"/>
      <w:bookmarkStart w:id="192" w:name="_Ref224742342"/>
      <w:bookmarkStart w:id="193" w:name="_Ref43986747"/>
      <w:bookmarkEnd w:id="185"/>
      <w:bookmarkEnd w:id="186"/>
      <w:bookmarkEnd w:id="187"/>
      <w:bookmarkEnd w:id="188"/>
      <w:bookmarkEnd w:id="189"/>
      <w:bookmarkEnd w:id="190"/>
      <w:r>
        <w:t>Numbering elements within textparts</w:t>
      </w:r>
      <w:bookmarkEnd w:id="191"/>
    </w:p>
    <w:p w14:paraId="4B7A0332" w14:textId="77777777">
      <w:pPr>
        <w:rPr>
          <w:lang w:eastAsia="en-US" w:bidi="ar-SA"/>
        </w:rPr>
      </w:pPr>
      <w:r>
        <w:rPr>
          <w:lang w:eastAsia="en-US" w:bidi="ar-SA"/>
        </w:rPr>
        <w:t>The numbering of structural elements serves for reference, implying that the number of any represented entity should be unique. However, uniqueness is only a criterion within each textpart, since a reference unique across the entire edition can still be created by combining the textpart number with the number of the entity in question. For example, even if textpart A and textpart B both have a line 1, these can still be identified unambiguously as “line 1 of textpart A” and “line 1 of textpart B”.</w:t>
      </w:r>
    </w:p>
    <w:p w14:paraId="22D9754D" w14:textId="77777777">
      <w:pPr>
        <w:pStyle w:val="Normlbehzs"/>
      </w:pPr>
      <w:r>
        <w:rPr>
          <w:lang w:eastAsia="en-US" w:bidi="ar-SA"/>
        </w:rPr>
        <w:lastRenderedPageBreak/>
        <w:t xml:space="preserve">Because textpart divisions are essentially independent editions, for the sake of clarity and consistency we recommend restarting numeration in each textpart for any structural entities present in more than one textpart (typically: physical lines and stanzas). Doing so is especially warranted when there is no </w:t>
      </w:r>
      <w:r>
        <w:t>straightforward sequence of progression from one textpart to another, but restarting never does any harm. Therefore, employ consecutive numbering through textparts only when you have a strong reason to do so.</w:t>
      </w:r>
    </w:p>
    <w:p w14:paraId="0B75C02D" w14:textId="77777777">
      <w:pPr>
        <w:pStyle w:val="Cmsor2"/>
      </w:pPr>
      <w:bookmarkStart w:id="194" w:name="_Ref225327729"/>
      <w:bookmarkStart w:id="195" w:name="_Toc243922616"/>
      <w:bookmarkEnd w:id="192"/>
      <w:bookmarkEnd w:id="193"/>
      <w:r>
        <w:t>Encoding with milestones</w:t>
      </w:r>
      <w:bookmarkEnd w:id="194"/>
      <w:bookmarkEnd w:id="195"/>
    </w:p>
    <w:p w14:paraId="3F5A307A" w14:textId="7B32FE97">
      <w:r>
        <w:t>As introduced in §</w:t>
      </w:r>
      <w:r>
        <w:fldChar w:fldCharType="begin"/>
      </w:r>
      <w:r>
        <w:instrText xml:space="preserve"> REF _Ref182923075 \r \h </w:instrText>
      </w:r>
      <w:r>
        <w:fldChar w:fldCharType="separate"/>
      </w:r>
      <w:r>
        <w:t>4.1</w:t>
      </w:r>
      <w:r>
        <w:fldChar w:fldCharType="end"/>
      </w:r>
      <w:r>
        <w:t xml:space="preserve">, we employ empty elements to indicate points of transition relevant to extrinsic structure. This kind of empty element is called a milestone in TEI parlance. The generic </w:t>
      </w:r>
      <w:r>
        <w:rPr>
          <w:rStyle w:val="Code"/>
        </w:rPr>
        <w:t>&lt;milestone/&gt;</w:t>
      </w:r>
      <w:r>
        <w:t xml:space="preserve"> element, when used for extrinsic structure, must always carry the attribute </w:t>
      </w:r>
      <w:r>
        <w:rPr>
          <w:rStyle w:val="Codeattribute"/>
        </w:rPr>
        <w:t>@unit</w:t>
      </w:r>
      <w:r>
        <w:t xml:space="preserve"> (§</w:t>
      </w:r>
      <w:r>
        <w:fldChar w:fldCharType="begin"/>
      </w:r>
      <w:r>
        <w:instrText xml:space="preserve"> REF _Ref182815315 \r \h </w:instrText>
      </w:r>
      <w:r>
        <w:fldChar w:fldCharType="separate"/>
      </w:r>
      <w:r>
        <w:t>4.3.1</w:t>
      </w:r>
      <w:r>
        <w:fldChar w:fldCharType="end"/>
      </w:r>
      <w:r>
        <w:t xml:space="preserve">) to encode what kind of transition it represents. TEI also provides several specialised milestone elements, where the unit is implicit in the element’s name and does not need to be encoded explicitly. Of these, our encoding makes use of </w:t>
      </w:r>
      <w:r>
        <w:rPr>
          <w:rStyle w:val="Code"/>
        </w:rPr>
        <w:t>&lt;pb/&gt;</w:t>
      </w:r>
      <w:r>
        <w:t xml:space="preserve"> “Page Beginning” (§</w:t>
      </w:r>
      <w:r>
        <w:fldChar w:fldCharType="begin"/>
      </w:r>
      <w:r>
        <w:instrText xml:space="preserve"> REF _Ref183083979 \r \h </w:instrText>
      </w:r>
      <w:r>
        <w:fldChar w:fldCharType="separate"/>
      </w:r>
      <w:r>
        <w:t>4.4.2</w:t>
      </w:r>
      <w:r>
        <w:fldChar w:fldCharType="end"/>
      </w:r>
      <w:r>
        <w:t xml:space="preserve">) and </w:t>
      </w:r>
      <w:r>
        <w:rPr>
          <w:rStyle w:val="Code"/>
        </w:rPr>
        <w:t>&lt;lb/&gt;</w:t>
      </w:r>
      <w:r>
        <w:t xml:space="preserve"> “Line Beginning” (§</w:t>
      </w:r>
      <w:r>
        <w:fldChar w:fldCharType="begin"/>
      </w:r>
      <w:r>
        <w:instrText xml:space="preserve"> REF _Ref224720139 \r \h </w:instrText>
      </w:r>
      <w:r>
        <w:fldChar w:fldCharType="separate"/>
      </w:r>
      <w:r>
        <w:t>4.5</w:t>
      </w:r>
      <w:r>
        <w:fldChar w:fldCharType="end"/>
      </w:r>
      <w:r>
        <w:t xml:space="preserve">), while the generic </w:t>
      </w:r>
      <w:r>
        <w:rPr>
          <w:rStyle w:val="Code"/>
        </w:rPr>
        <w:t>&lt;milestone/&gt;</w:t>
      </w:r>
      <w:r>
        <w:t xml:space="preserve"> element is used with </w:t>
      </w:r>
      <w:r>
        <w:rPr>
          <w:rStyle w:val="Codeattribute"/>
        </w:rPr>
        <w:t>@type=</w:t>
      </w:r>
      <w:r>
        <w:rPr>
          <w:rStyle w:val="Codevalue"/>
        </w:rPr>
        <w:t>"pagelike"</w:t>
      </w:r>
      <w:r>
        <w:t xml:space="preserve"> to represent pagelike partitions other than actual pages (§</w:t>
      </w:r>
      <w:r>
        <w:fldChar w:fldCharType="begin"/>
      </w:r>
      <w:r>
        <w:instrText xml:space="preserve"> REF _Ref43986679 \r \h </w:instrText>
      </w:r>
      <w:r>
        <w:fldChar w:fldCharType="separate"/>
      </w:r>
      <w:r>
        <w:t>4.4.2.1</w:t>
      </w:r>
      <w:r>
        <w:fldChar w:fldCharType="end"/>
      </w:r>
      <w:r>
        <w:t xml:space="preserve">), and without </w:t>
      </w:r>
      <w:r>
        <w:rPr>
          <w:rStyle w:val="Codeattribute"/>
        </w:rPr>
        <w:t>@type</w:t>
      </w:r>
      <w:r>
        <w:t xml:space="preserve"> to represent gridlike partitions (§</w:t>
      </w:r>
      <w:r>
        <w:fldChar w:fldCharType="begin"/>
      </w:r>
      <w:r>
        <w:instrText xml:space="preserve"> REF _Ref182310382 \r \h </w:instrText>
      </w:r>
      <w:r>
        <w:fldChar w:fldCharType="separate"/>
      </w:r>
      <w:r>
        <w:t>4.6.1</w:t>
      </w:r>
      <w:r>
        <w:fldChar w:fldCharType="end"/>
      </w:r>
      <w:r>
        <w:t>).</w:t>
      </w:r>
      <w:r>
        <w:rPr>
          <w:rStyle w:val="Lbjegyzet-hivatkozs"/>
        </w:rPr>
        <w:footnoteReference w:id="14"/>
      </w:r>
      <w:r>
        <w:t xml:space="preserve"> Milestone-type elements representing extrinsic structure are always numbered in our editions, with numeration schemes for each kind discussed in the relevant sections. The present section gathers instructions that apply in general to the structural milestones we use.</w:t>
      </w:r>
    </w:p>
    <w:p w14:paraId="02027FA8" w14:textId="77777777">
      <w:pPr>
        <w:pStyle w:val="Cmsor3"/>
      </w:pPr>
      <w:bookmarkStart w:id="196" w:name="_2po8nsoeevw0" w:colFirst="0" w:colLast="0"/>
      <w:bookmarkStart w:id="197" w:name="_Ref182815315"/>
      <w:bookmarkStart w:id="198" w:name="_Ref43979481"/>
      <w:bookmarkStart w:id="199" w:name="_Ref182580598"/>
      <w:bookmarkStart w:id="200" w:name="_Ref182580609"/>
      <w:bookmarkStart w:id="201" w:name="_Ref182580645"/>
      <w:bookmarkStart w:id="202" w:name="_Ref182580657"/>
      <w:bookmarkStart w:id="203" w:name="_Ref182580801"/>
      <w:bookmarkStart w:id="204" w:name="_Toc243922617"/>
      <w:bookmarkEnd w:id="196"/>
      <w:r>
        <w:t>Milestone units</w:t>
      </w:r>
      <w:bookmarkEnd w:id="197"/>
      <w:bookmarkEnd w:id="204"/>
    </w:p>
    <w:p w14:paraId="34E80083" w14:textId="77777777">
      <w:pPr>
        <w:pStyle w:val="Lista"/>
      </w:pPr>
      <w:r>
        <w:t xml:space="preserve">the attribute </w:t>
      </w:r>
      <w:r>
        <w:rPr>
          <w:rStyle w:val="Codeattribute"/>
        </w:rPr>
        <w:t>@unit</w:t>
      </w:r>
      <w:r>
        <w:t xml:space="preserve"> is mandatory for all </w:t>
      </w:r>
      <w:r>
        <w:rPr>
          <w:rStyle w:val="Code"/>
        </w:rPr>
        <w:t>&lt;milestone&gt;</w:t>
      </w:r>
      <w:r>
        <w:t xml:space="preserve"> elements representing extrinsic structure</w:t>
      </w:r>
    </w:p>
    <w:p w14:paraId="43686913" w14:textId="204B60AB">
      <w:pPr>
        <w:pStyle w:val="Lista"/>
      </w:pPr>
      <w:r>
        <w:t xml:space="preserve">the value of this attribute shall be a single word describing the nature of the partition analogously to the (optional) </w:t>
      </w:r>
      <w:r>
        <w:rPr>
          <w:rStyle w:val="Codeattribute"/>
        </w:rPr>
        <w:t>@subtype</w:t>
      </w:r>
      <w:r>
        <w:t xml:space="preserve"> of textpart divisions </w:t>
      </w:r>
      <w:r>
        <w:rPr>
          <w:noProof/>
        </w:rPr>
        <w:t>(</w:t>
      </w:r>
      <w:r>
        <w:t>§</w:t>
      </w:r>
      <w:r>
        <w:fldChar w:fldCharType="begin"/>
      </w:r>
      <w:r>
        <w:instrText xml:space="preserve"> REF _Ref182236825 \r \h </w:instrText>
      </w:r>
      <w:r>
        <w:fldChar w:fldCharType="separate"/>
      </w:r>
      <w:r>
        <w:t>4.2.1.2</w:t>
      </w:r>
      <w:r>
        <w:fldChar w:fldCharType="end"/>
      </w:r>
      <w:r>
        <w:t>), based on the physical nature of the corresponding partition of extrinsic structure, disregarding its visual appearance, topological position relative to other textparts, and semantic function in intrinsic structure</w:t>
      </w:r>
    </w:p>
    <w:p w14:paraId="1793D353" w14:textId="247355D9">
      <w:pPr>
        <w:pStyle w:val="Lista"/>
      </w:pPr>
      <w:r>
        <w:t xml:space="preserve">the permitted values of </w:t>
      </w:r>
      <w:r>
        <w:rPr>
          <w:rStyle w:val="Codeattribute"/>
        </w:rPr>
        <w:t>@unit</w:t>
      </w:r>
      <w:r>
        <w:t>, applicable to both pagelike (§</w:t>
      </w:r>
      <w:r>
        <w:fldChar w:fldCharType="begin"/>
      </w:r>
      <w:r>
        <w:instrText xml:space="preserve"> REF _Ref43986679 \r \h </w:instrText>
      </w:r>
      <w:r>
        <w:fldChar w:fldCharType="separate"/>
      </w:r>
      <w:r>
        <w:t>4.4.2.1</w:t>
      </w:r>
      <w:r>
        <w:fldChar w:fldCharType="end"/>
      </w:r>
      <w:r>
        <w:t>) and gridlike (§</w:t>
      </w:r>
      <w:r>
        <w:fldChar w:fldCharType="begin"/>
      </w:r>
      <w:r>
        <w:instrText xml:space="preserve"> REF _Ref182310382 \r \h </w:instrText>
      </w:r>
      <w:r>
        <w:fldChar w:fldCharType="separate"/>
      </w:r>
      <w:r>
        <w:t>4.6.1</w:t>
      </w:r>
      <w:r>
        <w:fldChar w:fldCharType="end"/>
      </w:r>
      <w:r>
        <w:t xml:space="preserve">) </w:t>
      </w:r>
      <w:r>
        <w:rPr>
          <w:rStyle w:val="Code"/>
        </w:rPr>
        <w:t>&lt;milestone&gt;</w:t>
      </w:r>
      <w:r>
        <w:t xml:space="preserve"> elements, are as follows:</w:t>
      </w:r>
    </w:p>
    <w:p w14:paraId="1D1ECD54" w14:textId="6534098E">
      <w:pPr>
        <w:pStyle w:val="Lista2"/>
      </w:pPr>
      <w:r>
        <w:rPr>
          <w:rStyle w:val="Codevalue"/>
        </w:rPr>
        <w:t>"block"</w:t>
      </w:r>
      <w:r>
        <w:t xml:space="preserve"> for inscriptions on separable architectural blocks in a larger element such as a wall (gridlike: </w:t>
      </w:r>
      <w:r>
        <w:fldChar w:fldCharType="begin"/>
      </w:r>
      <w:r>
        <w:instrText xml:space="preserve"> REF _Ref44078533 \h </w:instrText>
      </w:r>
      <w:r>
        <w:fldChar w:fldCharType="separate"/>
      </w:r>
      <w:r>
        <w:t xml:space="preserve">Exhibit </w:t>
      </w:r>
      <w:r>
        <w:rPr>
          <w:noProof/>
        </w:rPr>
        <w:t>4.7</w:t>
      </w:r>
      <w:r>
        <w:t>.</w:t>
      </w:r>
      <w:r>
        <w:rPr>
          <w:noProof/>
        </w:rPr>
        <w:t>O</w:t>
      </w:r>
      <w:r>
        <w:fldChar w:fldCharType="end"/>
      </w:r>
      <w:r>
        <w:t>)</w:t>
      </w:r>
    </w:p>
    <w:p w14:paraId="41B7CF81" w14:textId="77777777">
      <w:pPr>
        <w:pStyle w:val="Lista2"/>
      </w:pPr>
      <w:r>
        <w:rPr>
          <w:rStyle w:val="Codevalue"/>
        </w:rPr>
        <w:t>"column"</w:t>
      </w:r>
      <w:r>
        <w:t xml:space="preserve"> for zones placed side by side and generally taller than they are wide</w:t>
      </w:r>
    </w:p>
    <w:p w14:paraId="43A06659" w14:textId="20B1F6CD">
      <w:pPr>
        <w:pStyle w:val="Lista3"/>
      </w:pPr>
      <w:r>
        <w:rPr>
          <w:noProof/>
        </w:rPr>
        <w:t xml:space="preserve">resembling </w:t>
      </w:r>
      <w:r>
        <w:t xml:space="preserve">the columns of newsprint for pagelike partitions, as in </w:t>
      </w:r>
      <w:r>
        <w:fldChar w:fldCharType="begin"/>
      </w:r>
      <w:r>
        <w:instrText xml:space="preserve"> REF _Ref44078357 \h </w:instrText>
      </w:r>
      <w:r>
        <w:fldChar w:fldCharType="separate"/>
      </w:r>
      <w:r>
        <w:t xml:space="preserve">Exhibit </w:t>
      </w:r>
      <w:r>
        <w:rPr>
          <w:noProof/>
        </w:rPr>
        <w:t>4.7</w:t>
      </w:r>
      <w:r>
        <w:t>.</w:t>
      </w:r>
      <w:r>
        <w:rPr>
          <w:noProof/>
        </w:rPr>
        <w:t>K</w:t>
      </w:r>
      <w:r>
        <w:fldChar w:fldCharType="end"/>
      </w:r>
    </w:p>
    <w:p w14:paraId="7B83400A" w14:textId="5806B90F">
      <w:pPr>
        <w:pStyle w:val="Lista3"/>
      </w:pPr>
      <w:r>
        <w:t xml:space="preserve">resembling verse with metrical subunits arranged into quasi-columns for gridlike partitions, as in </w:t>
      </w:r>
      <w:r>
        <w:fldChar w:fldCharType="begin"/>
      </w:r>
      <w:r>
        <w:instrText xml:space="preserve"> REF _Ref44078509 \h </w:instrText>
      </w:r>
      <w:r>
        <w:fldChar w:fldCharType="separate"/>
      </w:r>
      <w:r>
        <w:t xml:space="preserve">Exhibit </w:t>
      </w:r>
      <w:r>
        <w:rPr>
          <w:noProof/>
        </w:rPr>
        <w:t>4.7</w:t>
      </w:r>
      <w:r>
        <w:t>.</w:t>
      </w:r>
      <w:r>
        <w:rPr>
          <w:noProof/>
        </w:rPr>
        <w:t>Q</w:t>
      </w:r>
      <w:r>
        <w:fldChar w:fldCharType="end"/>
      </w:r>
      <w:r>
        <w:t xml:space="preserve"> and the Case Study in </w:t>
      </w:r>
      <w:r>
        <w:fldChar w:fldCharType="begin"/>
      </w:r>
      <w:r>
        <w:instrText xml:space="preserve"> REF _Ref239843991 \r \h </w:instrText>
      </w:r>
      <w:r>
        <w:fldChar w:fldCharType="separate"/>
      </w:r>
      <w:r>
        <w:t>Appendix A.6</w:t>
      </w:r>
      <w:r>
        <w:fldChar w:fldCharType="end"/>
      </w:r>
    </w:p>
    <w:p w14:paraId="753CCC6C" w14:textId="35310AEA">
      <w:pPr>
        <w:pStyle w:val="Lista2"/>
      </w:pPr>
      <w:r>
        <w:rPr>
          <w:rStyle w:val="Codevalue"/>
        </w:rPr>
        <w:t>"face"</w:t>
      </w:r>
      <w:r>
        <w:t xml:space="preserve"> for a physically contiguous surface of a three-dimensional object of any shape and any number of sides (gridlike: </w:t>
      </w:r>
      <w:r>
        <w:fldChar w:fldCharType="begin"/>
      </w:r>
      <w:r>
        <w:instrText xml:space="preserve"> REF _Ref182822234 \h </w:instrText>
      </w:r>
      <w:r>
        <w:fldChar w:fldCharType="separate"/>
      </w:r>
      <w:r>
        <w:t xml:space="preserve">Exhibit </w:t>
      </w:r>
      <w:r>
        <w:rPr>
          <w:noProof/>
        </w:rPr>
        <w:t>4.7</w:t>
      </w:r>
      <w:r>
        <w:t>.</w:t>
      </w:r>
      <w:r>
        <w:rPr>
          <w:noProof/>
        </w:rPr>
        <w:t>R</w:t>
      </w:r>
      <w:r>
        <w:fldChar w:fldCharType="end"/>
      </w:r>
      <w:r>
        <w:t xml:space="preserve">; see also the Case Study in </w:t>
      </w:r>
      <w:r>
        <w:fldChar w:fldCharType="begin"/>
      </w:r>
      <w:r>
        <w:instrText xml:space="preserve"> REF _Ref239843991 \r \h </w:instrText>
      </w:r>
      <w:r>
        <w:fldChar w:fldCharType="separate"/>
      </w:r>
      <w:r>
        <w:t>Appendix A.6</w:t>
      </w:r>
      <w:r>
        <w:fldChar w:fldCharType="end"/>
      </w:r>
      <w:r>
        <w:t xml:space="preserve"> for pagelike faces subdivided into gridlike columns)</w:t>
      </w:r>
    </w:p>
    <w:p w14:paraId="387B30C3" w14:textId="77777777">
      <w:pPr>
        <w:pStyle w:val="Lista2"/>
      </w:pPr>
      <w:r>
        <w:rPr>
          <w:rStyle w:val="Codevalue"/>
        </w:rPr>
        <w:t>"faces"</w:t>
      </w:r>
      <w:r>
        <w:t xml:space="preserve"> in texts where each pagelike zone involves lines continuing across two or more surfaces such as the frontal and lateral face of a four-sided stele</w:t>
      </w:r>
    </w:p>
    <w:p w14:paraId="690A8779" w14:textId="0279DD72">
      <w:pPr>
        <w:pStyle w:val="Lista3"/>
      </w:pPr>
      <w:r>
        <w:t xml:space="preserve">this unit is not normally applicable to gridlike partitions, but a gridlike partition with </w:t>
      </w:r>
      <w:r>
        <w:rPr>
          <w:rStyle w:val="Codeattribute"/>
        </w:rPr>
        <w:t>@unit=</w:t>
      </w:r>
      <w:r>
        <w:rPr>
          <w:rStyle w:val="Codevalue"/>
        </w:rPr>
        <w:t>"face"</w:t>
      </w:r>
      <w:r>
        <w:t xml:space="preserve"> may be used to encode the boundary of each face constituting a pagelike zone of this kind, as in the Case Study in </w:t>
      </w:r>
      <w:r>
        <w:fldChar w:fldCharType="begin"/>
      </w:r>
      <w:r>
        <w:instrText xml:space="preserve"> REF _Ref239844040 \r \h </w:instrText>
      </w:r>
      <w:r>
        <w:fldChar w:fldCharType="separate"/>
      </w:r>
      <w:r>
        <w:t>Appendix A.5</w:t>
      </w:r>
      <w:r>
        <w:fldChar w:fldCharType="end"/>
      </w:r>
      <w:r>
        <w:t xml:space="preserve"> </w:t>
      </w:r>
    </w:p>
    <w:p w14:paraId="53FC169B" w14:textId="77777777">
      <w:pPr>
        <w:pStyle w:val="Lista2"/>
      </w:pPr>
      <w:r>
        <w:rPr>
          <w:rStyle w:val="Codevalue"/>
        </w:rPr>
        <w:t>"fragment"</w:t>
      </w:r>
      <w:r>
        <w:t xml:space="preserve"> for objects with two or more extant inscribed fragments</w:t>
      </w:r>
    </w:p>
    <w:p w14:paraId="08FC167F" w14:textId="3E5AAE05">
      <w:pPr>
        <w:pStyle w:val="Lista3"/>
      </w:pPr>
      <w:r>
        <w:t xml:space="preserve">fragmentation generally engenders gridlike partitions as in </w:t>
      </w:r>
      <w:r>
        <w:fldChar w:fldCharType="begin"/>
      </w:r>
      <w:r>
        <w:instrText xml:space="preserve"> REF _Ref182834408 \h </w:instrText>
      </w:r>
      <w:r>
        <w:fldChar w:fldCharType="separate"/>
      </w:r>
      <w:r>
        <w:t xml:space="preserve">Exhibit </w:t>
      </w:r>
      <w:r>
        <w:rPr>
          <w:noProof/>
        </w:rPr>
        <w:t>4.7</w:t>
      </w:r>
      <w:r>
        <w:t>.</w:t>
      </w:r>
      <w:r>
        <w:rPr>
          <w:noProof/>
        </w:rPr>
        <w:t>W</w:t>
      </w:r>
      <w:r>
        <w:fldChar w:fldCharType="end"/>
      </w:r>
      <w:r>
        <w:t xml:space="preserve">, but may occasionally result in a pagelike partition as in </w:t>
      </w:r>
      <w:r>
        <w:fldChar w:fldCharType="begin"/>
      </w:r>
      <w:r>
        <w:instrText xml:space="preserve"> REF _Ref182822467 \h </w:instrText>
      </w:r>
      <w:r>
        <w:fldChar w:fldCharType="separate"/>
      </w:r>
      <w:r>
        <w:t xml:space="preserve">Exhibit </w:t>
      </w:r>
      <w:r>
        <w:rPr>
          <w:noProof/>
        </w:rPr>
        <w:t>4.7</w:t>
      </w:r>
      <w:r>
        <w:t>.</w:t>
      </w:r>
      <w:r>
        <w:rPr>
          <w:noProof/>
        </w:rPr>
        <w:t>X</w:t>
      </w:r>
      <w:r>
        <w:fldChar w:fldCharType="end"/>
      </w:r>
      <w:r>
        <w:t xml:space="preserve"> as well as in a boxlike one as in </w:t>
      </w:r>
      <w:r>
        <w:fldChar w:fldCharType="begin"/>
      </w:r>
      <w:r>
        <w:instrText xml:space="preserve"> REF _Ref44078070 \h </w:instrText>
      </w:r>
      <w:r>
        <w:fldChar w:fldCharType="separate"/>
      </w:r>
      <w:r>
        <w:t xml:space="preserve">Exhibit </w:t>
      </w:r>
      <w:r>
        <w:rPr>
          <w:noProof/>
        </w:rPr>
        <w:t>4.7</w:t>
      </w:r>
      <w:r>
        <w:t>.</w:t>
      </w:r>
      <w:r>
        <w:rPr>
          <w:noProof/>
        </w:rPr>
        <w:t>I</w:t>
      </w:r>
      <w:r>
        <w:fldChar w:fldCharType="end"/>
      </w:r>
    </w:p>
    <w:p w14:paraId="49F7C5FA" w14:textId="4D9D9D11">
      <w:pPr>
        <w:pStyle w:val="Lista2"/>
      </w:pPr>
      <w:r>
        <w:rPr>
          <w:rStyle w:val="Codevalue"/>
        </w:rPr>
        <w:t>"item"</w:t>
      </w:r>
      <w:r>
        <w:t xml:space="preserve"> for physically separate objects such as architectural elements, e.g. when an inscription is engraved on two pillars or doorjambs (pagelike </w:t>
      </w:r>
      <w:r>
        <w:fldChar w:fldCharType="begin"/>
      </w:r>
      <w:r>
        <w:instrText xml:space="preserve"> REF _Ref44078459 \h </w:instrText>
      </w:r>
      <w:r>
        <w:fldChar w:fldCharType="separate"/>
      </w:r>
      <w:r>
        <w:t xml:space="preserve">Exhibit </w:t>
      </w:r>
      <w:r>
        <w:rPr>
          <w:noProof/>
        </w:rPr>
        <w:t>4.4</w:t>
      </w:r>
      <w:r>
        <w:t>.</w:t>
      </w:r>
      <w:r>
        <w:rPr>
          <w:noProof/>
        </w:rPr>
        <w:t>C</w:t>
      </w:r>
      <w:r>
        <w:fldChar w:fldCharType="end"/>
      </w:r>
      <w:r>
        <w:t>)</w:t>
      </w:r>
    </w:p>
    <w:p w14:paraId="4172D85E" w14:textId="77777777">
      <w:pPr>
        <w:pStyle w:val="Lista3"/>
      </w:pPr>
      <w:r>
        <w:t>this unit is not normally applicable to gridlike partitions</w:t>
      </w:r>
    </w:p>
    <w:p w14:paraId="6DE3721A" w14:textId="77777777">
      <w:pPr>
        <w:pStyle w:val="Lista2"/>
      </w:pPr>
      <w:r>
        <w:rPr>
          <w:rStyle w:val="Codevalue"/>
        </w:rPr>
        <w:t>"zone"</w:t>
      </w:r>
      <w:r>
        <w:t xml:space="preserve"> for visually distinct zones that do not readily meet any of the specific definitions above</w:t>
      </w:r>
    </w:p>
    <w:p w14:paraId="499D351F" w14:textId="77777777">
      <w:pPr>
        <w:pStyle w:val="Lista3"/>
      </w:pPr>
      <w:r>
        <w:lastRenderedPageBreak/>
        <w:t>a zone is generally conceived of as being on a single contiguous surface, but in inscriptions with a complex topology, this unit may also be used for a visually distinct area occupying two or more surfaces</w:t>
      </w:r>
    </w:p>
    <w:p w14:paraId="2F0BD2D6" w14:textId="77777777">
      <w:pPr>
        <w:pStyle w:val="Lista2"/>
      </w:pPr>
      <w:bookmarkStart w:id="205" w:name="_Ref225352317"/>
      <w:bookmarkStart w:id="206" w:name="_Ref225324572"/>
      <w:r>
        <w:t>only the values listed above may be used, even though earlier versions of this Guide permitted using custom values</w:t>
      </w:r>
    </w:p>
    <w:p w14:paraId="73A416C8" w14:textId="77777777">
      <w:pPr>
        <w:pStyle w:val="Cmsor3"/>
      </w:pPr>
      <w:bookmarkStart w:id="207" w:name="_Toc243922618"/>
      <w:r>
        <w:t xml:space="preserve">Milestones interrupting </w:t>
      </w:r>
      <w:bookmarkEnd w:id="205"/>
      <w:r>
        <w:t>the text</w:t>
      </w:r>
      <w:bookmarkEnd w:id="207"/>
    </w:p>
    <w:p w14:paraId="790AFBF3" w14:textId="3AC82B97">
      <w:pPr>
        <w:rPr>
          <w:lang w:eastAsia="en-US" w:bidi="ar-SA"/>
        </w:rPr>
      </w:pPr>
      <w:r>
        <w:rPr>
          <w:lang w:eastAsia="en-US" w:bidi="ar-SA"/>
        </w:rPr>
        <w:t>When a milestone for extrinsic structure falls inside a word, this must be encoded as per §</w:t>
      </w:r>
      <w:r>
        <w:fldChar w:fldCharType="begin"/>
      </w:r>
      <w:r>
        <w:instrText xml:space="preserve"> REF _Ref225519777 \r \h </w:instrText>
      </w:r>
      <w:r>
        <w:fldChar w:fldCharType="separate"/>
      </w:r>
      <w:r>
        <w:t>4.3.2.1</w:t>
      </w:r>
      <w:r>
        <w:fldChar w:fldCharType="end"/>
      </w:r>
      <w:r>
        <w:t xml:space="preserve"> to show that the structural break is not also a word break. In situations where a structural boundary — typically a fracture, but occasionally also a transition to another surface of a three-dimensional object — splits one or more atomic </w:t>
      </w:r>
      <w:r>
        <w:rPr>
          <w:rStyle w:val="Foreign"/>
        </w:rPr>
        <w:t>akṣara</w:t>
      </w:r>
      <w:r>
        <w:rPr>
          <w:noProof/>
        </w:rPr>
        <w:t>s</w:t>
      </w:r>
      <w:r>
        <w:t xml:space="preserve"> of the text, the target graphemes corresponding to the split </w:t>
      </w:r>
      <w:r>
        <w:rPr>
          <w:rStyle w:val="Foreign"/>
        </w:rPr>
        <w:t>akṣara</w:t>
      </w:r>
      <w:r>
        <w:t xml:space="preserve"> shall be arbitrarily allocated to one side of the partition or the other. Specific guidelines for this are given in §</w:t>
      </w:r>
      <w:r>
        <w:fldChar w:fldCharType="begin"/>
      </w:r>
      <w:r>
        <w:instrText xml:space="preserve"> REF _Ref182813737 \r \h </w:instrText>
      </w:r>
      <w:r>
        <w:fldChar w:fldCharType="separate"/>
      </w:r>
      <w:r>
        <w:t>4.7.6.1</w:t>
      </w:r>
      <w:r>
        <w:fldChar w:fldCharType="end"/>
      </w:r>
      <w:r>
        <w:t xml:space="preserve">. When a theoretically atomic </w:t>
      </w:r>
      <w:r>
        <w:rPr>
          <w:rStyle w:val="Foreign"/>
        </w:rPr>
        <w:t>akṣara</w:t>
      </w:r>
      <w:r>
        <w:t xml:space="preserve"> is deliberately separated into its constituent parts by the scribe, this can be encoded as per §</w:t>
      </w:r>
      <w:r>
        <w:fldChar w:fldCharType="begin"/>
      </w:r>
      <w:r>
        <w:instrText xml:space="preserve"> REF _Ref43987165 \r \h </w:instrText>
      </w:r>
      <w:r>
        <w:fldChar w:fldCharType="separate"/>
      </w:r>
      <w:r>
        <w:t>5.1.4</w:t>
      </w:r>
      <w:r>
        <w:fldChar w:fldCharType="end"/>
      </w:r>
      <w:r>
        <w:t>.</w:t>
      </w:r>
    </w:p>
    <w:p w14:paraId="35709EE0" w14:textId="77777777">
      <w:pPr>
        <w:pStyle w:val="Cmsor4"/>
      </w:pPr>
      <w:bookmarkStart w:id="208" w:name="_Ref225519777"/>
      <w:r>
        <w:t>Milestones interrupting words</w:t>
      </w:r>
      <w:bookmarkEnd w:id="208"/>
    </w:p>
    <w:p w14:paraId="3C8BCC1F" w14:textId="77777777">
      <w:pPr>
        <w:pStyle w:val="Lista"/>
      </w:pPr>
      <w:r>
        <w:t xml:space="preserve">a structural transition interrupts a word if it occurs at a point other than between two independent words, i.e. at any place where cannot add an editorial space </w:t>
      </w:r>
      <w:r>
        <w:rPr>
          <w:noProof/>
        </w:rPr>
        <w:t>(</w:t>
      </w:r>
      <w:r>
        <w:t>TG §7.3.2), including cases</w:t>
      </w:r>
    </w:p>
    <w:p w14:paraId="5A228572" w14:textId="77777777">
      <w:pPr>
        <w:pStyle w:val="Lista2"/>
      </w:pPr>
      <w:r>
        <w:t xml:space="preserve">where the words before and after the transition are compounded to one another </w:t>
      </w:r>
      <w:r>
        <w:rPr>
          <w:noProof/>
        </w:rPr>
        <w:t>(</w:t>
      </w:r>
      <w:r>
        <w:t xml:space="preserve">e.g. </w:t>
      </w:r>
      <w:r>
        <w:rPr>
          <w:rStyle w:val="Foreign"/>
        </w:rPr>
        <w:t>mahā/rāja</w:t>
      </w:r>
      <w:r>
        <w:t>)</w:t>
      </w:r>
    </w:p>
    <w:p w14:paraId="79664B7D" w14:textId="77777777">
      <w:pPr>
        <w:pStyle w:val="Lista2"/>
      </w:pPr>
      <w:r>
        <w:t xml:space="preserve">where an initial vowel is fused in sandhi to the vowel before the transition </w:t>
      </w:r>
      <w:r>
        <w:rPr>
          <w:noProof/>
        </w:rPr>
        <w:t>(</w:t>
      </w:r>
      <w:r>
        <w:t xml:space="preserve">e.g. </w:t>
      </w:r>
      <w:r>
        <w:rPr>
          <w:rStyle w:val="Foreign"/>
        </w:rPr>
        <w:t>tathā/pi</w:t>
      </w:r>
      <w:r>
        <w:t xml:space="preserve">, </w:t>
      </w:r>
      <w:r>
        <w:rPr>
          <w:rStyle w:val="Foreign"/>
        </w:rPr>
        <w:t>atre/yam</w:t>
      </w:r>
      <w:r>
        <w:t xml:space="preserve">, </w:t>
      </w:r>
      <w:r>
        <w:rPr>
          <w:rStyle w:val="Foreign"/>
        </w:rPr>
        <w:t>tatho/ktam</w:t>
      </w:r>
      <w:r>
        <w:t xml:space="preserve">; but not </w:t>
      </w:r>
      <w:r>
        <w:rPr>
          <w:rStyle w:val="Foreign"/>
        </w:rPr>
        <w:t>so/yam</w:t>
      </w:r>
      <w:r>
        <w:t>, where the sandhi does not involve vowel fusion)</w:t>
      </w:r>
    </w:p>
    <w:p w14:paraId="646AFBE2" w14:textId="40F84BBD">
      <w:pPr>
        <w:pStyle w:val="Lista2"/>
      </w:pPr>
      <w:r>
        <w:t>unlike the boundaries of intrinsic structure (§</w:t>
      </w:r>
      <w:r>
        <w:fldChar w:fldCharType="begin"/>
      </w:r>
      <w:r>
        <w:instrText xml:space="preserve"> REF _Ref225328264 \r \h </w:instrText>
      </w:r>
      <w:r>
        <w:fldChar w:fldCharType="separate"/>
      </w:r>
      <w:r>
        <w:t>3.2.4.1</w:t>
      </w:r>
      <w:r>
        <w:fldChar w:fldCharType="end"/>
      </w:r>
      <w:r>
        <w:t xml:space="preserve">), extrinsic structure can interrupt words which are separable in transliteration, when the separation of the source’s </w:t>
      </w:r>
      <w:r>
        <w:rPr>
          <w:rStyle w:val="Foreign"/>
        </w:rPr>
        <w:t>akṣara</w:t>
      </w:r>
      <w:r>
        <w:rPr>
          <w:rStyle w:val="Foreign"/>
          <w:i w:val="0"/>
          <w:iCs w:val="0"/>
        </w:rPr>
        <w:t>s</w:t>
      </w:r>
      <w:r>
        <w:t xml:space="preserve"> does not coincide with the structural transition because a final vowel has been reduced in sandhi to a semivowel</w:t>
      </w:r>
    </w:p>
    <w:p w14:paraId="774E0881" w14:textId="77777777">
      <w:pPr>
        <w:pStyle w:val="Lista3"/>
      </w:pPr>
      <w:r>
        <w:t xml:space="preserve">e.g. </w:t>
      </w:r>
      <w:r>
        <w:rPr>
          <w:rStyle w:val="Foreign"/>
        </w:rPr>
        <w:t>a/sty atra</w:t>
      </w:r>
      <w:r>
        <w:t xml:space="preserve">, </w:t>
      </w:r>
      <w:r>
        <w:rPr>
          <w:rStyle w:val="Foreign"/>
        </w:rPr>
        <w:t>asty a/tra</w:t>
      </w:r>
      <w:r>
        <w:t xml:space="preserve">, </w:t>
      </w:r>
      <w:r>
        <w:rPr>
          <w:rStyle w:val="Foreign"/>
        </w:rPr>
        <w:t>asā/v api</w:t>
      </w:r>
      <w:r>
        <w:t xml:space="preserve">, </w:t>
      </w:r>
      <w:r>
        <w:rPr>
          <w:rStyle w:val="Foreign"/>
        </w:rPr>
        <w:t>asāv a/pi</w:t>
      </w:r>
    </w:p>
    <w:p w14:paraId="07A9434A" w14:textId="77777777">
      <w:pPr>
        <w:pStyle w:val="Lista2"/>
      </w:pPr>
      <w:r>
        <w:t>a structural transition is understood to interrupt a word even if the word is also interrupted by another feature at the same spot, such as</w:t>
      </w:r>
    </w:p>
    <w:p w14:paraId="03871C44" w14:textId="5AA4798E">
      <w:pPr>
        <w:pStyle w:val="Lista3"/>
      </w:pPr>
      <w:r>
        <w:t xml:space="preserve">connector symbols </w:t>
      </w:r>
      <w:r>
        <w:rPr>
          <w:noProof/>
        </w:rPr>
        <w:t>(</w:t>
      </w:r>
      <w:r>
        <w:t>§</w:t>
      </w:r>
      <w:r>
        <w:fldChar w:fldCharType="begin"/>
      </w:r>
      <w:r>
        <w:instrText xml:space="preserve"> REF _Ref226038881 \r \h </w:instrText>
      </w:r>
      <w:r>
        <w:fldChar w:fldCharType="separate"/>
      </w:r>
      <w:r>
        <w:t>5.3.2.3</w:t>
      </w:r>
      <w:r>
        <w:fldChar w:fldCharType="end"/>
      </w:r>
      <w:r>
        <w:t>) before the transition</w:t>
      </w:r>
    </w:p>
    <w:p w14:paraId="715420E3" w14:textId="66516BBC">
      <w:pPr>
        <w:pStyle w:val="Lista3"/>
      </w:pPr>
      <w:r>
        <w:t xml:space="preserve">a space imposed by physical features </w:t>
      </w:r>
      <w:r>
        <w:rPr>
          <w:noProof/>
        </w:rPr>
        <w:t>(</w:t>
      </w:r>
      <w:r>
        <w:t>§</w:t>
      </w:r>
      <w:r>
        <w:fldChar w:fldCharType="begin"/>
      </w:r>
      <w:r>
        <w:instrText xml:space="preserve"> REF _Ref43985107 \w \h  \* MERGEFORMAT </w:instrText>
      </w:r>
      <w:r>
        <w:fldChar w:fldCharType="separate"/>
      </w:r>
      <w:r>
        <w:t>5.4.2.2</w:t>
      </w:r>
      <w:r>
        <w:fldChar w:fldCharType="end"/>
      </w:r>
      <w:r>
        <w:t>) before or after the transition</w:t>
      </w:r>
    </w:p>
    <w:p w14:paraId="437E898B" w14:textId="58DA2997">
      <w:pPr>
        <w:pStyle w:val="Lista3"/>
      </w:pPr>
      <w:r>
        <w:t xml:space="preserve">pre-modern deletion </w:t>
      </w:r>
      <w:r>
        <w:rPr>
          <w:noProof/>
        </w:rPr>
        <w:t>(</w:t>
      </w:r>
      <w:r>
        <w:t>§</w:t>
      </w:r>
      <w:r>
        <w:fldChar w:fldCharType="begin"/>
      </w:r>
      <w:r>
        <w:instrText xml:space="preserve"> REF _Ref43985171 \w \h  \* MERGEFORMAT </w:instrText>
      </w:r>
      <w:r>
        <w:fldChar w:fldCharType="separate"/>
      </w:r>
      <w:r>
        <w:t>5.5.1</w:t>
      </w:r>
      <w:r>
        <w:fldChar w:fldCharType="end"/>
      </w:r>
      <w:r>
        <w:t>) before or after the transition</w:t>
      </w:r>
    </w:p>
    <w:p w14:paraId="686F74AF" w14:textId="7705E130">
      <w:pPr>
        <w:pStyle w:val="Lista3"/>
      </w:pPr>
      <w:r>
        <w:t xml:space="preserve">a lacuna </w:t>
      </w:r>
      <w:r>
        <w:rPr>
          <w:noProof/>
        </w:rPr>
        <w:t>(</w:t>
      </w:r>
      <w:r>
        <w:t>§</w:t>
      </w:r>
      <w:r>
        <w:fldChar w:fldCharType="begin"/>
      </w:r>
      <w:r>
        <w:instrText xml:space="preserve"> REF _Ref228460110 \r \h </w:instrText>
      </w:r>
      <w:r>
        <w:fldChar w:fldCharType="separate"/>
      </w:r>
      <w:r>
        <w:t>6.5</w:t>
      </w:r>
      <w:r>
        <w:fldChar w:fldCharType="end"/>
      </w:r>
      <w:r>
        <w:t xml:space="preserve">) before or after the transition, provided that the original presence of an interrupted word can be inferred with fair likelihood </w:t>
      </w:r>
      <w:r>
        <w:rPr>
          <w:noProof/>
        </w:rPr>
        <w:t>(</w:t>
      </w:r>
      <w:r>
        <w:t>see §</w:t>
      </w:r>
      <w:r>
        <w:fldChar w:fldCharType="begin"/>
      </w:r>
      <w:r>
        <w:instrText xml:space="preserve"> REF _Ref182580157 \r \h </w:instrText>
      </w:r>
      <w:r>
        <w:fldChar w:fldCharType="separate"/>
      </w:r>
      <w:r>
        <w:t>4.3.2.2</w:t>
      </w:r>
      <w:r>
        <w:fldChar w:fldCharType="end"/>
      </w:r>
      <w:r>
        <w:t xml:space="preserve"> for details)</w:t>
      </w:r>
    </w:p>
    <w:p w14:paraId="16DC3997" w14:textId="77777777">
      <w:pPr>
        <w:pStyle w:val="Lista"/>
      </w:pPr>
      <w:r>
        <w:t xml:space="preserve">when a structural transition interrupts a word, then any and all milestone tags representing that transition must take the attribute </w:t>
      </w:r>
      <w:r>
        <w:rPr>
          <w:rStyle w:val="Codeattribute"/>
        </w:rPr>
        <w:t>@break</w:t>
      </w:r>
      <w:r>
        <w:t xml:space="preserve"> with the value </w:t>
      </w:r>
      <w:r>
        <w:rPr>
          <w:rStyle w:val="Codevalue"/>
        </w:rPr>
        <w:t>"no"</w:t>
      </w:r>
      <w:r>
        <w:t xml:space="preserve"> to encode the fact that the structural break does not also signify a break in the text</w:t>
      </w:r>
    </w:p>
    <w:p w14:paraId="199A0B6F" w14:textId="5A01202A">
      <w:pPr>
        <w:pStyle w:val="Lista2"/>
      </w:pPr>
      <w:r>
        <w:t xml:space="preserve">if several kinds of milestone occur together at such a point, each of them must be redundantly encoded with </w:t>
      </w:r>
      <w:r>
        <w:rPr>
          <w:rStyle w:val="Codeattribute"/>
        </w:rPr>
        <w:t>@break=</w:t>
      </w:r>
      <w:r>
        <w:rPr>
          <w:rStyle w:val="Codevalue"/>
        </w:rPr>
        <w:t>"no"</w:t>
      </w:r>
      <w:r>
        <w:t xml:space="preserve">, as in </w:t>
      </w:r>
      <w:r>
        <w:fldChar w:fldCharType="begin"/>
      </w:r>
      <w:r>
        <w:instrText xml:space="preserve"> REF _Ref182316564 \h </w:instrText>
      </w:r>
      <w:r>
        <w:fldChar w:fldCharType="separate"/>
      </w:r>
      <w:r>
        <w:t xml:space="preserve">Exhibit </w:t>
      </w:r>
      <w:r>
        <w:rPr>
          <w:noProof/>
        </w:rPr>
        <w:t>4.3</w:t>
      </w:r>
      <w:r>
        <w:t>.</w:t>
      </w:r>
      <w:r>
        <w:rPr>
          <w:noProof/>
        </w:rPr>
        <w:t>A</w:t>
      </w:r>
      <w:r>
        <w:fldChar w:fldCharType="end"/>
      </w:r>
    </w:p>
    <w:p w14:paraId="45B54FEE" w14:textId="77777777">
      <w:pPr>
        <w:pStyle w:val="Lista"/>
      </w:pPr>
      <w:r>
        <w:t xml:space="preserve">occasionally, a partition can result in the splitting of an atomic </w:t>
      </w:r>
      <w:r>
        <w:rPr>
          <w:rStyle w:val="Foreign"/>
        </w:rPr>
        <w:t>akṣara</w:t>
      </w:r>
      <w:r>
        <w:t xml:space="preserve">, in which case </w:t>
      </w:r>
      <w:r>
        <w:rPr>
          <w:rStyle w:val="Codeattribute"/>
        </w:rPr>
        <w:t>@break=</w:t>
      </w:r>
      <w:r>
        <w:rPr>
          <w:rStyle w:val="Codevalue"/>
        </w:rPr>
        <w:t>"no"</w:t>
      </w:r>
      <w:r>
        <w:t xml:space="preserve"> is of course also applicable; in addition,</w:t>
      </w:r>
    </w:p>
    <w:p w14:paraId="57C8368D" w14:textId="2BF6145D">
      <w:pPr>
        <w:pStyle w:val="Lista2"/>
      </w:pPr>
      <w:r>
        <w:rPr>
          <w:rStyle w:val="Foreign"/>
        </w:rPr>
        <w:t>akṣara</w:t>
      </w:r>
      <w:r>
        <w:t>s deliberately divided by the engraver into two parts across a physical feature such as a line break are to be handled as per §</w:t>
      </w:r>
      <w:r>
        <w:fldChar w:fldCharType="begin"/>
      </w:r>
      <w:r>
        <w:instrText xml:space="preserve"> REF _Ref43987165 \r \h </w:instrText>
      </w:r>
      <w:r>
        <w:fldChar w:fldCharType="separate"/>
      </w:r>
      <w:r>
        <w:t>5.1.4</w:t>
      </w:r>
      <w:r>
        <w:fldChar w:fldCharType="end"/>
      </w:r>
    </w:p>
    <w:p w14:paraId="36E197F0" w14:textId="06937422">
      <w:pPr>
        <w:pStyle w:val="Lista2"/>
      </w:pPr>
      <w:r>
        <w:rPr>
          <w:rStyle w:val="Foreign"/>
        </w:rPr>
        <w:t>akṣara</w:t>
      </w:r>
      <w:r>
        <w:t>s inadvertently split by a gridlike feature such as fragmentation are to be handled as per §</w:t>
      </w:r>
      <w:r>
        <w:fldChar w:fldCharType="begin"/>
      </w:r>
      <w:r>
        <w:instrText xml:space="preserve"> REF _Ref182813737 \r \h </w:instrText>
      </w:r>
      <w:r>
        <w:fldChar w:fldCharType="separate"/>
      </w:r>
      <w:r>
        <w:t>4.7.6.1</w:t>
      </w:r>
      <w:r>
        <w:fldChar w:fldCharType="end"/>
      </w:r>
    </w:p>
    <w:p w14:paraId="078EAE6E" w14:textId="77777777">
      <w:pPr>
        <w:pStyle w:val="Lista"/>
      </w:pPr>
      <w:r>
        <w:t xml:space="preserve">when you have used </w:t>
      </w:r>
      <w:r>
        <w:rPr>
          <w:rStyle w:val="Codeattribute"/>
        </w:rPr>
        <w:t>@break=</w:t>
      </w:r>
      <w:r>
        <w:rPr>
          <w:rStyle w:val="Codevalue"/>
        </w:rPr>
        <w:t>"no"</w:t>
      </w:r>
      <w:r>
        <w:t xml:space="preserve"> on a milestone element,</w:t>
      </w:r>
    </w:p>
    <w:p w14:paraId="07C65615" w14:textId="28EFD584">
      <w:pPr>
        <w:pStyle w:val="Lista2"/>
      </w:pPr>
      <w:r>
        <w:t xml:space="preserve">do not start a new line of code or add a space before the milestone tag </w:t>
      </w:r>
      <w:r>
        <w:rPr>
          <w:noProof/>
        </w:rPr>
        <w:t>(</w:t>
      </w:r>
      <w:r>
        <w:t>see also §</w:t>
      </w:r>
      <w:r>
        <w:fldChar w:fldCharType="begin"/>
      </w:r>
      <w:r>
        <w:instrText xml:space="preserve"> REF _Ref225253138 \r \h </w:instrText>
      </w:r>
      <w:r>
        <w:fldChar w:fldCharType="separate"/>
      </w:r>
      <w:r>
        <w:t>4.3.3</w:t>
      </w:r>
      <w:r>
        <w:fldChar w:fldCharType="end"/>
      </w:r>
      <w:r>
        <w:t>)</w:t>
      </w:r>
    </w:p>
    <w:p w14:paraId="5EE105DF" w14:textId="77777777">
      <w:pPr>
        <w:pStyle w:val="Lista2"/>
      </w:pPr>
      <w:r>
        <w:t>never add a hyphen before the milestone tag to indicate that it breaks a word (this is to be indicated only in the encoding)</w:t>
      </w:r>
    </w:p>
    <w:p w14:paraId="79AB1639" w14:textId="77777777">
      <w:pPr>
        <w:pStyle w:val="Lista3"/>
      </w:pPr>
      <w:r>
        <w:t>however, if you use editorial hyphens for the segmentation of compounds (TG §7.3.5), then</w:t>
      </w:r>
    </w:p>
    <w:p w14:paraId="33807D39" w14:textId="77777777">
      <w:pPr>
        <w:pStyle w:val="Lista4"/>
      </w:pPr>
      <w:r>
        <w:t>boundaries marked by editorial hyphens must still be treated as being inside words</w:t>
      </w:r>
    </w:p>
    <w:p w14:paraId="6350B890" w14:textId="7A89956C">
      <w:pPr>
        <w:pStyle w:val="Lista4"/>
      </w:pPr>
      <w:r>
        <w:t>as per §</w:t>
      </w:r>
      <w:r>
        <w:fldChar w:fldCharType="begin"/>
      </w:r>
      <w:r>
        <w:instrText xml:space="preserve"> REF _Ref232156818 \r \h </w:instrText>
      </w:r>
      <w:r>
        <w:fldChar w:fldCharType="separate"/>
      </w:r>
      <w:r>
        <w:t>7.8.2</w:t>
      </w:r>
      <w:r>
        <w:fldChar w:fldCharType="end"/>
      </w:r>
      <w:r>
        <w:t xml:space="preserve">, the editorial hyphen must be placed after the milestone rather than before it, as in the last line of </w:t>
      </w:r>
      <w:r>
        <w:fldChar w:fldCharType="begin"/>
      </w:r>
      <w:r>
        <w:instrText xml:space="preserve"> REF _Ref182314695 \h </w:instrText>
      </w:r>
      <w:r>
        <w:fldChar w:fldCharType="separate"/>
      </w:r>
      <w:r>
        <w:t xml:space="preserve">Exhibit </w:t>
      </w:r>
      <w:r>
        <w:rPr>
          <w:noProof/>
        </w:rPr>
        <w:t>4.3</w:t>
      </w:r>
      <w:r>
        <w:t>.</w:t>
      </w:r>
      <w:r>
        <w:rPr>
          <w:noProof/>
        </w:rPr>
        <w:t>D</w:t>
      </w:r>
      <w:r>
        <w:fldChar w:fldCharType="end"/>
      </w:r>
    </w:p>
    <w:tbl>
      <w:tblPr>
        <w:tblStyle w:val="CodeSampleTable"/>
        <w:tblW w:w="5000" w:type="pct"/>
        <w:tblLook w:val="04A0" w:firstRow="1" w:lastRow="0" w:firstColumn="1" w:lastColumn="0" w:noHBand="0" w:noVBand="1"/>
      </w:tblPr>
      <w:tblGrid>
        <w:gridCol w:w="9628"/>
      </w:tblGrid>
      <w:tr w14:paraId="72767A68"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AC569BE" w14:textId="5A2529F8">
            <w:pPr>
              <w:pStyle w:val="Kpalrs"/>
            </w:pPr>
            <w:bookmarkStart w:id="209" w:name="_Ref182316564"/>
            <w:r>
              <w:lastRenderedPageBreak/>
              <w:t xml:space="preserve">Exhibit </w:t>
            </w:r>
            <w:fldSimple w:instr=" STYLEREF 2 \s ">
              <w:r>
                <w:rPr>
                  <w:noProof/>
                </w:rPr>
                <w:t>4.3</w:t>
              </w:r>
            </w:fldSimple>
            <w:r>
              <w:t>.</w:t>
            </w:r>
            <w:fldSimple w:instr=" SEQ Exhibit \* ALPHABETIC \s 2 ">
              <w:r>
                <w:rPr>
                  <w:noProof/>
                </w:rPr>
                <w:t>A</w:t>
              </w:r>
            </w:fldSimple>
            <w:bookmarkEnd w:id="209"/>
            <w:r>
              <w:t>: multiple milestones interrupting a word</w:t>
            </w:r>
          </w:p>
        </w:tc>
      </w:tr>
      <w:tr w14:paraId="40C2AFAB" w14:textId="77777777">
        <w:tc>
          <w:tcPr>
            <w:tcW w:w="5000" w:type="pct"/>
          </w:tcPr>
          <w:p w14:paraId="4642E68F" w14:textId="77777777">
            <w:pPr>
              <w:pStyle w:val="CodeParagraph"/>
              <w:rPr>
                <w:rStyle w:val="Code"/>
              </w:rPr>
            </w:pPr>
            <w:r>
              <w:rPr>
                <w:rStyle w:val="Codetext"/>
              </w:rPr>
              <w:t>...</w:t>
            </w:r>
            <w:r>
              <w:t xml:space="preserve"> </w:t>
            </w:r>
            <w:r>
              <w:rPr>
                <w:rStyle w:val="Codetext"/>
              </w:rPr>
              <w:t>tad viditvā yathocitaṁ bhāga-bhoga</w:t>
            </w:r>
            <w:r>
              <w:rPr>
                <w:rStyle w:val="Code"/>
              </w:rPr>
              <w:t xml:space="preserve">&lt;pb </w:t>
            </w:r>
          </w:p>
          <w:p w14:paraId="0F93E2AE" w14:textId="77777777">
            <w:pPr>
              <w:pStyle w:val="CodeParagraph"/>
              <w:rPr>
                <w:rStyle w:val="Code"/>
              </w:rPr>
            </w:pPr>
            <w:r>
              <w:rPr>
                <w:rStyle w:val="Codeattribute"/>
              </w:rPr>
              <w:t>n=</w:t>
            </w:r>
            <w:r>
              <w:rPr>
                <w:rStyle w:val="Codevalue"/>
              </w:rPr>
              <w:t>"3r"</w:t>
            </w:r>
            <w:r>
              <w:rPr>
                <w:rStyle w:val="Code"/>
              </w:rPr>
              <w:t xml:space="preserve"> </w:t>
            </w:r>
            <w:r>
              <w:rPr>
                <w:rStyle w:val="Codeattribute"/>
              </w:rPr>
              <w:t>break=</w:t>
            </w:r>
            <w:r>
              <w:rPr>
                <w:rStyle w:val="Codevalue"/>
              </w:rPr>
              <w:t>"no"</w:t>
            </w:r>
            <w:r>
              <w:rPr>
                <w:rStyle w:val="Code"/>
              </w:rPr>
              <w:t xml:space="preserve">/&gt;&lt;lb </w:t>
            </w:r>
          </w:p>
          <w:p w14:paraId="376BE1D0" w14:textId="77777777">
            <w:pPr>
              <w:pStyle w:val="CodeParagraph"/>
              <w:rPr>
                <w:rFonts w:ascii="Consolas" w:hAnsi="Consolas" w:cs="Consolas"/>
                <w:noProof/>
                <w:color w:val="000000" w:themeColor="text1"/>
                <w:shd w:val="clear" w:color="auto" w:fill="F2F2F2" w:themeFill="background1" w:themeFillShade="F2"/>
              </w:rPr>
            </w:pPr>
            <w:r>
              <w:rPr>
                <w:rStyle w:val="Codeattribute"/>
              </w:rPr>
              <w:t>n=</w:t>
            </w:r>
            <w:r>
              <w:rPr>
                <w:rStyle w:val="Codevalue"/>
              </w:rPr>
              <w:t>"19"</w:t>
            </w:r>
            <w:r>
              <w:rPr>
                <w:rStyle w:val="Code"/>
              </w:rPr>
              <w:t xml:space="preserve"> </w:t>
            </w:r>
            <w:r>
              <w:rPr>
                <w:rStyle w:val="Codeattribute"/>
              </w:rPr>
              <w:t>break=</w:t>
            </w:r>
            <w:r>
              <w:rPr>
                <w:rStyle w:val="Codevalue"/>
              </w:rPr>
              <w:t>"no"</w:t>
            </w:r>
            <w:r>
              <w:rPr>
                <w:rStyle w:val="Code"/>
              </w:rPr>
              <w:t>/&gt;</w:t>
            </w:r>
            <w:r>
              <w:rPr>
                <w:rStyle w:val="Codetext"/>
              </w:rPr>
              <w:t>m upanayantaḥ sukhaṁ prativasatha...</w:t>
            </w:r>
          </w:p>
        </w:tc>
      </w:tr>
    </w:tbl>
    <w:p w14:paraId="07DA1B6D" w14:textId="77777777">
      <w:pPr>
        <w:pStyle w:val="Cmsor4"/>
      </w:pPr>
      <w:bookmarkStart w:id="210" w:name="_Ref182318132"/>
      <w:bookmarkStart w:id="211" w:name="_Ref182318133"/>
      <w:bookmarkStart w:id="212" w:name="_Ref182380522"/>
      <w:bookmarkStart w:id="213" w:name="_Ref182580157"/>
      <w:bookmarkStart w:id="214" w:name="_Ref182580257"/>
      <w:r>
        <w:t>Judging word interruption in lacunose text</w:t>
      </w:r>
      <w:bookmarkEnd w:id="210"/>
      <w:bookmarkEnd w:id="211"/>
      <w:bookmarkEnd w:id="212"/>
      <w:bookmarkEnd w:id="213"/>
      <w:bookmarkEnd w:id="214"/>
    </w:p>
    <w:p w14:paraId="555AD214" w14:textId="77777777">
      <w:pPr>
        <w:pStyle w:val="Lista"/>
      </w:pPr>
      <w:r>
        <w:t xml:space="preserve">when text before or after a milestone is lost, badly damaged, or unintelligible for some other reason, then it may not be possible to decide for certain whether the milestone interrupts a word </w:t>
      </w:r>
    </w:p>
    <w:p w14:paraId="183A2CEC" w14:textId="77777777">
      <w:pPr>
        <w:pStyle w:val="Lista2"/>
      </w:pPr>
      <w:r>
        <w:t xml:space="preserve">in such cases, use </w:t>
      </w:r>
      <w:r>
        <w:rPr>
          <w:rStyle w:val="Codeattribute"/>
        </w:rPr>
        <w:t>@break</w:t>
      </w:r>
      <w:r>
        <w:rPr>
          <w:rStyle w:val="Code"/>
        </w:rPr>
        <w:t>=</w:t>
      </w:r>
      <w:r>
        <w:rPr>
          <w:rStyle w:val="Codevalue"/>
        </w:rPr>
        <w:t>"no"</w:t>
      </w:r>
      <w:r>
        <w:t xml:space="preserve"> when you are reasonably certain that an interruption is present</w:t>
      </w:r>
    </w:p>
    <w:p w14:paraId="0ADA238B" w14:textId="77777777">
      <w:pPr>
        <w:pStyle w:val="Lista2"/>
      </w:pPr>
      <w:r>
        <w:t xml:space="preserve">if you are uncertain, omit </w:t>
      </w:r>
      <w:r>
        <w:rPr>
          <w:rStyle w:val="Codeattribute"/>
        </w:rPr>
        <w:t>@break</w:t>
      </w:r>
      <w:r>
        <w:rPr>
          <w:rStyle w:val="Code"/>
        </w:rPr>
        <w:t>=</w:t>
      </w:r>
      <w:r>
        <w:rPr>
          <w:rStyle w:val="Codevalue"/>
        </w:rPr>
        <w:t>"no"</w:t>
      </w:r>
      <w:r>
        <w:t xml:space="preserve"> (thus making no explicit assertion) even if there is a chance that a word may be interrupted</w:t>
      </w:r>
    </w:p>
    <w:p w14:paraId="6D923BBF" w14:textId="77777777">
      <w:pPr>
        <w:pStyle w:val="Lista2"/>
      </w:pPr>
      <w:r>
        <w:t>observing the following guidelines</w:t>
      </w:r>
    </w:p>
    <w:p w14:paraId="1E0B0DB1" w14:textId="77777777">
      <w:pPr>
        <w:pStyle w:val="Lista"/>
      </w:pPr>
      <w:r>
        <w:t xml:space="preserve">when there is a </w:t>
      </w:r>
      <w:r>
        <w:rPr>
          <w:b/>
          <w:bCs/>
        </w:rPr>
        <w:t>lacuna before the transition</w:t>
      </w:r>
      <w:r>
        <w:t>,</w:t>
      </w:r>
    </w:p>
    <w:p w14:paraId="29190A28" w14:textId="77777777">
      <w:pPr>
        <w:pStyle w:val="Lista2"/>
      </w:pPr>
      <w:r>
        <w:t xml:space="preserve">use </w:t>
      </w:r>
      <w:r>
        <w:rPr>
          <w:rStyle w:val="Codeattribute"/>
        </w:rPr>
        <w:t>@break</w:t>
      </w:r>
      <w:r>
        <w:rPr>
          <w:rStyle w:val="Code"/>
        </w:rPr>
        <w:t>=</w:t>
      </w:r>
      <w:r>
        <w:rPr>
          <w:rStyle w:val="Codevalue"/>
        </w:rPr>
        <w:t>"no"</w:t>
      </w:r>
      <w:r>
        <w:t xml:space="preserve"> if the extant text begins with an incomplete indivisible morpheme or with the final part of what you are certain was a prefixed or compound word</w:t>
      </w:r>
    </w:p>
    <w:p w14:paraId="40A7659E" w14:textId="77777777">
      <w:pPr>
        <w:pStyle w:val="Lista2"/>
      </w:pPr>
      <w:r>
        <w:t xml:space="preserve">but do not use </w:t>
      </w:r>
      <w:r>
        <w:rPr>
          <w:rStyle w:val="Codeattribute"/>
        </w:rPr>
        <w:t>@break</w:t>
      </w:r>
      <w:r>
        <w:rPr>
          <w:rStyle w:val="Code"/>
        </w:rPr>
        <w:t>=</w:t>
      </w:r>
      <w:r>
        <w:rPr>
          <w:rStyle w:val="Codevalue"/>
        </w:rPr>
        <w:t>"no"</w:t>
      </w:r>
      <w:r>
        <w:t xml:space="preserve"> if the extant text is intelligible </w:t>
      </w:r>
      <w:r>
        <w:rPr>
          <w:noProof/>
        </w:rPr>
        <w:t>(</w:t>
      </w:r>
      <w:r>
        <w:t>and plausible in context) as it is, even if there is some chance that the previous line contained a prefix or a compound member attached to the first extant word</w:t>
      </w:r>
    </w:p>
    <w:p w14:paraId="70F22401" w14:textId="77777777">
      <w:pPr>
        <w:pStyle w:val="Lista"/>
      </w:pPr>
      <w:r>
        <w:t xml:space="preserve">when there is a </w:t>
      </w:r>
      <w:r>
        <w:rPr>
          <w:b/>
          <w:bCs/>
        </w:rPr>
        <w:t>lacuna after the transition</w:t>
      </w:r>
      <w:r>
        <w:t>,</w:t>
      </w:r>
    </w:p>
    <w:p w14:paraId="145C30C1" w14:textId="77777777">
      <w:pPr>
        <w:pStyle w:val="Lista2"/>
      </w:pPr>
      <w:r>
        <w:t xml:space="preserve">use </w:t>
      </w:r>
      <w:r>
        <w:rPr>
          <w:rStyle w:val="Codeattribute"/>
        </w:rPr>
        <w:t>@break</w:t>
      </w:r>
      <w:r>
        <w:rPr>
          <w:rStyle w:val="Code"/>
        </w:rPr>
        <w:t>=</w:t>
      </w:r>
      <w:r>
        <w:rPr>
          <w:rStyle w:val="Codevalue"/>
        </w:rPr>
        <w:t>"no"</w:t>
      </w:r>
      <w:r>
        <w:t xml:space="preserve"> if the end of the extant text is clearly not the end of an independent word</w:t>
      </w:r>
    </w:p>
    <w:p w14:paraId="2FC70F4A" w14:textId="77777777">
      <w:pPr>
        <w:pStyle w:val="Lista2"/>
      </w:pPr>
      <w:r>
        <w:t xml:space="preserve">but do not use </w:t>
      </w:r>
      <w:r>
        <w:rPr>
          <w:rStyle w:val="Codeattribute"/>
        </w:rPr>
        <w:t>@break</w:t>
      </w:r>
      <w:r>
        <w:rPr>
          <w:rStyle w:val="Code"/>
        </w:rPr>
        <w:t>=</w:t>
      </w:r>
      <w:r>
        <w:rPr>
          <w:rStyle w:val="Codevalue"/>
        </w:rPr>
        <w:t>"no"</w:t>
      </w:r>
      <w:r>
        <w:t xml:space="preserve"> if the end of the extant text may be the end of an independent word, even if there is a chance that this word continued in the current line</w:t>
      </w:r>
    </w:p>
    <w:p w14:paraId="02A2660C" w14:textId="77777777">
      <w:pPr>
        <w:pStyle w:val="Lista"/>
      </w:pPr>
      <w:r>
        <w:t xml:space="preserve">when there is a </w:t>
      </w:r>
      <w:r>
        <w:rPr>
          <w:b/>
          <w:bCs/>
        </w:rPr>
        <w:t>lacuna both before and after</w:t>
      </w:r>
      <w:r>
        <w:t xml:space="preserve"> the spot where a structural milestone is (expected to be) located, then in addition to uncertainty as to whether a word is interrupted, it may not be possible to determine the exact number of characters lost on either side of the transition</w:t>
      </w:r>
    </w:p>
    <w:p w14:paraId="2B319DDF" w14:textId="3F3F98D9">
      <w:pPr>
        <w:pStyle w:val="Lista2"/>
      </w:pPr>
      <w:r>
        <w:t xml:space="preserve">if the lacuna is not restored, do not use </w:t>
      </w:r>
      <w:r>
        <w:rPr>
          <w:rStyle w:val="Codeattribute"/>
        </w:rPr>
        <w:t>@break</w:t>
      </w:r>
      <w:r>
        <w:rPr>
          <w:rStyle w:val="Code"/>
        </w:rPr>
        <w:t>=</w:t>
      </w:r>
      <w:r>
        <w:rPr>
          <w:rStyle w:val="Codevalue"/>
        </w:rPr>
        <w:t>"no"</w:t>
      </w:r>
      <w:r>
        <w:t xml:space="preserve"> (which would assert that a word has been split by the milestone) and simply encode gaps </w:t>
      </w:r>
      <w:r>
        <w:rPr>
          <w:noProof/>
        </w:rPr>
        <w:t>(</w:t>
      </w:r>
      <w:r>
        <w:t>§</w:t>
      </w:r>
      <w:r>
        <w:fldChar w:fldCharType="begin"/>
      </w:r>
      <w:r>
        <w:instrText xml:space="preserve"> REF _Ref228460110 \r \h </w:instrText>
      </w:r>
      <w:r>
        <w:fldChar w:fldCharType="separate"/>
      </w:r>
      <w:r>
        <w:t>6.5</w:t>
      </w:r>
      <w:r>
        <w:fldChar w:fldCharType="end"/>
      </w:r>
      <w:r>
        <w:t>) of unknown or uncertain length on both sides of the milestone tag</w:t>
      </w:r>
    </w:p>
    <w:p w14:paraId="298240BE" w14:textId="38355341">
      <w:pPr>
        <w:pStyle w:val="Lista2"/>
      </w:pPr>
      <w:r>
        <w:t xml:space="preserve">if you supply the lost text </w:t>
      </w:r>
      <w:r>
        <w:rPr>
          <w:noProof/>
        </w:rPr>
        <w:t>(</w:t>
      </w:r>
      <w:r>
        <w:t>as per §</w:t>
      </w:r>
      <w:r>
        <w:fldChar w:fldCharType="begin"/>
      </w:r>
      <w:r>
        <w:instrText xml:space="preserve"> REF _Ref228459751 \r \h </w:instrText>
      </w:r>
      <w:r>
        <w:fldChar w:fldCharType="separate"/>
      </w:r>
      <w:r>
        <w:t>6.4</w:t>
      </w:r>
      <w:r>
        <w:fldChar w:fldCharType="end"/>
      </w:r>
      <w:r>
        <w:t xml:space="preserve">), create the milestone tag at its most likely position vis-à-vis the text and use or omit </w:t>
      </w:r>
      <w:r>
        <w:rPr>
          <w:rStyle w:val="Codeattribute"/>
        </w:rPr>
        <w:t>@break</w:t>
      </w:r>
      <w:r>
        <w:rPr>
          <w:rStyle w:val="Code"/>
        </w:rPr>
        <w:t>=</w:t>
      </w:r>
      <w:r>
        <w:rPr>
          <w:rStyle w:val="Codevalue"/>
        </w:rPr>
        <w:t>"no"</w:t>
      </w:r>
      <w:r>
        <w:t xml:space="preserve"> as dictated by the restored text</w:t>
      </w:r>
    </w:p>
    <w:p w14:paraId="04FA8382" w14:textId="77777777">
      <w:pPr>
        <w:pStyle w:val="Lista3"/>
      </w:pPr>
      <w:r>
        <w:t>if you feel that the uncertainty of this positioning matters, mention it in your annotation</w:t>
      </w:r>
      <w:r>
        <w:rPr>
          <w:rStyle w:val="Lbjegyzet-hivatkozs"/>
        </w:rPr>
        <w:footnoteReference w:id="15"/>
      </w:r>
    </w:p>
    <w:p w14:paraId="1993B479" w14:textId="77777777">
      <w:pPr>
        <w:pStyle w:val="Cmsor3"/>
      </w:pPr>
      <w:bookmarkStart w:id="215" w:name="_Ref225253138"/>
      <w:bookmarkStart w:id="216" w:name="_Ref225429145"/>
      <w:bookmarkStart w:id="217" w:name="_Toc243922619"/>
      <w:r>
        <w:t>Good encoding practice for milestone elements</w:t>
      </w:r>
      <w:bookmarkEnd w:id="215"/>
      <w:bookmarkEnd w:id="217"/>
    </w:p>
    <w:p w14:paraId="527F39CE" w14:textId="48A3F205">
      <w:r>
        <w:t>The milestones representing extrinsic structure are on the same hierarchical level as the edited text. As a result, situations where milestones coincide with breaks in intrinsic structure demand extra attention, as discussed in §</w:t>
      </w:r>
      <w:r>
        <w:fldChar w:fldCharType="begin"/>
      </w:r>
      <w:r>
        <w:instrText xml:space="preserve"> REF _Ref225503257 \r \h </w:instrText>
      </w:r>
      <w:r>
        <w:fldChar w:fldCharType="separate"/>
      </w:r>
      <w:r>
        <w:t>4.3.3.1</w:t>
      </w:r>
      <w:r>
        <w:fldChar w:fldCharType="end"/>
      </w:r>
      <w:r>
        <w:t xml:space="preserve">. When phrase-level elements wrap a chunk of text that contains a milestone, it is theoretically correct to include the milestone within the phrase-level element. However, in actual practice this is not permitted in EpiDoc for </w:t>
      </w:r>
      <w:r>
        <w:rPr>
          <w:rStyle w:val="Code"/>
        </w:rPr>
        <w:t>&lt;unclear&gt;</w:t>
      </w:r>
      <w:r>
        <w:t xml:space="preserve"> elements (§</w:t>
      </w:r>
      <w:r>
        <w:fldChar w:fldCharType="begin"/>
      </w:r>
      <w:r>
        <w:instrText xml:space="preserve"> REF _Ref232089485 \r \h </w:instrText>
      </w:r>
      <w:r>
        <w:fldChar w:fldCharType="separate"/>
      </w:r>
      <w:r>
        <w:t>6.3.1</w:t>
      </w:r>
      <w:r>
        <w:fldChar w:fldCharType="end"/>
      </w:r>
      <w:r>
        <w:t>) and can lead to undesirable complications in other cases, so we generally prefer to split phrase-level elements into two parts, before and after the milestone. For further details on the hierarchy of encoding and its practical implications, see §</w:t>
      </w:r>
      <w:r>
        <w:fldChar w:fldCharType="begin"/>
      </w:r>
      <w:r>
        <w:instrText xml:space="preserve"> REF _Ref43978660 \r \h </w:instrText>
      </w:r>
      <w:r>
        <w:fldChar w:fldCharType="separate"/>
      </w:r>
      <w:r>
        <w:t>16.2</w:t>
      </w:r>
      <w:r>
        <w:fldChar w:fldCharType="end"/>
      </w:r>
      <w:r>
        <w:t>.</w:t>
      </w:r>
    </w:p>
    <w:p w14:paraId="75D98859" w14:textId="579333E3">
      <w:pPr>
        <w:pStyle w:val="Normlbehzs"/>
      </w:pPr>
      <w:r>
        <w:t xml:space="preserve">Milestone elements always mark the </w:t>
      </w:r>
      <w:r>
        <w:rPr>
          <w:i/>
          <w:iCs/>
        </w:rPr>
        <w:t>beginning</w:t>
      </w:r>
      <w:r>
        <w:t xml:space="preserve"> of a unit of extrinsic structure, and must accordingly be created for the start of the first extrinsic unit of any kind in a document (</w:t>
      </w:r>
      <w:r>
        <w:fldChar w:fldCharType="begin"/>
      </w:r>
      <w:r>
        <w:instrText xml:space="preserve"> REF _Ref182313052 \h </w:instrText>
      </w:r>
      <w:r>
        <w:fldChar w:fldCharType="separate"/>
      </w:r>
      <w:r>
        <w:t xml:space="preserve">Exhibit </w:t>
      </w:r>
      <w:r>
        <w:rPr>
          <w:noProof/>
        </w:rPr>
        <w:t>4.3</w:t>
      </w:r>
      <w:r>
        <w:t>.</w:t>
      </w:r>
      <w:r>
        <w:rPr>
          <w:noProof/>
        </w:rPr>
        <w:t>B</w:t>
      </w:r>
      <w:r>
        <w:fldChar w:fldCharType="end"/>
      </w:r>
      <w:r>
        <w:t xml:space="preserve">), not only for transitions to subsequent units. In DHARMA practice, line beginnings are mandatorily encoded, even for editions (or textpart divisions) consisting of only a single line. Other structural milestones are not mandatory: an inscription comprised of a single field is not perceived to be a page. </w:t>
      </w:r>
    </w:p>
    <w:p w14:paraId="3550A97B" w14:textId="7EA33979">
      <w:pPr>
        <w:pStyle w:val="Normlbehzs"/>
      </w:pPr>
      <w:r>
        <w:t>In a document with a hierarchical extrinsic structure, a transition point on a higher tier is always</w:t>
      </w:r>
      <w:r>
        <w:rPr>
          <w:rStyle w:val="Lbjegyzet-hivatkozs"/>
        </w:rPr>
        <w:footnoteReference w:id="16"/>
      </w:r>
      <w:r>
        <w:t xml:space="preserve"> accompanied by a transition on the lower tier(s); for instance, whenever a page begins, a new line begins </w:t>
      </w:r>
      <w:r>
        <w:lastRenderedPageBreak/>
        <w:t xml:space="preserve">too. At every such point, every applicable milestone must be explicitly encoded, in an order of decreasing hierarchical level, as in </w:t>
      </w:r>
      <w:r>
        <w:fldChar w:fldCharType="begin"/>
      </w:r>
      <w:r>
        <w:instrText xml:space="preserve"> REF _Ref182313052 \h </w:instrText>
      </w:r>
      <w:r>
        <w:fldChar w:fldCharType="separate"/>
      </w:r>
      <w:r>
        <w:t xml:space="preserve">Exhibit </w:t>
      </w:r>
      <w:r>
        <w:rPr>
          <w:noProof/>
        </w:rPr>
        <w:t>4.3</w:t>
      </w:r>
      <w:r>
        <w:t>.</w:t>
      </w:r>
      <w:r>
        <w:rPr>
          <w:noProof/>
        </w:rPr>
        <w:t>B</w:t>
      </w:r>
      <w:r>
        <w:fldChar w:fldCharType="end"/>
      </w:r>
      <w:r>
        <w:t>.</w:t>
      </w:r>
    </w:p>
    <w:p w14:paraId="7282A3EE" w14:textId="77777777">
      <w:pPr>
        <w:pStyle w:val="Cmsor4"/>
      </w:pPr>
      <w:bookmarkStart w:id="218" w:name="_Ref225502709"/>
      <w:bookmarkStart w:id="219" w:name="_Ref225502994"/>
      <w:bookmarkStart w:id="220" w:name="_Ref225503257"/>
      <w:r>
        <w:t>Milestones and block-level elements</w:t>
      </w:r>
      <w:bookmarkEnd w:id="218"/>
      <w:bookmarkEnd w:id="219"/>
      <w:bookmarkEnd w:id="220"/>
    </w:p>
    <w:p w14:paraId="18D7CFE8" w14:textId="0CBBF9D9">
      <w:bookmarkStart w:id="221" w:name="_Ref182316248"/>
      <w:r>
        <w:t>Milestone elements must be inside rather than outside block-level elements representing intrinsic structure (§</w:t>
      </w:r>
      <w:r>
        <w:fldChar w:fldCharType="begin"/>
      </w:r>
      <w:r>
        <w:instrText xml:space="preserve"> REF _Ref225500627 \r \h </w:instrText>
      </w:r>
      <w:r>
        <w:fldChar w:fldCharType="separate"/>
      </w:r>
      <w:r>
        <w:t>3.2</w:t>
      </w:r>
      <w:r>
        <w:fldChar w:fldCharType="end"/>
      </w:r>
      <w:r>
        <w:t xml:space="preserve">). Achieving this sometimes requires counterintuitive encoding logic. In the hierarchy of intrinsic structure represented solely with block-level elements, lower-level units are always contained within higher-level units. Likewise, in the hierarchy of extrinsic structure represented with milestones, higher-level milestones precede lower-level ones; for example, page beginnings precede line beginnings. However, when extrinsic and intrinsic boundaries coincide, such as when a stanza begins at the beginning of a physical line, the intuitive assumption may be to encode the milestone representing the extrinsic boundary (e.g. a line beginning) before the start-tag representing the intrinsic boundary (e.g. for a stanza), because by common sense, the stanza begins “inside” the line. Often, however, the opposite is true: many extrinsic boundaries fall inside intrinsic units. In order to make our encoding consistent, DHARMA editions therefore </w:t>
      </w:r>
      <w:r>
        <w:rPr>
          <w:i/>
          <w:iCs/>
        </w:rPr>
        <w:t>always</w:t>
      </w:r>
      <w:r>
        <w:t xml:space="preserve"> place milestone elements inside block-level containers, unless it is impossible to do so.</w:t>
      </w:r>
      <w:r>
        <w:rPr>
          <w:rStyle w:val="Lbjegyzet-hivatkozs"/>
        </w:rPr>
        <w:footnoteReference w:id="17"/>
      </w:r>
    </w:p>
    <w:p w14:paraId="519AF501" w14:textId="07F7C378">
      <w:pPr>
        <w:pStyle w:val="Normlbehzs"/>
      </w:pPr>
      <w:r>
        <w:t xml:space="preserve">Thus, at the start of an edition or a textpart division, any applicable milestone elements must be encoded after all applicable block-level elements have been opened, as in </w:t>
      </w:r>
      <w:r>
        <w:fldChar w:fldCharType="begin"/>
      </w:r>
      <w:r>
        <w:instrText xml:space="preserve"> REF _Ref182313052 \h </w:instrText>
      </w:r>
      <w:r>
        <w:fldChar w:fldCharType="separate"/>
      </w:r>
      <w:r>
        <w:t xml:space="preserve">Exhibit </w:t>
      </w:r>
      <w:r>
        <w:rPr>
          <w:noProof/>
        </w:rPr>
        <w:t>4.3</w:t>
      </w:r>
      <w:r>
        <w:t>.</w:t>
      </w:r>
      <w:r>
        <w:rPr>
          <w:noProof/>
        </w:rPr>
        <w:t>B</w:t>
      </w:r>
      <w:r>
        <w:fldChar w:fldCharType="end"/>
      </w:r>
      <w:r>
        <w:t xml:space="preserve">. When boundaries of extrinsic and intrinsic structure coincide, any and all applicable milestones shall be created after the start tag of any block-level elements beginning there (not before the end tag of the block-level element(s) ending there), as in </w:t>
      </w:r>
      <w:r>
        <w:fldChar w:fldCharType="begin"/>
      </w:r>
      <w:r>
        <w:instrText xml:space="preserve"> REF _Ref181694220 \h </w:instrText>
      </w:r>
      <w:r>
        <w:fldChar w:fldCharType="separate"/>
      </w:r>
      <w:r>
        <w:t xml:space="preserve">Exhibit </w:t>
      </w:r>
      <w:r>
        <w:rPr>
          <w:noProof/>
        </w:rPr>
        <w:t>4.3</w:t>
      </w:r>
      <w:r>
        <w:t>.</w:t>
      </w:r>
      <w:r>
        <w:rPr>
          <w:noProof/>
        </w:rPr>
        <w:t>C</w:t>
      </w:r>
      <w:r>
        <w:fldChar w:fldCharType="end"/>
      </w:r>
      <w:r>
        <w:t>.</w:t>
      </w:r>
    </w:p>
    <w:tbl>
      <w:tblPr>
        <w:tblStyle w:val="CodeSampleTable"/>
        <w:tblW w:w="5000" w:type="pct"/>
        <w:tblLook w:val="04A0" w:firstRow="1" w:lastRow="0" w:firstColumn="1" w:lastColumn="0" w:noHBand="0" w:noVBand="1"/>
      </w:tblPr>
      <w:tblGrid>
        <w:gridCol w:w="9628"/>
      </w:tblGrid>
      <w:tr w14:paraId="22502E71"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0B607A5" w14:textId="445434BF">
            <w:pPr>
              <w:pStyle w:val="Kpalrs"/>
            </w:pPr>
            <w:bookmarkStart w:id="222" w:name="_Ref182313052"/>
            <w:r>
              <w:t xml:space="preserve">Exhibit </w:t>
            </w:r>
            <w:fldSimple w:instr=" STYLEREF 2 \s ">
              <w:r>
                <w:rPr>
                  <w:noProof/>
                </w:rPr>
                <w:t>4.3</w:t>
              </w:r>
            </w:fldSimple>
            <w:r>
              <w:t>.</w:t>
            </w:r>
            <w:fldSimple w:instr=" SEQ Exhibit \* ALPHABETIC \s 2 ">
              <w:r>
                <w:rPr>
                  <w:noProof/>
                </w:rPr>
                <w:t>B</w:t>
              </w:r>
            </w:fldSimple>
            <w:bookmarkEnd w:id="222"/>
            <w:r>
              <w:t>: several kinds of milestones at the beginning of an edition</w:t>
            </w:r>
          </w:p>
        </w:tc>
      </w:tr>
      <w:tr w14:paraId="46757BD7" w14:textId="77777777">
        <w:tc>
          <w:tcPr>
            <w:tcW w:w="5000" w:type="pct"/>
          </w:tcPr>
          <w:p w14:paraId="7912754C" w14:textId="77777777">
            <w:pPr>
              <w:pStyle w:val="CodeParagraph"/>
              <w:rPr>
                <w:rStyle w:val="Code"/>
              </w:rPr>
            </w:pPr>
            <w:r>
              <w:rPr>
                <w:rStyle w:val="Code"/>
              </w:rPr>
              <w:t xml:space="preserve">&lt;div </w:t>
            </w:r>
            <w:r>
              <w:rPr>
                <w:rStyle w:val="Codeattribute"/>
              </w:rPr>
              <w:t>type</w:t>
            </w:r>
            <w:r>
              <w:rPr>
                <w:rStyle w:val="Code"/>
              </w:rPr>
              <w:t>=</w:t>
            </w:r>
            <w:r>
              <w:rPr>
                <w:rStyle w:val="Codevalue"/>
              </w:rPr>
              <w:t>"edition"</w:t>
            </w:r>
            <w:r>
              <w:rPr>
                <w:rStyle w:val="Code"/>
              </w:rPr>
              <w:t>&gt;</w:t>
            </w:r>
          </w:p>
          <w:p w14:paraId="542AD30E" w14:textId="77777777">
            <w:pPr>
              <w:pStyle w:val="CodeParagraph"/>
              <w:rPr>
                <w:rStyle w:val="Code"/>
              </w:rPr>
            </w:pPr>
            <w:r>
              <w:rPr>
                <w:rStyle w:val="Code"/>
              </w:rPr>
              <w:t xml:space="preserve">  &lt;lg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"anuṣṭubh"</w:t>
            </w:r>
            <w:r>
              <w:rPr>
                <w:rStyle w:val="Code"/>
              </w:rPr>
              <w:t>&gt;</w:t>
            </w:r>
          </w:p>
          <w:p w14:paraId="09EF900A" w14:textId="77777777">
            <w:pPr>
              <w:pStyle w:val="CodeParagraph"/>
            </w:pPr>
            <w:r>
              <w:rPr>
                <w:rStyle w:val="Code"/>
              </w:rPr>
              <w:t xml:space="preserve">    &lt;l </w:t>
            </w:r>
            <w:r>
              <w:rPr>
                <w:rStyle w:val="Codeattribute"/>
              </w:rPr>
              <w:t>n</w:t>
            </w:r>
            <w:r>
              <w:rPr>
                <w:rStyle w:val="Code"/>
              </w:rPr>
              <w:t>=</w:t>
            </w:r>
            <w:r>
              <w:rPr>
                <w:rStyle w:val="Codevalue"/>
              </w:rPr>
              <w:t>"a"</w:t>
            </w:r>
            <w:r>
              <w:rPr>
                <w:rStyle w:val="Code"/>
              </w:rPr>
              <w:t xml:space="preserve">&gt;&lt;milestone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"zone"</w:t>
            </w:r>
            <w:r>
              <w:rPr>
                <w:rStyle w:val="Code"/>
              </w:rPr>
              <w:t xml:space="preserve"> </w:t>
            </w:r>
            <w:r>
              <w:rPr>
                <w:rStyle w:val="Codeattribute"/>
              </w:rPr>
              <w:t>n</w:t>
            </w:r>
            <w:r>
              <w:rPr>
                <w:rStyle w:val="Code"/>
              </w:rPr>
              <w:t>=</w:t>
            </w:r>
            <w:r>
              <w:rPr>
                <w:rStyle w:val="Codevalue"/>
              </w:rPr>
              <w:t>"A"</w:t>
            </w:r>
            <w:r>
              <w:rPr>
                <w:rStyle w:val="Code"/>
              </w:rPr>
              <w:t xml:space="preserve">/&gt;&lt;lb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Āsīt...</w:t>
            </w:r>
          </w:p>
        </w:tc>
      </w:tr>
    </w:tbl>
    <w:p w14:paraId="241CC764" w14:textId="77777777"/>
    <w:tbl>
      <w:tblPr>
        <w:tblStyle w:val="CodeSampleTable"/>
        <w:tblW w:w="5000" w:type="pct"/>
        <w:tblLook w:val="04A0" w:firstRow="1" w:lastRow="0" w:firstColumn="1" w:lastColumn="0" w:noHBand="0" w:noVBand="1"/>
      </w:tblPr>
      <w:tblGrid>
        <w:gridCol w:w="9628"/>
      </w:tblGrid>
      <w:tr w14:paraId="2510477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F1A0A76" w14:textId="7BA79B1B">
            <w:pPr>
              <w:pStyle w:val="Kpalrs"/>
            </w:pPr>
            <w:bookmarkStart w:id="223" w:name="_Ref181694220"/>
            <w:r>
              <w:t xml:space="preserve">Exhibit </w:t>
            </w:r>
            <w:fldSimple w:instr=" STYLEREF 2 \s ">
              <w:r>
                <w:rPr>
                  <w:noProof/>
                </w:rPr>
                <w:t>4.3</w:t>
              </w:r>
            </w:fldSimple>
            <w:r>
              <w:t>.</w:t>
            </w:r>
            <w:fldSimple w:instr=" SEQ Exhibit \* ALPHABETIC \s 2 ">
              <w:r>
                <w:rPr>
                  <w:noProof/>
                </w:rPr>
                <w:t>C</w:t>
              </w:r>
            </w:fldSimple>
            <w:bookmarkEnd w:id="223"/>
            <w:r>
              <w:t>: multiple milestones coinciding with nested block-level container boundaries</w:t>
            </w:r>
          </w:p>
        </w:tc>
      </w:tr>
      <w:tr w14:paraId="7B73C146" w14:textId="77777777">
        <w:tc>
          <w:tcPr>
            <w:tcW w:w="5000" w:type="pct"/>
          </w:tcPr>
          <w:p w14:paraId="7C9301D6" w14:textId="77777777">
            <w:pPr>
              <w:pStyle w:val="CodeParagraph"/>
              <w:rPr>
                <w:rStyle w:val="Code"/>
              </w:rPr>
            </w:pPr>
            <w:r>
              <w:rPr>
                <w:rStyle w:val="Code"/>
              </w:rPr>
              <w:t xml:space="preserve">&lt;lg </w:t>
            </w:r>
            <w:r>
              <w:rPr>
                <w:rStyle w:val="Codeattribute"/>
              </w:rPr>
              <w:t>n</w:t>
            </w:r>
            <w:r>
              <w:rPr>
                <w:rStyle w:val="Code"/>
              </w:rPr>
              <w:t>=</w:t>
            </w:r>
            <w:r>
              <w:rPr>
                <w:rStyle w:val="Codevalue"/>
              </w:rPr>
              <w:t>"5"</w:t>
            </w:r>
            <w:r>
              <w:rPr>
                <w:rStyle w:val="Code"/>
              </w:rPr>
              <w:t xml:space="preserve"> </w:t>
            </w:r>
            <w:r>
              <w:rPr>
                <w:rStyle w:val="Codeattribute"/>
              </w:rPr>
              <w:t>met</w:t>
            </w:r>
            <w:r>
              <w:rPr>
                <w:rStyle w:val="Code"/>
              </w:rPr>
              <w:t>=</w:t>
            </w:r>
            <w:r>
              <w:rPr>
                <w:rStyle w:val="Codevalue"/>
              </w:rPr>
              <w:t>"upajāti"</w:t>
            </w:r>
            <w:r>
              <w:rPr>
                <w:rStyle w:val="Code"/>
              </w:rPr>
              <w:t>&gt;</w:t>
            </w:r>
          </w:p>
          <w:p w14:paraId="2EBA6BE0" w14:textId="77777777">
            <w:pPr>
              <w:pStyle w:val="CodeParagraph"/>
              <w:rPr>
                <w:rStyle w:val="Codetext"/>
              </w:rPr>
            </w:pPr>
            <w:r>
              <w:rPr>
                <w:rStyle w:val="Codetext"/>
              </w:rPr>
              <w:t xml:space="preserve">  ...</w:t>
            </w:r>
          </w:p>
          <w:p w14:paraId="40C9310A" w14:textId="77777777">
            <w:pPr>
              <w:pStyle w:val="CodeParagraph"/>
              <w:rPr>
                <w:rStyle w:val="Code"/>
              </w:rPr>
            </w:pPr>
            <w:r>
              <w:rPr>
                <w:rStyle w:val="Codetext"/>
              </w:rPr>
              <w:t xml:space="preserve">  </w:t>
            </w:r>
            <w:r>
              <w:rPr>
                <w:rStyle w:val="Code"/>
              </w:rPr>
              <w:t xml:space="preserve">&lt;l </w:t>
            </w:r>
            <w:r>
              <w:rPr>
                <w:rStyle w:val="Codeattribute"/>
              </w:rPr>
              <w:t>n</w:t>
            </w:r>
            <w:r>
              <w:rPr>
                <w:rStyle w:val="Code"/>
              </w:rPr>
              <w:t>=</w:t>
            </w:r>
            <w:r>
              <w:rPr>
                <w:rStyle w:val="Codevalue"/>
              </w:rPr>
              <w:t>"d"</w:t>
            </w:r>
            <w:r>
              <w:rPr>
                <w:rStyle w:val="Code"/>
              </w:rPr>
              <w:t xml:space="preserve">&gt; </w:t>
            </w:r>
            <w:r>
              <w:rPr>
                <w:rStyle w:val="Codetext"/>
              </w:rPr>
              <w:t>... śāntiM</w:t>
            </w:r>
            <w:r>
              <w:rPr>
                <w:rStyle w:val="Code"/>
              </w:rPr>
              <w:t>&lt;/l&gt;</w:t>
            </w:r>
          </w:p>
          <w:p w14:paraId="016B1D1C" w14:textId="77777777">
            <w:pPr>
              <w:pStyle w:val="CodeParagraph"/>
              <w:rPr>
                <w:rStyle w:val="Code"/>
              </w:rPr>
            </w:pPr>
            <w:r>
              <w:rPr>
                <w:rStyle w:val="Code"/>
              </w:rPr>
              <w:t>&lt;/lg&gt;</w:t>
            </w:r>
          </w:p>
          <w:p w14:paraId="054871CC" w14:textId="77777777">
            <w:pPr>
              <w:pStyle w:val="CodeParagraph"/>
              <w:rPr>
                <w:rStyle w:val="Code"/>
              </w:rPr>
            </w:pPr>
            <w:r>
              <w:rPr>
                <w:rStyle w:val="Code"/>
              </w:rPr>
              <w:t xml:space="preserve">&lt;lg </w:t>
            </w:r>
            <w:r>
              <w:rPr>
                <w:rStyle w:val="Codeattribute"/>
              </w:rPr>
              <w:t>n</w:t>
            </w:r>
            <w:r>
              <w:rPr>
                <w:rStyle w:val="Code"/>
              </w:rPr>
              <w:t>=</w:t>
            </w:r>
            <w:r>
              <w:rPr>
                <w:rStyle w:val="Codevalue"/>
              </w:rPr>
              <w:t>"6"</w:t>
            </w:r>
            <w:r>
              <w:rPr>
                <w:rStyle w:val="Code"/>
              </w:rPr>
              <w:t xml:space="preserve"> </w:t>
            </w:r>
            <w:r>
              <w:rPr>
                <w:rStyle w:val="Codeattribute"/>
              </w:rPr>
              <w:t>met</w:t>
            </w:r>
            <w:r>
              <w:rPr>
                <w:rStyle w:val="Code"/>
              </w:rPr>
              <w:t>=</w:t>
            </w:r>
            <w:r>
              <w:rPr>
                <w:rStyle w:val="Codevalue"/>
              </w:rPr>
              <w:t>"upajāti"</w:t>
            </w:r>
            <w:r>
              <w:rPr>
                <w:rStyle w:val="Code"/>
              </w:rPr>
              <w:t>&gt;</w:t>
            </w:r>
          </w:p>
          <w:p w14:paraId="4742628C" w14:textId="77777777">
            <w:pPr>
              <w:pStyle w:val="CodeParagraph"/>
              <w:keepNext/>
              <w:rPr>
                <w:rStyle w:val="Code"/>
              </w:rPr>
            </w:pPr>
            <w:r>
              <w:rPr>
                <w:rStyle w:val="Code"/>
              </w:rPr>
              <w:t xml:space="preserve">  &lt;l </w:t>
            </w:r>
            <w:r>
              <w:rPr>
                <w:rStyle w:val="Codeattribute"/>
              </w:rPr>
              <w:t>n</w:t>
            </w:r>
            <w:r>
              <w:rPr>
                <w:rStyle w:val="Code"/>
              </w:rPr>
              <w:t>=</w:t>
            </w:r>
            <w:r>
              <w:rPr>
                <w:rStyle w:val="Codevalue"/>
              </w:rPr>
              <w:t>"a"</w:t>
            </w:r>
            <w:r>
              <w:rPr>
                <w:rStyle w:val="Code"/>
              </w:rPr>
              <w:t xml:space="preserve">&gt;&lt;pb </w:t>
            </w:r>
            <w:r>
              <w:rPr>
                <w:rStyle w:val="Codeattribute"/>
              </w:rPr>
              <w:t>n</w:t>
            </w:r>
            <w:r>
              <w:rPr>
                <w:rStyle w:val="Code"/>
              </w:rPr>
              <w:t>=</w:t>
            </w:r>
            <w:r>
              <w:rPr>
                <w:rStyle w:val="Codevalue"/>
              </w:rPr>
              <w:t>"2"</w:t>
            </w:r>
            <w:r>
              <w:rPr>
                <w:rStyle w:val="Code"/>
              </w:rPr>
              <w:t xml:space="preserve">/&gt;&lt;lb </w:t>
            </w:r>
            <w:r>
              <w:rPr>
                <w:rStyle w:val="Codeattribute"/>
              </w:rPr>
              <w:t>n</w:t>
            </w:r>
            <w:r>
              <w:rPr>
                <w:rStyle w:val="Code"/>
              </w:rPr>
              <w:t>=</w:t>
            </w:r>
            <w:r>
              <w:rPr>
                <w:rStyle w:val="Codevalue"/>
              </w:rPr>
              <w:t>"9"</w:t>
            </w:r>
            <w:r>
              <w:rPr>
                <w:rStyle w:val="Code"/>
              </w:rPr>
              <w:t>/&gt;</w:t>
            </w:r>
            <w:r>
              <w:rPr>
                <w:rStyle w:val="Codetext"/>
              </w:rPr>
              <w:t>guptānvaya ...</w:t>
            </w:r>
          </w:p>
          <w:p w14:paraId="58CB661D" w14:textId="77777777">
            <w:pPr>
              <w:pStyle w:val="CodeParagraph"/>
              <w:keepNext/>
              <w:rPr>
                <w:rStyle w:val="Code"/>
              </w:rPr>
            </w:pPr>
            <w:r>
              <w:rPr>
                <w:rStyle w:val="Code"/>
              </w:rPr>
              <w:t xml:space="preserve">  ...</w:t>
            </w:r>
          </w:p>
          <w:p w14:paraId="0E194B8B" w14:textId="77777777">
            <w:pPr>
              <w:pStyle w:val="CodeParagraph"/>
              <w:keepNext/>
            </w:pPr>
            <w:r>
              <w:rPr>
                <w:rStyle w:val="Code"/>
              </w:rPr>
              <w:t>&lt;/lg&gt;</w:t>
            </w:r>
          </w:p>
        </w:tc>
      </w:tr>
      <w:tr w14:paraId="637B96CB" w14:textId="77777777">
        <w:tc>
          <w:tcPr>
            <w:tcW w:w="5000" w:type="pct"/>
          </w:tcPr>
          <w:p w14:paraId="22CA99F6" w14:textId="77777777">
            <w:pPr>
              <w:pStyle w:val="TableNote"/>
            </w:pPr>
            <w:r>
              <w:t>this stanza begins at the beginning of a page in a set of copper plates</w:t>
            </w:r>
          </w:p>
          <w:p w14:paraId="51812BD6" w14:textId="77777777">
            <w:pPr>
              <w:pStyle w:val="TableNote"/>
            </w:pPr>
            <w:r>
              <w:t xml:space="preserve">the milestones for the page beginning as well as the line beginning are the first items within the first </w:t>
            </w:r>
            <w:r>
              <w:rPr>
                <w:rStyle w:val="Code"/>
              </w:rPr>
              <w:t>&lt;l&gt;</w:t>
            </w:r>
            <w:r>
              <w:t xml:space="preserve"> element of the new stanza</w:t>
            </w:r>
          </w:p>
        </w:tc>
      </w:tr>
    </w:tbl>
    <w:bookmarkEnd w:id="221"/>
    <w:p w14:paraId="1754D2B9" w14:textId="77777777">
      <w:pPr>
        <w:pStyle w:val="Cmsor4"/>
      </w:pPr>
      <w:r>
        <w:t>Milestones and white space</w:t>
      </w:r>
    </w:p>
    <w:p w14:paraId="2C24C90B" w14:textId="2B5553B6">
      <w:r>
        <w:rPr>
          <w:lang w:eastAsia="en-US" w:bidi="ar-SA"/>
        </w:rPr>
        <w:t>General instructions regarding spacing around XML elements are given in §</w:t>
      </w:r>
      <w:r>
        <w:rPr>
          <w:lang w:eastAsia="en-US" w:bidi="ar-SA"/>
        </w:rPr>
        <w:fldChar w:fldCharType="begin"/>
      </w:r>
      <w:r>
        <w:rPr>
          <w:lang w:eastAsia="en-US" w:bidi="ar-SA"/>
        </w:rPr>
        <w:instrText xml:space="preserve"> REF _Ref43989206 \r \h </w:instrText>
      </w:r>
      <w:r>
        <w:rPr>
          <w:lang w:eastAsia="en-US" w:bidi="ar-SA"/>
        </w:rPr>
      </w:r>
      <w:r>
        <w:rPr>
          <w:lang w:eastAsia="en-US" w:bidi="ar-SA"/>
        </w:rPr>
        <w:fldChar w:fldCharType="separate"/>
      </w:r>
      <w:r>
        <w:rPr>
          <w:lang w:eastAsia="en-US" w:bidi="ar-SA"/>
        </w:rPr>
        <w:t>16.1</w:t>
      </w:r>
      <w:r>
        <w:rPr>
          <w:lang w:eastAsia="en-US" w:bidi="ar-SA"/>
        </w:rPr>
        <w:fldChar w:fldCharType="end"/>
      </w:r>
      <w:r>
        <w:rPr>
          <w:lang w:eastAsia="en-US" w:bidi="ar-SA"/>
        </w:rPr>
        <w:t xml:space="preserve">. There is no technical need to separate milestones from adjacent text or elements with spaces, so spaces must only be used around milestone elements where the text (disregarding the milestone) would contain an editorial space, i.e. at a word break. Adding more than the necessary amount of space, as well as the use of new lines in the code, is not a technical problem but it can lead to undesirable consequences in processing. We therefore prefer to avoid using spaces on both sides of a milestone. If a partition encoded with a milestone coincides with an editorial space, the space shall be placed before the milestone. However, it is completely acceptable to insert </w:t>
      </w:r>
      <w:r>
        <w:t xml:space="preserve">new lines (carriage returns) within milestone tags, and doing so consistently for certain kinds of milestones will make your XML document easier to scan while working, as in </w:t>
      </w:r>
      <w:r>
        <w:fldChar w:fldCharType="begin"/>
      </w:r>
      <w:r>
        <w:instrText xml:space="preserve"> REF _Ref182314695 \h </w:instrText>
      </w:r>
      <w:r>
        <w:fldChar w:fldCharType="separate"/>
      </w:r>
      <w:r>
        <w:t xml:space="preserve">Exhibit </w:t>
      </w:r>
      <w:r>
        <w:rPr>
          <w:noProof/>
        </w:rPr>
        <w:t>4.3</w:t>
      </w:r>
      <w:r>
        <w:t>.</w:t>
      </w:r>
      <w:r>
        <w:rPr>
          <w:noProof/>
        </w:rPr>
        <w:t>D</w:t>
      </w:r>
      <w:r>
        <w:fldChar w:fldCharType="end"/>
      </w:r>
      <w:r>
        <w:t>.</w:t>
      </w:r>
    </w:p>
    <w:tbl>
      <w:tblPr>
        <w:tblStyle w:val="CodeSampleTable"/>
        <w:tblW w:w="5000" w:type="pct"/>
        <w:tblLook w:val="04A0" w:firstRow="1" w:lastRow="0" w:firstColumn="1" w:lastColumn="0" w:noHBand="0" w:noVBand="1"/>
      </w:tblPr>
      <w:tblGrid>
        <w:gridCol w:w="9628"/>
      </w:tblGrid>
      <w:tr w14:paraId="5A7B867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A416990" w14:textId="2F77E95B">
            <w:pPr>
              <w:pStyle w:val="Kpalrs"/>
            </w:pPr>
            <w:bookmarkStart w:id="224" w:name="_Ref182314695"/>
            <w:bookmarkStart w:id="225" w:name="_Ref182316275"/>
            <w:bookmarkStart w:id="226" w:name="_Ref182312225"/>
            <w:r>
              <w:lastRenderedPageBreak/>
              <w:t xml:space="preserve">Exhibit </w:t>
            </w:r>
            <w:fldSimple w:instr=" STYLEREF 2 \s ">
              <w:r>
                <w:rPr>
                  <w:noProof/>
                </w:rPr>
                <w:t>4.3</w:t>
              </w:r>
            </w:fldSimple>
            <w:r>
              <w:t>.</w:t>
            </w:r>
            <w:fldSimple w:instr=" SEQ Exhibit \* ALPHABETIC \s 2 ">
              <w:r>
                <w:rPr>
                  <w:noProof/>
                </w:rPr>
                <w:t>D</w:t>
              </w:r>
            </w:fldSimple>
            <w:bookmarkEnd w:id="224"/>
            <w:r>
              <w:t>: carriage returns used within milestone tags</w:t>
            </w:r>
            <w:bookmarkEnd w:id="225"/>
          </w:p>
        </w:tc>
      </w:tr>
      <w:tr w14:paraId="779DF52D" w14:textId="77777777">
        <w:tc>
          <w:tcPr>
            <w:tcW w:w="5000" w:type="pct"/>
          </w:tcPr>
          <w:p w14:paraId="4FE346B2" w14:textId="77777777">
            <w:pPr>
              <w:pStyle w:val="CodeParagraph"/>
              <w:rPr>
                <w:rStyle w:val="Code"/>
              </w:rPr>
            </w:pPr>
            <w:r>
              <w:rPr>
                <w:rStyle w:val="Codetext"/>
              </w:rPr>
              <w:t xml:space="preserve">...manv-ādi-praṇīta-dharmmaśāstra-pracarita-vr̥ddhiḥ </w:t>
            </w:r>
            <w:r>
              <w:rPr>
                <w:rStyle w:val="Code"/>
              </w:rPr>
              <w:t xml:space="preserve">&lt;pb </w:t>
            </w:r>
          </w:p>
          <w:p w14:paraId="5D1BF9F9" w14:textId="77777777">
            <w:pPr>
              <w:pStyle w:val="CodeParagraph"/>
              <w:rPr>
                <w:rStyle w:val="Code"/>
              </w:rPr>
            </w:pPr>
            <w:r>
              <w:rPr>
                <w:rStyle w:val="Codeattribute"/>
              </w:rPr>
              <w:t>n=</w:t>
            </w:r>
            <w:r>
              <w:rPr>
                <w:rStyle w:val="Codevalue"/>
              </w:rPr>
              <w:t>"2r"</w:t>
            </w:r>
            <w:r>
              <w:rPr>
                <w:rStyle w:val="Code"/>
              </w:rPr>
              <w:t xml:space="preserve">/&gt;&lt;lb </w:t>
            </w:r>
          </w:p>
          <w:p w14:paraId="1551A119" w14:textId="77777777">
            <w:pPr>
              <w:pStyle w:val="CodeParagraph"/>
              <w:rPr>
                <w:rFonts w:ascii="Consolas" w:hAnsi="Consolas" w:cs="Consolas"/>
                <w:noProof/>
                <w:color w:val="000000" w:themeColor="text1"/>
                <w:shd w:val="clear" w:color="auto" w:fill="F2F2F2" w:themeFill="background1" w:themeFillShade="F2"/>
              </w:rPr>
            </w:pPr>
            <w:r>
              <w:rPr>
                <w:rStyle w:val="Codeattribute"/>
              </w:rPr>
              <w:t>n=</w:t>
            </w:r>
            <w:r>
              <w:rPr>
                <w:rStyle w:val="Codevalue"/>
              </w:rPr>
              <w:t>"7"</w:t>
            </w:r>
            <w:r>
              <w:rPr>
                <w:rStyle w:val="Code"/>
              </w:rPr>
              <w:t>/&gt;</w:t>
            </w:r>
            <w:r>
              <w:rPr>
                <w:rStyle w:val="Codetext"/>
              </w:rPr>
              <w:t>yudhiṣṭhira Iva satya-sandhaḥ br̥haspatir iva naya-jñaḥ mātā-pitr̥</w:t>
            </w:r>
            <w:r>
              <w:rPr>
                <w:rStyle w:val="Code"/>
              </w:rPr>
              <w:t>&lt;lb</w:t>
            </w:r>
            <w:r>
              <w:rPr>
                <w:rStyle w:val="Code"/>
              </w:rPr>
              <w:br/>
            </w:r>
            <w:r>
              <w:rPr>
                <w:rStyle w:val="Codeattribute"/>
              </w:rPr>
              <w:t>n=</w:t>
            </w:r>
            <w:r>
              <w:rPr>
                <w:rStyle w:val="Codevalue"/>
              </w:rPr>
              <w:t>"8"</w:t>
            </w:r>
            <w:r>
              <w:rPr>
                <w:rStyle w:val="Code"/>
              </w:rPr>
              <w:t xml:space="preserve"> </w:t>
            </w:r>
            <w:r>
              <w:rPr>
                <w:rStyle w:val="Codeattribute"/>
              </w:rPr>
              <w:t>break=</w:t>
            </w:r>
            <w:r>
              <w:rPr>
                <w:rStyle w:val="Codevalue"/>
              </w:rPr>
              <w:t>"no"</w:t>
            </w:r>
            <w:r>
              <w:rPr>
                <w:rStyle w:val="Code"/>
              </w:rPr>
              <w:t>/&gt;</w:t>
            </w:r>
            <w:r>
              <w:rPr>
                <w:rStyle w:val="Codetext"/>
              </w:rPr>
              <w:t>-pādānudhyātaḥ śrī-viṣṇuvarddhana-mahārājaḥ...</w:t>
            </w:r>
          </w:p>
        </w:tc>
      </w:tr>
    </w:tbl>
    <w:p w14:paraId="30043D07" w14:textId="77777777">
      <w:pPr>
        <w:pStyle w:val="Cmsor2"/>
      </w:pPr>
      <w:bookmarkStart w:id="227" w:name="_Ref233982406"/>
      <w:bookmarkStart w:id="228" w:name="_Toc243922620"/>
      <w:bookmarkEnd w:id="226"/>
      <w:r>
        <w:t>Pagelike partitions</w:t>
      </w:r>
      <w:bookmarkEnd w:id="198"/>
      <w:bookmarkEnd w:id="206"/>
      <w:bookmarkEnd w:id="216"/>
      <w:bookmarkEnd w:id="227"/>
      <w:bookmarkEnd w:id="228"/>
    </w:p>
    <w:p w14:paraId="2DA6007A" w14:textId="582CEBBA">
      <w:bookmarkStart w:id="229" w:name="_h6ikg2hg8g9u" w:colFirst="0" w:colLast="0"/>
      <w:bookmarkEnd w:id="229"/>
      <w:r>
        <w:t>Recall from §</w:t>
      </w:r>
      <w:r>
        <w:fldChar w:fldCharType="begin"/>
      </w:r>
      <w:r>
        <w:instrText xml:space="preserve"> REF _Ref182923075 \r \h </w:instrText>
      </w:r>
      <w:r>
        <w:fldChar w:fldCharType="separate"/>
      </w:r>
      <w:r>
        <w:t>4.1</w:t>
      </w:r>
      <w:r>
        <w:fldChar w:fldCharType="end"/>
      </w:r>
      <w:r>
        <w:t xml:space="preserve"> that a pagelike partition is what happens when the text continues from the end of a zone to the beginning of the next, typically without a major semantic boundary, as in </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/2. The text of all such partitions together comprises a single virtual field that is an integral whole, while the chunks of text in the individual partitions are not complete in themselves. We call these partitions pagelike because each zone is analogous to a page in a book: the boundary is usually incidental and irrelevant to the text’s semantic structure, although it may also coincide with a semantic break. Since such a partition may occur inside a unit of intrinsic structure, the encoding equivalent of a pagelike partition must be an empty milestone element (§</w:t>
      </w:r>
      <w:r>
        <w:fldChar w:fldCharType="begin"/>
      </w:r>
      <w:r>
        <w:instrText xml:space="preserve"> REF _Ref225327729 \r \h </w:instrText>
      </w:r>
      <w:r>
        <w:fldChar w:fldCharType="separate"/>
      </w:r>
      <w:r>
        <w:t>4.3</w:t>
      </w:r>
      <w:r>
        <w:fldChar w:fldCharType="end"/>
      </w:r>
      <w:r>
        <w:t xml:space="preserve">). For the genuine pages of copperplate charters, we use </w:t>
      </w:r>
      <w:r>
        <w:rPr>
          <w:rStyle w:val="Code"/>
        </w:rPr>
        <w:t>&lt;pb/&gt;</w:t>
      </w:r>
      <w:r>
        <w:t xml:space="preserve"> elements (§</w:t>
      </w:r>
      <w:r>
        <w:fldChar w:fldCharType="begin"/>
      </w:r>
      <w:r>
        <w:instrText xml:space="preserve"> REF _Ref183083980 \r \h </w:instrText>
      </w:r>
      <w:r>
        <w:fldChar w:fldCharType="separate"/>
      </w:r>
      <w:r>
        <w:t>4.4.2</w:t>
      </w:r>
      <w:r>
        <w:fldChar w:fldCharType="end"/>
      </w:r>
      <w:r>
        <w:t xml:space="preserve">), while for other partitions of analogous nature we employ </w:t>
      </w:r>
      <w:r>
        <w:rPr>
          <w:rStyle w:val="Code"/>
        </w:rPr>
        <w:t xml:space="preserve">&lt;milestone </w:t>
      </w:r>
      <w:r>
        <w:rPr>
          <w:rStyle w:val="Codeattribute"/>
        </w:rPr>
        <w:t>type=</w:t>
      </w:r>
      <w:r>
        <w:rPr>
          <w:rStyle w:val="Codevalue"/>
        </w:rPr>
        <w:t>"pagelike"</w:t>
      </w:r>
      <w:r>
        <w:rPr>
          <w:rStyle w:val="Code"/>
        </w:rPr>
        <w:t>&gt;</w:t>
      </w:r>
      <w:r>
        <w:t xml:space="preserve"> (§</w:t>
      </w:r>
      <w:r>
        <w:fldChar w:fldCharType="begin"/>
      </w:r>
      <w:r>
        <w:instrText xml:space="preserve"> REF _Ref43986679 \r \h </w:instrText>
      </w:r>
      <w:r>
        <w:fldChar w:fldCharType="separate"/>
      </w:r>
      <w:r>
        <w:t>4.4.2.1</w:t>
      </w:r>
      <w:r>
        <w:fldChar w:fldCharType="end"/>
      </w:r>
      <w:r>
        <w:t xml:space="preserve">). </w:t>
      </w:r>
    </w:p>
    <w:p w14:paraId="546D0503" w14:textId="1FE2A8AD">
      <w:pPr>
        <w:pStyle w:val="Normlbehzs"/>
      </w:pPr>
      <w:r>
        <w:t xml:space="preserve">There is no technical limit to the number of different kinds of pagelike partitions that a document may contain. However, to avoid complications in markup and referencing, our project policy is always to employ a maximum of one kind of pagelike partition per division (i.e. only one kind in an undivided edition, or only one kind in each textpart of a subdivided edition). Thus, an edition or textpart may contain either </w:t>
      </w:r>
      <w:r>
        <w:rPr>
          <w:rStyle w:val="Code"/>
        </w:rPr>
        <w:t>&lt;pb/&gt;</w:t>
      </w:r>
      <w:r>
        <w:t xml:space="preserve"> or </w:t>
      </w:r>
      <w:r>
        <w:rPr>
          <w:rStyle w:val="Code"/>
        </w:rPr>
        <w:t xml:space="preserve">&lt;milestone </w:t>
      </w:r>
      <w:r>
        <w:rPr>
          <w:rStyle w:val="Codeattribute"/>
        </w:rPr>
        <w:t>type=</w:t>
      </w:r>
      <w:r>
        <w:rPr>
          <w:rStyle w:val="Codevalue"/>
        </w:rPr>
        <w:t>"pagelike"</w:t>
      </w:r>
      <w:r>
        <w:rPr>
          <w:rStyle w:val="Code"/>
        </w:rPr>
        <w:t>&gt;</w:t>
      </w:r>
      <w:r>
        <w:t xml:space="preserve"> with one particular </w:t>
      </w:r>
      <w:r>
        <w:rPr>
          <w:rStyle w:val="Codeattribute"/>
        </w:rPr>
        <w:t>@unit</w:t>
      </w:r>
      <w:r>
        <w:t xml:space="preserve"> (§</w:t>
      </w:r>
      <w:r>
        <w:fldChar w:fldCharType="begin"/>
      </w:r>
      <w:r>
        <w:instrText xml:space="preserve"> REF _Ref182815315 \r \h </w:instrText>
      </w:r>
      <w:r>
        <w:fldChar w:fldCharType="separate"/>
      </w:r>
      <w:r>
        <w:t>4.3.1</w:t>
      </w:r>
      <w:r>
        <w:fldChar w:fldCharType="end"/>
      </w:r>
      <w:r>
        <w:t xml:space="preserve">), but not both, nor </w:t>
      </w:r>
      <w:r>
        <w:rPr>
          <w:rStyle w:val="Code"/>
        </w:rPr>
        <w:t xml:space="preserve">&lt;milestone </w:t>
      </w:r>
      <w:r>
        <w:rPr>
          <w:rStyle w:val="Codeattribute"/>
        </w:rPr>
        <w:t>type=</w:t>
      </w:r>
      <w:r>
        <w:rPr>
          <w:rStyle w:val="Codevalue"/>
        </w:rPr>
        <w:t>"pagelike"</w:t>
      </w:r>
      <w:r>
        <w:rPr>
          <w:rStyle w:val="Code"/>
        </w:rPr>
        <w:t>&gt;</w:t>
      </w:r>
      <w:r>
        <w:t xml:space="preserve"> with two or more different values of </w:t>
      </w:r>
      <w:r>
        <w:rPr>
          <w:rStyle w:val="Codeattribute"/>
        </w:rPr>
        <w:t>@unit</w:t>
      </w:r>
      <w:r>
        <w:t xml:space="preserve">. When encoding a structurally complex inscription, instead of resorting to multiple kinds of pagelike partitions, try to make the best use of </w:t>
      </w:r>
      <w:bookmarkStart w:id="230" w:name="_tnb25u59sdgt" w:colFirst="0" w:colLast="0"/>
      <w:bookmarkStart w:id="231" w:name="_Ref43978346"/>
      <w:bookmarkStart w:id="232" w:name="_Ref182580155"/>
      <w:bookmarkStart w:id="233" w:name="_Ref182580158"/>
      <w:bookmarkStart w:id="234" w:name="_Ref182580228"/>
      <w:bookmarkEnd w:id="230"/>
      <w:r>
        <w:t>other encoding solutions. Considerations for some such situations are discussed in §</w:t>
      </w:r>
      <w:r>
        <w:fldChar w:fldCharType="begin"/>
      </w:r>
      <w:r>
        <w:instrText xml:space="preserve"> REF _Ref225350898 \r \h </w:instrText>
      </w:r>
      <w:r>
        <w:fldChar w:fldCharType="separate"/>
      </w:r>
      <w:r>
        <w:t>4.7</w:t>
      </w:r>
      <w:r>
        <w:fldChar w:fldCharType="end"/>
      </w:r>
      <w:r>
        <w:t>.</w:t>
      </w:r>
    </w:p>
    <w:p w14:paraId="756622DF" w14:textId="77777777">
      <w:pPr>
        <w:pStyle w:val="Cmsor4"/>
      </w:pPr>
      <w:r>
        <w:t>Terminology for pages and related entities</w:t>
      </w:r>
    </w:p>
    <w:p w14:paraId="6A54BC98" w14:textId="77777777">
      <w:r>
        <w:t>In this section and elsewhere when discussing pages and pagelike entities, we use the following terms in the following specific senses.</w:t>
      </w:r>
    </w:p>
    <w:p w14:paraId="4FD40F86" w14:textId="77777777">
      <w:pPr>
        <w:pStyle w:val="Lista"/>
      </w:pPr>
      <w:r>
        <w:t xml:space="preserve">a </w:t>
      </w:r>
      <w:r>
        <w:rPr>
          <w:b/>
          <w:bCs/>
        </w:rPr>
        <w:t>plate</w:t>
      </w:r>
      <w:r>
        <w:t xml:space="preserve"> is one discrete plate of copper (or other substance) bearing an inscription or part thereof</w:t>
      </w:r>
    </w:p>
    <w:p w14:paraId="15646EA2" w14:textId="77777777">
      <w:pPr>
        <w:pStyle w:val="Lista"/>
      </w:pPr>
      <w:r>
        <w:t xml:space="preserve">a </w:t>
      </w:r>
      <w:r>
        <w:rPr>
          <w:b/>
          <w:bCs/>
        </w:rPr>
        <w:t>face</w:t>
      </w:r>
      <w:r>
        <w:t xml:space="preserve"> is the physical surface on one side of a plate</w:t>
      </w:r>
    </w:p>
    <w:p w14:paraId="48F5065B" w14:textId="77777777">
      <w:pPr>
        <w:pStyle w:val="Lista2"/>
      </w:pPr>
      <w:r>
        <w:t>in other contexts, a face is one largely flat surface on any three-dimensional object</w:t>
      </w:r>
    </w:p>
    <w:p w14:paraId="7B01B22A" w14:textId="77777777">
      <w:pPr>
        <w:pStyle w:val="Lista"/>
      </w:pPr>
      <w:r>
        <w:t xml:space="preserve">the </w:t>
      </w:r>
      <w:r>
        <w:rPr>
          <w:b/>
          <w:bCs/>
        </w:rPr>
        <w:t>recto</w:t>
      </w:r>
      <w:r>
        <w:t xml:space="preserve"> face of a plate or sheet is the obverse, the face that comes first in sequence</w:t>
      </w:r>
    </w:p>
    <w:p w14:paraId="0B1CDEAF" w14:textId="77777777">
      <w:pPr>
        <w:pStyle w:val="Lista"/>
      </w:pPr>
      <w:r>
        <w:t xml:space="preserve">the </w:t>
      </w:r>
      <w:r>
        <w:rPr>
          <w:b/>
          <w:bCs/>
        </w:rPr>
        <w:t>verso</w:t>
      </w:r>
      <w:r>
        <w:t xml:space="preserve"> face of a plate or sheet is the reverse, the face that comes next in sequence</w:t>
      </w:r>
    </w:p>
    <w:p w14:paraId="6D97A8ED" w14:textId="77777777">
      <w:pPr>
        <w:pStyle w:val="Lista"/>
      </w:pPr>
      <w:r>
        <w:t xml:space="preserve">a </w:t>
      </w:r>
      <w:r>
        <w:rPr>
          <w:b/>
          <w:bCs/>
        </w:rPr>
        <w:t>page</w:t>
      </w:r>
      <w:r>
        <w:t xml:space="preserve"> is an abstract unit of text that is inscribed on one face of a plate or one side of a sheet of another substance</w:t>
      </w:r>
    </w:p>
    <w:p w14:paraId="6E3885A1" w14:textId="77777777">
      <w:pPr>
        <w:pStyle w:val="Lista"/>
      </w:pPr>
      <w:r>
        <w:t xml:space="preserve">a </w:t>
      </w:r>
      <w:r>
        <w:rPr>
          <w:b/>
          <w:bCs/>
        </w:rPr>
        <w:t>folio</w:t>
      </w:r>
      <w:r>
        <w:t xml:space="preserve"> as an abstract unit of text comprised of two pages that belong to a single plate or sheet</w:t>
      </w:r>
    </w:p>
    <w:p w14:paraId="096B634F" w14:textId="77777777">
      <w:pPr>
        <w:pStyle w:val="Cmsor3"/>
        <w:keepLines/>
        <w:pageBreakBefore/>
      </w:pPr>
      <w:bookmarkStart w:id="235" w:name="_Ref183083979"/>
      <w:bookmarkStart w:id="236" w:name="_Ref183083980"/>
      <w:bookmarkStart w:id="237" w:name="_Toc243922621"/>
      <w:r>
        <w:lastRenderedPageBreak/>
        <w:t>Marking up genuine pages</w:t>
      </w:r>
      <w:bookmarkEnd w:id="231"/>
      <w:bookmarkEnd w:id="232"/>
      <w:bookmarkEnd w:id="233"/>
      <w:bookmarkEnd w:id="234"/>
      <w:bookmarkEnd w:id="235"/>
      <w:bookmarkEnd w:id="236"/>
      <w:bookmarkEnd w:id="237"/>
    </w:p>
    <w:tbl>
      <w:tblPr>
        <w:tblStyle w:val="CodeSampleTable"/>
        <w:tblpPr w:leftFromText="181" w:rightFromText="181" w:vertAnchor="text" w:tblpXSpec="right" w:tblpY="1"/>
        <w:tblOverlap w:val="never"/>
        <w:tblW w:w="4536" w:type="dxa"/>
        <w:tblLook w:val="04A0" w:firstRow="1" w:lastRow="0" w:firstColumn="1" w:lastColumn="0" w:noHBand="0" w:noVBand="1"/>
      </w:tblPr>
      <w:tblGrid>
        <w:gridCol w:w="4536"/>
      </w:tblGrid>
      <w:tr w14:paraId="0158C59A"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164568B" w14:textId="2E980F8D">
            <w:pPr>
              <w:pStyle w:val="Kpalrs"/>
              <w:keepLines/>
            </w:pPr>
            <w:bookmarkStart w:id="238" w:name="_Ref225356253"/>
            <w:r>
              <w:t xml:space="preserve">Exhibit </w:t>
            </w:r>
            <w:fldSimple w:instr=" STYLEREF 2 \s ">
              <w:r>
                <w:rPr>
                  <w:noProof/>
                </w:rPr>
                <w:t>4.4</w:t>
              </w:r>
            </w:fldSimple>
            <w:r>
              <w:t>.</w:t>
            </w:r>
            <w:fldSimple w:instr=" SEQ Exhibit \* ALPHABETIC \s 2 ">
              <w:r>
                <w:rPr>
                  <w:noProof/>
                </w:rPr>
                <w:t>A</w:t>
              </w:r>
            </w:fldSimple>
            <w:bookmarkEnd w:id="238"/>
            <w:r>
              <w:t>: generic encoding for page beginnings</w:t>
            </w:r>
          </w:p>
        </w:tc>
      </w:tr>
      <w:tr w14:paraId="5917CC6C" w14:textId="77777777">
        <w:tc>
          <w:tcPr>
            <w:tcW w:w="5000" w:type="pct"/>
          </w:tcPr>
          <w:p w14:paraId="45A153C7" w14:textId="77777777">
            <w:pPr>
              <w:pStyle w:val="Image"/>
              <w:keepLines/>
            </w:pPr>
            <w:r>
              <w:drawing>
                <wp:inline distT="0" distB="0" distL="0" distR="0" wp14:anchorId="020D24F7" wp14:editId="4D4FCBBB">
                  <wp:extent cx="2700000" cy="1080000"/>
                  <wp:effectExtent l="0" t="0" r="5715" b="6350"/>
                  <wp:docPr id="1888968169" name="Kép 188896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68169" name="Kép 1888968169"/>
                          <pic:cNvPicPr>
                            <a:picLocks noChangeAspect="1" noChangeArrowheads="1"/>
                          </pic:cNvPicPr>
                        </pic:nvPicPr>
                        <pic:blipFill>
                          <a:blip r:embed="rId16"/>
                          <a:stretch>
                            <a:fillRect/>
                          </a:stretch>
                        </pic:blipFill>
                        <pic:spPr bwMode="auto">
                          <a:xfrm>
                            <a:off x="0" y="0"/>
                            <a:ext cx="2700000" cy="1080000"/>
                          </a:xfrm>
                          <a:prstGeom prst="rect">
                            <a:avLst/>
                          </a:prstGeom>
                          <a:noFill/>
                          <a:ln>
                            <a:noFill/>
                          </a:ln>
                        </pic:spPr>
                      </pic:pic>
                    </a:graphicData>
                  </a:graphic>
                </wp:inline>
              </w:drawing>
            </w:r>
          </w:p>
        </w:tc>
      </w:tr>
      <w:tr w14:paraId="6EFFEBCB" w14:textId="77777777">
        <w:tc>
          <w:tcPr>
            <w:tcW w:w="5000" w:type="pct"/>
          </w:tcPr>
          <w:p w14:paraId="010A35A3" w14:textId="77777777">
            <w:pPr>
              <w:pStyle w:val="CodeParagraph"/>
              <w:keepNext/>
              <w:keepLines/>
              <w:rPr>
                <w:rStyle w:val="Codetext"/>
              </w:rPr>
            </w:pPr>
            <w:r>
              <w:rPr>
                <w:rStyle w:val="Code"/>
              </w:rPr>
              <w:t xml:space="preserve">&lt;p&gt;&lt;pb </w:t>
            </w:r>
            <w:r>
              <w:rPr>
                <w:rStyle w:val="Codeattribute"/>
              </w:rPr>
              <w:t>n</w:t>
            </w:r>
            <w:r>
              <w:rPr>
                <w:rStyle w:val="Code"/>
              </w:rPr>
              <w:t>=</w:t>
            </w:r>
            <w:r>
              <w:rPr>
                <w:rStyle w:val="Codevalue"/>
              </w:rPr>
              <w:t>"1"</w:t>
            </w:r>
            <w:r>
              <w:rPr>
                <w:rStyle w:val="Code"/>
              </w:rPr>
              <w:t xml:space="preserve">/&gt;&lt;lb </w:t>
            </w:r>
            <w:r>
              <w:rPr>
                <w:rStyle w:val="Codeattribute"/>
              </w:rPr>
              <w:t>n</w:t>
            </w:r>
            <w:r>
              <w:rPr>
                <w:rStyle w:val="Code"/>
              </w:rPr>
              <w:t>=</w:t>
            </w:r>
            <w:r>
              <w:rPr>
                <w:rStyle w:val="Codevalue"/>
              </w:rPr>
              <w:t>"1"</w:t>
            </w:r>
            <w:r>
              <w:rPr>
                <w:rStyle w:val="Code"/>
              </w:rPr>
              <w:t>/&gt;</w:t>
            </w:r>
            <w:r>
              <w:rPr>
                <w:rStyle w:val="Codetext"/>
              </w:rPr>
              <w:t>...</w:t>
            </w:r>
          </w:p>
          <w:p w14:paraId="7FB85EFD"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"2"</w:t>
            </w:r>
            <w:r>
              <w:rPr>
                <w:rStyle w:val="Code"/>
              </w:rPr>
              <w:t>/&gt;</w:t>
            </w:r>
            <w:r>
              <w:rPr>
                <w:rStyle w:val="Codetext"/>
              </w:rPr>
              <w:t>...</w:t>
            </w:r>
          </w:p>
          <w:p w14:paraId="5F2119A1"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"3"</w:t>
            </w:r>
            <w:r>
              <w:rPr>
                <w:rStyle w:val="Code"/>
              </w:rPr>
              <w:t>/&gt;</w:t>
            </w:r>
            <w:r>
              <w:rPr>
                <w:rStyle w:val="Codetext"/>
              </w:rPr>
              <w:t>...</w:t>
            </w:r>
          </w:p>
          <w:p w14:paraId="13E11553" w14:textId="77777777">
            <w:pPr>
              <w:pStyle w:val="CodeParagraph"/>
              <w:keepNext/>
              <w:keepLines/>
              <w:rPr>
                <w:rStyle w:val="Codetext"/>
              </w:rPr>
            </w:pPr>
            <w:r>
              <w:rPr>
                <w:rStyle w:val="Code"/>
              </w:rPr>
              <w:t xml:space="preserve">  &lt;pb </w:t>
            </w:r>
            <w:r>
              <w:rPr>
                <w:rStyle w:val="Codeattribute"/>
              </w:rPr>
              <w:t>n</w:t>
            </w:r>
            <w:r>
              <w:rPr>
                <w:rStyle w:val="Code"/>
              </w:rPr>
              <w:t>=</w:t>
            </w:r>
            <w:r>
              <w:rPr>
                <w:rStyle w:val="Codevalue"/>
              </w:rPr>
              <w:t>"2"</w:t>
            </w:r>
            <w:r>
              <w:rPr>
                <w:rStyle w:val="Code"/>
              </w:rPr>
              <w:t xml:space="preserve">/&gt;&lt;lb </w:t>
            </w:r>
            <w:r>
              <w:rPr>
                <w:rStyle w:val="Codeattribute"/>
              </w:rPr>
              <w:t>n</w:t>
            </w:r>
            <w:r>
              <w:rPr>
                <w:rStyle w:val="Code"/>
              </w:rPr>
              <w:t>=</w:t>
            </w:r>
            <w:r>
              <w:rPr>
                <w:rStyle w:val="Codevalue"/>
              </w:rPr>
              <w:t>"4"</w:t>
            </w:r>
            <w:r>
              <w:rPr>
                <w:rStyle w:val="Code"/>
              </w:rPr>
              <w:t>/&gt;</w:t>
            </w:r>
            <w:r>
              <w:rPr>
                <w:rStyle w:val="Codetext"/>
              </w:rPr>
              <w:t>...</w:t>
            </w:r>
          </w:p>
          <w:p w14:paraId="3CFBD0D8" w14:textId="77777777">
            <w:pPr>
              <w:pStyle w:val="CodeParagraph"/>
              <w:keepNext/>
              <w:keepLines/>
              <w:rPr>
                <w:rStyle w:val="Code"/>
              </w:rPr>
            </w:pPr>
            <w:r>
              <w:rPr>
                <w:rStyle w:val="Code"/>
              </w:rPr>
              <w:t xml:space="preserve">  &lt;lb </w:t>
            </w:r>
            <w:r>
              <w:rPr>
                <w:rStyle w:val="Codeattribute"/>
              </w:rPr>
              <w:t>n</w:t>
            </w:r>
            <w:r>
              <w:rPr>
                <w:rStyle w:val="Code"/>
              </w:rPr>
              <w:t>=</w:t>
            </w:r>
            <w:r>
              <w:rPr>
                <w:rStyle w:val="Codevalue"/>
              </w:rPr>
              <w:t>"5"</w:t>
            </w:r>
            <w:r>
              <w:rPr>
                <w:rStyle w:val="Code"/>
              </w:rPr>
              <w:t>/&gt;</w:t>
            </w:r>
            <w:r>
              <w:rPr>
                <w:rStyle w:val="Codetext"/>
              </w:rPr>
              <w:t>...</w:t>
            </w:r>
          </w:p>
          <w:p w14:paraId="2387B115" w14:textId="77777777">
            <w:pPr>
              <w:pStyle w:val="CodeParagraph"/>
              <w:keepNext/>
              <w:keepLines/>
              <w:rPr>
                <w:rStyle w:val="Codetext"/>
              </w:rPr>
            </w:pPr>
            <w:r>
              <w:rPr>
                <w:rStyle w:val="Codetext"/>
              </w:rPr>
              <w:t xml:space="preserve">  ...</w:t>
            </w:r>
          </w:p>
          <w:p w14:paraId="27A13877" w14:textId="77777777">
            <w:pPr>
              <w:pStyle w:val="CodeParagraph"/>
              <w:keepNext/>
              <w:keepLines/>
              <w:rPr>
                <w:rFonts w:ascii="Consolas" w:hAnsi="Consolas" w:cs="Consolas"/>
                <w:noProof/>
                <w:color w:val="002060"/>
                <w:shd w:val="clear" w:color="auto" w:fill="F2F2F2" w:themeFill="background1" w:themeFillShade="F2"/>
              </w:rPr>
            </w:pPr>
            <w:r>
              <w:rPr>
                <w:rStyle w:val="Code"/>
              </w:rPr>
              <w:t>&lt;/p&gt;</w:t>
            </w:r>
          </w:p>
        </w:tc>
      </w:tr>
      <w:tr w14:paraId="5661D3F4" w14:textId="77777777">
        <w:tc>
          <w:tcPr>
            <w:tcW w:w="5000" w:type="pct"/>
          </w:tcPr>
          <w:p w14:paraId="6B05BE49" w14:textId="0B11CE22">
            <w:pPr>
              <w:pStyle w:val="TableNote"/>
              <w:keepNext/>
              <w:keepLines/>
              <w:rPr>
                <w:rStyle w:val="Code"/>
              </w:rPr>
            </w:pPr>
            <w:r>
              <w:t xml:space="preserve">complete encoded illustration: </w:t>
            </w:r>
            <w:r>
              <w:fldChar w:fldCharType="begin"/>
            </w:r>
            <w:r>
              <w:instrText xml:space="preserve"> REF _Ref239844102 \r \h </w:instrText>
            </w:r>
            <w:r>
              <w:fldChar w:fldCharType="separate"/>
            </w:r>
            <w:r>
              <w:t>Appendix A.2</w:t>
            </w:r>
            <w:r>
              <w:fldChar w:fldCharType="end"/>
            </w:r>
          </w:p>
        </w:tc>
      </w:tr>
    </w:tbl>
    <w:p w14:paraId="77CD7DE0" w14:textId="67CA73FB">
      <w:pPr>
        <w:pStyle w:val="Lista"/>
      </w:pPr>
      <w:r>
        <w:t xml:space="preserve">to encode genuine pages, as in copper plates, use the empty element </w:t>
      </w:r>
      <w:r>
        <w:rPr>
          <w:rStyle w:val="Code"/>
        </w:rPr>
        <w:t>&lt;pb/&gt;</w:t>
      </w:r>
      <w:r>
        <w:t xml:space="preserve"> as in </w:t>
      </w:r>
      <w:r>
        <w:fldChar w:fldCharType="begin"/>
      </w:r>
      <w:r>
        <w:instrText xml:space="preserve"> REF _Ref225356253 \h </w:instrText>
      </w:r>
      <w:r>
        <w:fldChar w:fldCharType="separate"/>
      </w:r>
      <w:r>
        <w:t xml:space="preserve">Exhibit </w:t>
      </w:r>
      <w:r>
        <w:rPr>
          <w:noProof/>
        </w:rPr>
        <w:t>4.4</w:t>
      </w:r>
      <w:r>
        <w:t>.</w:t>
      </w:r>
      <w:r>
        <w:rPr>
          <w:noProof/>
        </w:rPr>
        <w:t>A</w:t>
      </w:r>
      <w:r>
        <w:fldChar w:fldCharType="end"/>
      </w:r>
      <w:r>
        <w:t>, with the following attributes</w:t>
      </w:r>
    </w:p>
    <w:p w14:paraId="2162F2B6" w14:textId="417CDD94">
      <w:pPr>
        <w:pStyle w:val="Lista2"/>
      </w:pPr>
      <w:bookmarkStart w:id="239" w:name="_Ref182299386"/>
      <w:r>
        <w:t xml:space="preserve">mandatorily, </w:t>
      </w:r>
      <w:r>
        <w:rPr>
          <w:rStyle w:val="Codeattribute"/>
        </w:rPr>
        <w:t>@n</w:t>
      </w:r>
      <w:r>
        <w:t xml:space="preserve"> as per §</w:t>
      </w:r>
      <w:r>
        <w:fldChar w:fldCharType="begin"/>
      </w:r>
      <w:r>
        <w:instrText xml:space="preserve"> REF _Ref182310225 \r \h </w:instrText>
      </w:r>
      <w:r>
        <w:fldChar w:fldCharType="separate"/>
      </w:r>
      <w:r>
        <w:t>4.4.2.1</w:t>
      </w:r>
      <w:r>
        <w:fldChar w:fldCharType="end"/>
      </w:r>
    </w:p>
    <w:p w14:paraId="6C05FF2A" w14:textId="24CCD67F">
      <w:pPr>
        <w:pStyle w:val="Lista2"/>
      </w:pPr>
      <w:r>
        <w:t xml:space="preserve">as applicable, </w:t>
      </w:r>
      <w:r>
        <w:rPr>
          <w:rStyle w:val="Codeattribute"/>
        </w:rPr>
        <w:t>@break</w:t>
      </w:r>
      <w:r>
        <w:t xml:space="preserve"> for page beginnings interrupting words as per §</w:t>
      </w:r>
      <w:r>
        <w:fldChar w:fldCharType="begin"/>
      </w:r>
      <w:r>
        <w:instrText xml:space="preserve"> REF _Ref225519777 \r \h </w:instrText>
      </w:r>
      <w:r>
        <w:fldChar w:fldCharType="separate"/>
      </w:r>
      <w:r>
        <w:t>4.3.2.1</w:t>
      </w:r>
      <w:r>
        <w:fldChar w:fldCharType="end"/>
      </w:r>
    </w:p>
    <w:p w14:paraId="3D1AE04D" w14:textId="77777777">
      <w:pPr>
        <w:pStyle w:val="Lista"/>
      </w:pPr>
      <w:r>
        <w:rPr>
          <w:rStyle w:val="Code"/>
        </w:rPr>
        <w:t>&lt;pb/&gt;</w:t>
      </w:r>
      <w:r>
        <w:t xml:space="preserve"> marks page beginnings (rather than transitions) and thus, when pages are present in a document, the element must be created at the start of each page</w:t>
      </w:r>
    </w:p>
    <w:p w14:paraId="4B1BAF22" w14:textId="77777777">
      <w:pPr>
        <w:pStyle w:val="Lista2"/>
      </w:pPr>
      <w:r>
        <w:t>including the first page</w:t>
      </w:r>
    </w:p>
    <w:p w14:paraId="001A77EF" w14:textId="74508CEE">
      <w:pPr>
        <w:pStyle w:val="Lista2"/>
      </w:pPr>
      <w:r>
        <w:t>and including pages without text (§</w:t>
      </w:r>
      <w:r>
        <w:fldChar w:fldCharType="begin"/>
      </w:r>
      <w:r>
        <w:instrText xml:space="preserve"> REF _Ref182318940 \r \h </w:instrText>
      </w:r>
      <w:r>
        <w:fldChar w:fldCharType="separate"/>
      </w:r>
      <w:r>
        <w:t>4.4.2.2</w:t>
      </w:r>
      <w:r>
        <w:fldChar w:fldCharType="end"/>
      </w:r>
      <w:r>
        <w:t>)</w:t>
      </w:r>
    </w:p>
    <w:p w14:paraId="1277B15E" w14:textId="6FE424F5">
      <w:pPr>
        <w:pStyle w:val="Lista"/>
      </w:pPr>
      <w:r>
        <w:t>good practice considerations applicable to structural milestones (§</w:t>
      </w:r>
      <w:r>
        <w:fldChar w:fldCharType="begin"/>
      </w:r>
      <w:r>
        <w:instrText xml:space="preserve"> REF _Ref225253138 \r \h </w:instrText>
      </w:r>
      <w:r>
        <w:fldChar w:fldCharType="separate"/>
      </w:r>
      <w:r>
        <w:t>4.3.3</w:t>
      </w:r>
      <w:r>
        <w:fldChar w:fldCharType="end"/>
      </w:r>
      <w:r>
        <w:t>) apply equally to page beginnings</w:t>
      </w:r>
    </w:p>
    <w:p w14:paraId="33EE7B6B" w14:textId="77777777">
      <w:pPr>
        <w:pStyle w:val="Cmsor4"/>
      </w:pPr>
      <w:bookmarkStart w:id="240" w:name="_t032kyf4wcza" w:colFirst="0" w:colLast="0"/>
      <w:bookmarkStart w:id="241" w:name="_Ref182310225"/>
      <w:bookmarkStart w:id="242" w:name="_Ref182299822"/>
      <w:bookmarkStart w:id="243" w:name="_Ref43986679"/>
      <w:bookmarkEnd w:id="239"/>
      <w:bookmarkEnd w:id="240"/>
      <w:r>
        <w:t>Page numbering</w:t>
      </w:r>
      <w:bookmarkEnd w:id="241"/>
    </w:p>
    <w:p w14:paraId="5F017CF4" w14:textId="3B99B922">
      <w:r>
        <w:t xml:space="preserve">Pages are numbered for reference. When an XML edition is rendered for display, labels for pages will be automatically generated from the encoded number. Unlike pagelike milestones, the </w:t>
      </w:r>
      <w:r>
        <w:rPr>
          <w:rStyle w:val="Code"/>
        </w:rPr>
        <w:t>&lt;label&gt;</w:t>
      </w:r>
      <w:r>
        <w:t xml:space="preserve"> element (§</w:t>
      </w:r>
      <w:r>
        <w:fldChar w:fldCharType="begin"/>
      </w:r>
      <w:r>
        <w:instrText xml:space="preserve"> REF _Ref182299869 \r \h </w:instrText>
      </w:r>
      <w:r>
        <w:fldChar w:fldCharType="separate"/>
      </w:r>
      <w:r>
        <w:t>4.4.3.2</w:t>
      </w:r>
      <w:r>
        <w:fldChar w:fldCharType="end"/>
      </w:r>
      <w:r>
        <w:t>) is not permitted in conjunction with page breaks.</w:t>
      </w:r>
    </w:p>
    <w:p w14:paraId="5723889C" w14:textId="77777777">
      <w:pPr>
        <w:pStyle w:val="Lista"/>
      </w:pPr>
      <w:r>
        <w:t>pages are mandatorily numbered in DHARMA editions</w:t>
      </w:r>
    </w:p>
    <w:p w14:paraId="093CBF10" w14:textId="77777777">
      <w:pPr>
        <w:pStyle w:val="Lista"/>
      </w:pPr>
      <w:r>
        <w:t>the recommended values for numbering pages are 1r, 1v, 2r, 2v etc.</w:t>
      </w:r>
    </w:p>
    <w:p w14:paraId="7A7A7BFC" w14:textId="77777777">
      <w:pPr>
        <w:pStyle w:val="Lista2"/>
      </w:pPr>
      <w:r>
        <w:t xml:space="preserve">the value of </w:t>
      </w:r>
      <w:r>
        <w:rPr>
          <w:rStyle w:val="Codeattribute"/>
        </w:rPr>
        <w:t>@n</w:t>
      </w:r>
      <w:r>
        <w:t xml:space="preserve"> is thus composed of</w:t>
      </w:r>
    </w:p>
    <w:p w14:paraId="47F37512" w14:textId="77777777">
      <w:pPr>
        <w:pStyle w:val="Lista3"/>
      </w:pPr>
      <w:r>
        <w:t>an Arabic numeral starting with 1 and proceeding in steps of 1 per plate (folio)</w:t>
      </w:r>
    </w:p>
    <w:p w14:paraId="61DF1D90" w14:textId="77777777">
      <w:pPr>
        <w:pStyle w:val="Lista3"/>
      </w:pPr>
      <w:r>
        <w:t xml:space="preserve">the abbreviation to identify the recto </w:t>
      </w:r>
      <w:r>
        <w:rPr>
          <w:noProof/>
        </w:rPr>
        <w:t>(</w:t>
      </w:r>
      <w:r>
        <w:t xml:space="preserve">obverse) and verso </w:t>
      </w:r>
      <w:r>
        <w:rPr>
          <w:noProof/>
        </w:rPr>
        <w:t>(</w:t>
      </w:r>
      <w:r>
        <w:t>reverse) face of each plate</w:t>
      </w:r>
    </w:p>
    <w:p w14:paraId="477DF7FA" w14:textId="77777777">
      <w:pPr>
        <w:pStyle w:val="Lista2"/>
      </w:pPr>
      <w:r>
        <w:t xml:space="preserve">e.g. </w:t>
      </w:r>
      <w:r>
        <w:rPr>
          <w:rStyle w:val="Code"/>
        </w:rPr>
        <w:t xml:space="preserve">&lt;pb </w:t>
      </w:r>
      <w:r>
        <w:rPr>
          <w:rStyle w:val="Codeattribute"/>
        </w:rPr>
        <w:t>n</w:t>
      </w:r>
      <w:r>
        <w:rPr>
          <w:rStyle w:val="Code"/>
        </w:rPr>
        <w:t>=</w:t>
      </w:r>
      <w:r>
        <w:rPr>
          <w:rStyle w:val="Codevalue"/>
        </w:rPr>
        <w:t>"1r"</w:t>
      </w:r>
      <w:r>
        <w:rPr>
          <w:rStyle w:val="Code"/>
        </w:rPr>
        <w:t>/&gt;</w:t>
      </w:r>
    </w:p>
    <w:p w14:paraId="469F036B" w14:textId="77777777">
      <w:pPr>
        <w:pStyle w:val="Lista"/>
      </w:pPr>
      <w:r>
        <w:t>if you have a good reason to do so, you may opt to use a different numbering scheme for pages with the following constraints:</w:t>
      </w:r>
    </w:p>
    <w:p w14:paraId="5D52F24A" w14:textId="77777777">
      <w:pPr>
        <w:pStyle w:val="Lista2"/>
      </w:pPr>
      <w:r>
        <w:t xml:space="preserve">the value of </w:t>
      </w:r>
      <w:r>
        <w:rPr>
          <w:rStyle w:val="Codeattribute"/>
        </w:rPr>
        <w:t>@n</w:t>
      </w:r>
      <w:r>
        <w:t xml:space="preserve"> must not contain a space </w:t>
      </w:r>
      <w:r>
        <w:rPr>
          <w:noProof/>
        </w:rPr>
        <w:t>(</w:t>
      </w:r>
      <w:r>
        <w:t>use an underscore _ instead if a space is essential)</w:t>
      </w:r>
    </w:p>
    <w:p w14:paraId="5225F997" w14:textId="77777777">
      <w:pPr>
        <w:pStyle w:val="Lista2"/>
      </w:pPr>
      <w:r>
        <w:t xml:space="preserve">each page must have a unique number within your edition </w:t>
      </w:r>
      <w:r>
        <w:rPr>
          <w:noProof/>
        </w:rPr>
        <w:t>(</w:t>
      </w:r>
      <w:r>
        <w:t>or, if applicable, within a textpart division)</w:t>
      </w:r>
    </w:p>
    <w:p w14:paraId="15E50799" w14:textId="6A117CE0">
      <w:pPr>
        <w:pStyle w:val="Lista"/>
      </w:pPr>
      <w:r>
        <w:t>when several textpart divisions of an edition include pages, page numbers must be reset in each textpart (§</w:t>
      </w:r>
      <w:r>
        <w:fldChar w:fldCharType="begin"/>
      </w:r>
      <w:r>
        <w:instrText xml:space="preserve"> REF _Ref43986747 \r \h </w:instrText>
      </w:r>
      <w:r>
        <w:fldChar w:fldCharType="separate"/>
      </w:r>
      <w:r>
        <w:t>4.2.1.4</w:t>
      </w:r>
      <w:r>
        <w:fldChar w:fldCharType="end"/>
      </w:r>
      <w:r>
        <w:t>) unless there is a strong reason not to do so</w:t>
      </w:r>
    </w:p>
    <w:p w14:paraId="0E614816" w14:textId="18AEEA61">
      <w:pPr>
        <w:pStyle w:val="Lista"/>
      </w:pPr>
      <w:r>
        <w:t>see §</w:t>
      </w:r>
      <w:r>
        <w:fldChar w:fldCharType="begin"/>
      </w:r>
      <w:r>
        <w:instrText xml:space="preserve"> REF _Ref43984607 \w \h  \* MERGEFORMAT </w:instrText>
      </w:r>
      <w:r>
        <w:fldChar w:fldCharType="separate"/>
      </w:r>
      <w:r>
        <w:t>4.7.2</w:t>
      </w:r>
      <w:r>
        <w:fldChar w:fldCharType="end"/>
      </w:r>
      <w:r>
        <w:t xml:space="preserve"> about encoding any original pagination or foliation</w:t>
      </w:r>
    </w:p>
    <w:p w14:paraId="45171CC1" w14:textId="77777777">
      <w:pPr>
        <w:pStyle w:val="Cmsor4"/>
      </w:pPr>
      <w:bookmarkStart w:id="244" w:name="_Ref182318940"/>
      <w:bookmarkEnd w:id="242"/>
      <w:r>
        <w:t>Uninscribed copperplate faces</w:t>
      </w:r>
      <w:bookmarkEnd w:id="244"/>
    </w:p>
    <w:p w14:paraId="22B6EAC3" w14:textId="77777777">
      <w:pPr>
        <w:pStyle w:val="Lista"/>
      </w:pPr>
      <w:r>
        <w:t xml:space="preserve">plates must always be encoded as having two pages per folio, even if one of these pages is blank; this will facilitate the eventual linking of images </w:t>
      </w:r>
      <w:r>
        <w:rPr>
          <w:noProof/>
        </w:rPr>
        <w:t>(</w:t>
      </w:r>
      <w:r>
        <w:t>including images of blank faces) to individual pages of the digital edition</w:t>
      </w:r>
    </w:p>
    <w:p w14:paraId="5E58FBBA" w14:textId="77777777">
      <w:pPr>
        <w:pStyle w:val="Lista"/>
      </w:pPr>
      <w:r>
        <w:t xml:space="preserve">blank faces shall be encoded as the corresponding </w:t>
      </w:r>
      <w:r>
        <w:rPr>
          <w:rStyle w:val="Code"/>
        </w:rPr>
        <w:t>&lt;pb/&gt;</w:t>
      </w:r>
      <w:r>
        <w:t xml:space="preserve"> element, with the following recommendations for the sake of consistency within the project</w:t>
      </w:r>
    </w:p>
    <w:p w14:paraId="16BDF3F3" w14:textId="77777777">
      <w:pPr>
        <w:pStyle w:val="Lista2"/>
      </w:pPr>
      <w:r>
        <w:t>for sets of copper plates where the first and/or last plate is only inscribed on one face, designate the blank faces to be the outer faces of the set, i.e. the recto of the first plate and the verso of the last plate</w:t>
      </w:r>
    </w:p>
    <w:p w14:paraId="104481E7" w14:textId="77777777">
      <w:pPr>
        <w:pStyle w:val="Lista2"/>
      </w:pPr>
      <w:r>
        <w:t>for sets or single plates inscribed on only one face (of each plate), designate the inscribed face as the recto, and the blank face as the verso</w:t>
      </w:r>
    </w:p>
    <w:p w14:paraId="2F383F7B" w14:textId="77777777">
      <w:pPr>
        <w:pStyle w:val="Lista2"/>
      </w:pPr>
      <w:r>
        <w:t xml:space="preserve">the </w:t>
      </w:r>
      <w:r>
        <w:rPr>
          <w:rStyle w:val="Code"/>
        </w:rPr>
        <w:t>&lt;pb/&gt;</w:t>
      </w:r>
      <w:r>
        <w:t xml:space="preserve"> elements for first/last blank pages should be placed just inside the start/end tag of the enclosing division </w:t>
      </w:r>
      <w:r>
        <w:rPr>
          <w:noProof/>
        </w:rPr>
        <w:t>(</w:t>
      </w:r>
      <w:r>
        <w:t>i.e. the edition division or a textpart division)</w:t>
      </w:r>
    </w:p>
    <w:p w14:paraId="1BE80CE1" w14:textId="1C7F3C74">
      <w:pPr>
        <w:pStyle w:val="Lista3"/>
      </w:pPr>
      <w:r>
        <w:t xml:space="preserve">thus, these </w:t>
      </w:r>
      <w:r>
        <w:rPr>
          <w:rStyle w:val="Code"/>
        </w:rPr>
        <w:t>&lt;pb/&gt;</w:t>
      </w:r>
      <w:r>
        <w:t xml:space="preserve"> elements will be outside block-level containers in spite of the general rule </w:t>
      </w:r>
      <w:r>
        <w:rPr>
          <w:noProof/>
        </w:rPr>
        <w:t>(</w:t>
      </w:r>
      <w:r>
        <w:t>§</w:t>
      </w:r>
      <w:r>
        <w:fldChar w:fldCharType="begin"/>
      </w:r>
      <w:r>
        <w:instrText xml:space="preserve"> REF _Ref43979552 \w \h  \* MERGEFORMAT </w:instrText>
      </w:r>
      <w:r>
        <w:fldChar w:fldCharType="separate"/>
      </w:r>
      <w:r>
        <w:t>16.2.4</w:t>
      </w:r>
      <w:r>
        <w:fldChar w:fldCharType="end"/>
      </w:r>
      <w:r>
        <w:t>) that such empty elements must be inside block-level containers</w:t>
      </w:r>
    </w:p>
    <w:p w14:paraId="3042DA3F" w14:textId="7F709B6C">
      <w:pPr>
        <w:pStyle w:val="Lista2"/>
      </w:pPr>
      <w:r>
        <w:t xml:space="preserve">see </w:t>
      </w:r>
      <w:r>
        <w:fldChar w:fldCharType="begin"/>
      </w:r>
      <w:r>
        <w:instrText xml:space="preserve"> REF _Ref239844124 \r \h </w:instrText>
      </w:r>
      <w:r>
        <w:fldChar w:fldCharType="separate"/>
      </w:r>
      <w:r>
        <w:t>Appendix A.2</w:t>
      </w:r>
      <w:r>
        <w:fldChar w:fldCharType="end"/>
      </w:r>
      <w:r>
        <w:t xml:space="preserve"> for an illustration of pages in an EpiDoc document</w:t>
      </w:r>
    </w:p>
    <w:p w14:paraId="0FBB79CF" w14:textId="77777777">
      <w:pPr>
        <w:pStyle w:val="Cmsor3"/>
      </w:pPr>
      <w:bookmarkStart w:id="245" w:name="_Toc243922622"/>
      <w:r>
        <w:lastRenderedPageBreak/>
        <w:t>Marking up other pagelike zones</w:t>
      </w:r>
      <w:bookmarkEnd w:id="243"/>
      <w:bookmarkEnd w:id="245"/>
    </w:p>
    <w:tbl>
      <w:tblPr>
        <w:tblStyle w:val="CodeSampleTable"/>
        <w:tblpPr w:leftFromText="180" w:rightFromText="180" w:vertAnchor="text" w:tblpXSpec="right" w:tblpY="1"/>
        <w:tblOverlap w:val="never"/>
        <w:tblW w:w="4536" w:type="dxa"/>
        <w:jc w:val="right"/>
        <w:tblLook w:val="04A0" w:firstRow="1" w:lastRow="0" w:firstColumn="1" w:lastColumn="0" w:noHBand="0" w:noVBand="1"/>
      </w:tblPr>
      <w:tblGrid>
        <w:gridCol w:w="4536"/>
      </w:tblGrid>
      <w:tr w14:paraId="7F2AAB2C" w14:textId="77777777">
        <w:trPr>
          <w:cnfStyle w:val="100000000000" w:firstRow="1" w:lastRow="0" w:firstColumn="0" w:lastColumn="0" w:oddVBand="0" w:evenVBand="0" w:oddHBand="0" w:evenHBand="0" w:firstRowFirstColumn="0" w:firstRowLastColumn="0" w:lastRowFirstColumn="0" w:lastRowLastColumn="0"/>
          <w:jc w:val="right"/>
        </w:trPr>
        <w:tc>
          <w:tcPr>
            <w:tcW w:w="5000" w:type="pct"/>
          </w:tcPr>
          <w:p w14:paraId="263CA24A" w14:textId="51B0FBDD">
            <w:pPr>
              <w:pStyle w:val="Kpalrs"/>
              <w:keepLines/>
            </w:pPr>
            <w:bookmarkStart w:id="246" w:name="_Ref225354659"/>
            <w:bookmarkStart w:id="247" w:name="_Ref225354655"/>
            <w:r>
              <w:t xml:space="preserve">Exhibit </w:t>
            </w:r>
            <w:fldSimple w:instr=" STYLEREF 2 \s ">
              <w:r>
                <w:rPr>
                  <w:noProof/>
                </w:rPr>
                <w:t>4.4</w:t>
              </w:r>
            </w:fldSimple>
            <w:r>
              <w:t>.</w:t>
            </w:r>
            <w:fldSimple w:instr=" SEQ Exhibit \* ALPHABETIC \s 2 ">
              <w:r>
                <w:rPr>
                  <w:noProof/>
                </w:rPr>
                <w:t>B</w:t>
              </w:r>
            </w:fldSimple>
            <w:bookmarkEnd w:id="246"/>
            <w:r>
              <w:t>: generic encoding for pagelike partitions</w:t>
            </w:r>
            <w:bookmarkEnd w:id="247"/>
          </w:p>
        </w:tc>
      </w:tr>
      <w:tr w14:paraId="4953293C" w14:textId="77777777">
        <w:trPr>
          <w:jc w:val="right"/>
        </w:trPr>
        <w:tc>
          <w:tcPr>
            <w:tcW w:w="5000" w:type="pct"/>
          </w:tcPr>
          <w:p w14:paraId="22F5C354" w14:textId="77777777">
            <w:pPr>
              <w:pStyle w:val="Image"/>
            </w:pPr>
            <w:r>
              <w:drawing>
                <wp:inline distT="0" distB="0" distL="0" distR="0" wp14:anchorId="0EBFCAA2" wp14:editId="6ECD5D26">
                  <wp:extent cx="2700000" cy="1364400"/>
                  <wp:effectExtent l="0" t="0" r="5715" b="7620"/>
                  <wp:docPr id="1765770225" name="Kép 176577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70225" name="Kép 1765770225"/>
                          <pic:cNvPicPr>
                            <a:picLocks noChangeAspect="1" noChangeArrowheads="1"/>
                          </pic:cNvPicPr>
                        </pic:nvPicPr>
                        <pic:blipFill>
                          <a:blip r:embed="rId17"/>
                          <a:stretch>
                            <a:fillRect/>
                          </a:stretch>
                        </pic:blipFill>
                        <pic:spPr bwMode="auto">
                          <a:xfrm>
                            <a:off x="0" y="0"/>
                            <a:ext cx="2700000" cy="1364400"/>
                          </a:xfrm>
                          <a:prstGeom prst="rect">
                            <a:avLst/>
                          </a:prstGeom>
                          <a:noFill/>
                          <a:ln>
                            <a:noFill/>
                          </a:ln>
                        </pic:spPr>
                      </pic:pic>
                    </a:graphicData>
                  </a:graphic>
                </wp:inline>
              </w:drawing>
            </w:r>
          </w:p>
        </w:tc>
      </w:tr>
      <w:tr w14:paraId="616191ED" w14:textId="77777777">
        <w:trPr>
          <w:jc w:val="right"/>
        </w:trPr>
        <w:tc>
          <w:tcPr>
            <w:tcW w:w="5000" w:type="pct"/>
          </w:tcPr>
          <w:p w14:paraId="1661B3B9" w14:textId="77777777">
            <w:pPr>
              <w:pStyle w:val="CodeParagraph"/>
              <w:keepNext/>
              <w:rPr>
                <w:rStyle w:val="Codetext"/>
              </w:rPr>
            </w:pPr>
            <w:r>
              <w:rPr>
                <w:rStyle w:val="Code"/>
              </w:rPr>
              <w:t xml:space="preserve">&lt;p&gt;&lt;pb </w:t>
            </w:r>
            <w:r>
              <w:rPr>
                <w:rStyle w:val="Codeattribute"/>
              </w:rPr>
              <w:t>n</w:t>
            </w:r>
            <w:r>
              <w:rPr>
                <w:rStyle w:val="Code"/>
              </w:rPr>
              <w:t>=</w:t>
            </w:r>
            <w:r>
              <w:rPr>
                <w:rStyle w:val="Codevalue"/>
              </w:rPr>
              <w:t>"1"</w:t>
            </w:r>
            <w:r>
              <w:rPr>
                <w:rStyle w:val="Code"/>
              </w:rPr>
              <w:t xml:space="preserve">/&gt;&lt;lb </w:t>
            </w:r>
            <w:r>
              <w:rPr>
                <w:rStyle w:val="Codeattribute"/>
              </w:rPr>
              <w:t>n</w:t>
            </w:r>
            <w:r>
              <w:rPr>
                <w:rStyle w:val="Code"/>
              </w:rPr>
              <w:t>=</w:t>
            </w:r>
            <w:r>
              <w:rPr>
                <w:rStyle w:val="Codevalue"/>
              </w:rPr>
              <w:t>"1"</w:t>
            </w:r>
            <w:r>
              <w:rPr>
                <w:rStyle w:val="Code"/>
              </w:rPr>
              <w:t>/&gt;</w:t>
            </w:r>
            <w:r>
              <w:rPr>
                <w:rStyle w:val="Codetext"/>
              </w:rPr>
              <w:t>...</w:t>
            </w:r>
          </w:p>
          <w:p w14:paraId="3D387A47"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"2"</w:t>
            </w:r>
            <w:r>
              <w:rPr>
                <w:rStyle w:val="Code"/>
              </w:rPr>
              <w:t>/&gt;</w:t>
            </w:r>
            <w:r>
              <w:rPr>
                <w:rStyle w:val="Codetext"/>
              </w:rPr>
              <w:t>...</w:t>
            </w:r>
          </w:p>
          <w:p w14:paraId="3AB7C6DE" w14:textId="77777777">
            <w:pPr>
              <w:pStyle w:val="CodeParagraph"/>
              <w:keepNext/>
              <w:rPr>
                <w:rStyle w:val="Codetext"/>
              </w:rPr>
            </w:pPr>
            <w:r>
              <w:rPr>
                <w:rStyle w:val="Codetext"/>
              </w:rPr>
              <w:t xml:space="preserve">  ...</w:t>
            </w:r>
          </w:p>
          <w:p w14:paraId="3754FAA8" w14:textId="77777777">
            <w:pPr>
              <w:pStyle w:val="CodeParagraph"/>
              <w:keepNext/>
              <w:rPr>
                <w:rStyle w:val="Codetext"/>
              </w:rPr>
            </w:pPr>
            <w:r>
              <w:rPr>
                <w:rStyle w:val="Code"/>
              </w:rPr>
              <w:t xml:space="preserve">  &lt;pb </w:t>
            </w:r>
            <w:r>
              <w:rPr>
                <w:rStyle w:val="Codeattribute"/>
              </w:rPr>
              <w:t>n</w:t>
            </w:r>
            <w:r>
              <w:rPr>
                <w:rStyle w:val="Code"/>
              </w:rPr>
              <w:t>=</w:t>
            </w:r>
            <w:r>
              <w:rPr>
                <w:rStyle w:val="Codevalue"/>
              </w:rPr>
              <w:t>"2"</w:t>
            </w:r>
            <w:r>
              <w:rPr>
                <w:rStyle w:val="Code"/>
              </w:rPr>
              <w:t xml:space="preserve">/&gt;&lt;lb </w:t>
            </w:r>
            <w:r>
              <w:rPr>
                <w:rStyle w:val="Codeattribute"/>
              </w:rPr>
              <w:t>n</w:t>
            </w:r>
            <w:r>
              <w:rPr>
                <w:rStyle w:val="Code"/>
              </w:rPr>
              <w:t>=</w:t>
            </w:r>
            <w:r>
              <w:rPr>
                <w:rStyle w:val="Codevalue"/>
              </w:rPr>
              <w:t>"11"</w:t>
            </w:r>
            <w:r>
              <w:rPr>
                <w:rStyle w:val="Code"/>
              </w:rPr>
              <w:t>/&gt;</w:t>
            </w:r>
            <w:r>
              <w:rPr>
                <w:rStyle w:val="Codetext"/>
              </w:rPr>
              <w:t>...</w:t>
            </w:r>
          </w:p>
          <w:p w14:paraId="5220C7DC" w14:textId="77777777">
            <w:pPr>
              <w:pStyle w:val="CodeParagraph"/>
              <w:keepNext/>
              <w:rPr>
                <w:rStyle w:val="Code"/>
              </w:rPr>
            </w:pPr>
            <w:r>
              <w:rPr>
                <w:rStyle w:val="Code"/>
              </w:rPr>
              <w:t xml:space="preserve">  &lt;lb </w:t>
            </w:r>
            <w:r>
              <w:rPr>
                <w:rStyle w:val="Codeattribute"/>
              </w:rPr>
              <w:t>n</w:t>
            </w:r>
            <w:r>
              <w:rPr>
                <w:rStyle w:val="Code"/>
              </w:rPr>
              <w:t>=</w:t>
            </w:r>
            <w:r>
              <w:rPr>
                <w:rStyle w:val="Codevalue"/>
              </w:rPr>
              <w:t>"12"</w:t>
            </w:r>
            <w:r>
              <w:rPr>
                <w:rStyle w:val="Code"/>
              </w:rPr>
              <w:t>/&gt;</w:t>
            </w:r>
            <w:r>
              <w:rPr>
                <w:rStyle w:val="Codetext"/>
              </w:rPr>
              <w:t>...</w:t>
            </w:r>
          </w:p>
          <w:p w14:paraId="4EA0320A" w14:textId="77777777">
            <w:pPr>
              <w:pStyle w:val="CodeParagraph"/>
              <w:keepNext/>
              <w:rPr>
                <w:rStyle w:val="Codetext"/>
              </w:rPr>
            </w:pPr>
            <w:r>
              <w:rPr>
                <w:rStyle w:val="Codetext"/>
              </w:rPr>
              <w:t xml:space="preserve">  ...</w:t>
            </w:r>
          </w:p>
          <w:p w14:paraId="72AC91C8" w14:textId="77777777">
            <w:pPr>
              <w:pStyle w:val="CodeParagraph"/>
              <w:keepNext/>
              <w:rPr>
                <w:rFonts w:ascii="Consolas" w:hAnsi="Consolas" w:cs="Consolas"/>
                <w:noProof/>
                <w:color w:val="002060"/>
                <w:shd w:val="clear" w:color="auto" w:fill="F2F2F2" w:themeFill="background1" w:themeFillShade="F2"/>
              </w:rPr>
            </w:pPr>
            <w:r>
              <w:rPr>
                <w:rStyle w:val="Code"/>
              </w:rPr>
              <w:t>&lt;/p&gt;</w:t>
            </w:r>
          </w:p>
        </w:tc>
      </w:tr>
      <w:tr w14:paraId="58F00B90" w14:textId="77777777">
        <w:trPr>
          <w:jc w:val="right"/>
        </w:trPr>
        <w:tc>
          <w:tcPr>
            <w:tcW w:w="5000" w:type="pct"/>
          </w:tcPr>
          <w:p w14:paraId="77281D11" w14:textId="5E3DBACA">
            <w:pPr>
              <w:pStyle w:val="TableNote"/>
              <w:rPr>
                <w:rStyle w:val="Code"/>
              </w:rPr>
            </w:pPr>
            <w:r>
              <w:t>compare the exhibits in §</w:t>
            </w:r>
            <w:r>
              <w:fldChar w:fldCharType="begin"/>
            </w:r>
            <w:r>
              <w:instrText xml:space="preserve"> REF _Ref225781091 \r \h </w:instrText>
            </w:r>
            <w:r>
              <w:fldChar w:fldCharType="separate"/>
            </w:r>
            <w:r>
              <w:t>4.7.4.2</w:t>
            </w:r>
            <w:r>
              <w:fldChar w:fldCharType="end"/>
            </w:r>
          </w:p>
        </w:tc>
      </w:tr>
    </w:tbl>
    <w:p w14:paraId="0BF86CDB" w14:textId="1674EEC7">
      <w:pPr>
        <w:pStyle w:val="Lista"/>
      </w:pPr>
      <w:r>
        <w:t xml:space="preserve">to encode pagelike partitions other than genuine pages, use the empty element </w:t>
      </w:r>
      <w:r>
        <w:rPr>
          <w:rStyle w:val="Code"/>
        </w:rPr>
        <w:t>&lt;milestone/&gt;</w:t>
      </w:r>
      <w:r>
        <w:t xml:space="preserve"> as in </w:t>
      </w:r>
      <w:r>
        <w:fldChar w:fldCharType="begin"/>
      </w:r>
      <w:r>
        <w:instrText xml:space="preserve"> REF _Ref225354659 \h </w:instrText>
      </w:r>
      <w:r>
        <w:fldChar w:fldCharType="separate"/>
      </w:r>
      <w:r>
        <w:t xml:space="preserve">Exhibit </w:t>
      </w:r>
      <w:r>
        <w:rPr>
          <w:noProof/>
        </w:rPr>
        <w:t>4.4</w:t>
      </w:r>
      <w:r>
        <w:t>.</w:t>
      </w:r>
      <w:r>
        <w:rPr>
          <w:noProof/>
        </w:rPr>
        <w:t>B</w:t>
      </w:r>
      <w:r>
        <w:fldChar w:fldCharType="end"/>
      </w:r>
      <w:r>
        <w:t>, with the following attributes</w:t>
      </w:r>
    </w:p>
    <w:p w14:paraId="5474C35B" w14:textId="77777777">
      <w:pPr>
        <w:pStyle w:val="Lista2"/>
      </w:pPr>
      <w:r>
        <w:t xml:space="preserve">mandatorily, </w:t>
      </w:r>
      <w:r>
        <w:rPr>
          <w:rStyle w:val="Codeattribute"/>
        </w:rPr>
        <w:t>@type</w:t>
      </w:r>
      <w:r>
        <w:t xml:space="preserve"> with the value </w:t>
      </w:r>
      <w:r>
        <w:rPr>
          <w:rStyle w:val="Codevalue"/>
        </w:rPr>
        <w:t>"pagelike"</w:t>
      </w:r>
      <w:r>
        <w:t xml:space="preserve"> </w:t>
      </w:r>
    </w:p>
    <w:p w14:paraId="1E7763EF" w14:textId="77777777">
      <w:pPr>
        <w:pStyle w:val="Lista3"/>
      </w:pPr>
      <w:r>
        <w:t>this serves in our project to explicitly distinguish these elements from other milestones used in an edition</w:t>
      </w:r>
    </w:p>
    <w:p w14:paraId="6541948D" w14:textId="50DF863D">
      <w:pPr>
        <w:pStyle w:val="Lista2"/>
      </w:pPr>
      <w:r>
        <w:t xml:space="preserve">mandatorily, </w:t>
      </w:r>
      <w:r>
        <w:rPr>
          <w:rStyle w:val="Codeattribute"/>
        </w:rPr>
        <w:t>@unit</w:t>
      </w:r>
      <w:r>
        <w:t xml:space="preserve"> to encode the nature of the transition explicitly as per §</w:t>
      </w:r>
      <w:r>
        <w:fldChar w:fldCharType="begin"/>
      </w:r>
      <w:r>
        <w:instrText xml:space="preserve"> REF _Ref182815315 \r \h </w:instrText>
      </w:r>
      <w:r>
        <w:fldChar w:fldCharType="separate"/>
      </w:r>
      <w:r>
        <w:t>4.3.1</w:t>
      </w:r>
      <w:r>
        <w:fldChar w:fldCharType="end"/>
      </w:r>
    </w:p>
    <w:p w14:paraId="1FECBF10" w14:textId="351B0E73">
      <w:pPr>
        <w:pStyle w:val="Lista2"/>
      </w:pPr>
      <w:r>
        <w:t xml:space="preserve">mandatorily, </w:t>
      </w:r>
      <w:r>
        <w:rPr>
          <w:rStyle w:val="Codeattribute"/>
        </w:rPr>
        <w:t>@n</w:t>
      </w:r>
      <w:r>
        <w:t xml:space="preserve"> as per §</w:t>
      </w:r>
      <w:r>
        <w:fldChar w:fldCharType="begin"/>
      </w:r>
      <w:r>
        <w:instrText xml:space="preserve"> REF _Ref182318136 \r \h </w:instrText>
      </w:r>
      <w:r>
        <w:fldChar w:fldCharType="separate"/>
      </w:r>
      <w:r>
        <w:t>4.4.3.1</w:t>
      </w:r>
      <w:r>
        <w:fldChar w:fldCharType="end"/>
      </w:r>
    </w:p>
    <w:p w14:paraId="586A9A7C" w14:textId="07A7B663">
      <w:pPr>
        <w:pStyle w:val="Lista2"/>
      </w:pPr>
      <w:r>
        <w:t xml:space="preserve">as applicable, </w:t>
      </w:r>
      <w:r>
        <w:rPr>
          <w:rStyle w:val="Codeattribute"/>
        </w:rPr>
        <w:t>@break</w:t>
      </w:r>
      <w:r>
        <w:t xml:space="preserve"> for partitions interrupting words as per §</w:t>
      </w:r>
      <w:r>
        <w:fldChar w:fldCharType="begin"/>
      </w:r>
      <w:r>
        <w:instrText xml:space="preserve"> REF _Ref225519777 \r \h </w:instrText>
      </w:r>
      <w:r>
        <w:fldChar w:fldCharType="separate"/>
      </w:r>
      <w:r>
        <w:t>4.3.2.1</w:t>
      </w:r>
      <w:r>
        <w:fldChar w:fldCharType="end"/>
      </w:r>
    </w:p>
    <w:p w14:paraId="0CB56071" w14:textId="77777777">
      <w:pPr>
        <w:pStyle w:val="Lista"/>
      </w:pPr>
      <w:r>
        <w:rPr>
          <w:rStyle w:val="Code"/>
        </w:rPr>
        <w:t>&lt;milestone/&gt;</w:t>
      </w:r>
      <w:r>
        <w:t xml:space="preserve"> marks zone beginnings (rather than transitions) and thus, when pagelike zones are present in a document, the element must be created at the start of each such zone including the first</w:t>
      </w:r>
    </w:p>
    <w:p w14:paraId="254176EA" w14:textId="298E9F91">
      <w:pPr>
        <w:pStyle w:val="Lista"/>
      </w:pPr>
      <w:r>
        <w:t>good practice considerations applicable to structural milestones (§</w:t>
      </w:r>
      <w:r>
        <w:fldChar w:fldCharType="begin"/>
      </w:r>
      <w:r>
        <w:instrText xml:space="preserve"> REF _Ref225253138 \r \h </w:instrText>
      </w:r>
      <w:r>
        <w:fldChar w:fldCharType="separate"/>
      </w:r>
      <w:r>
        <w:t>4.3.3</w:t>
      </w:r>
      <w:r>
        <w:fldChar w:fldCharType="end"/>
      </w:r>
      <w:r>
        <w:t>) apply equally to pagelike partitions</w:t>
      </w:r>
    </w:p>
    <w:p w14:paraId="5B7BBAC2" w14:textId="0BE74787">
      <w:pPr>
        <w:pStyle w:val="Lista"/>
      </w:pPr>
      <w:r>
        <w:t>see §</w:t>
      </w:r>
      <w:r>
        <w:fldChar w:fldCharType="begin"/>
      </w:r>
      <w:r>
        <w:instrText xml:space="preserve"> REF _Ref225759789 \r \h </w:instrText>
      </w:r>
      <w:r>
        <w:fldChar w:fldCharType="separate"/>
      </w:r>
      <w:r>
        <w:t>4.7.4</w:t>
      </w:r>
      <w:r>
        <w:fldChar w:fldCharType="end"/>
      </w:r>
      <w:r>
        <w:t xml:space="preserve"> for further discussion of when pagelike zones should be used, and the Case Studies </w:t>
      </w:r>
      <w:r>
        <w:rPr>
          <w:noProof/>
        </w:rPr>
        <w:t xml:space="preserve">in </w:t>
      </w:r>
      <w:r>
        <w:rPr>
          <w:noProof/>
        </w:rPr>
        <w:fldChar w:fldCharType="begin"/>
      </w:r>
      <w:r>
        <w:rPr>
          <w:noProof/>
        </w:rPr>
        <w:instrText xml:space="preserve"> REF _Ref239844153 \r \h </w:instrText>
      </w:r>
      <w:r>
        <w:rPr>
          <w:noProof/>
        </w:rPr>
      </w:r>
      <w:r>
        <w:rPr>
          <w:noProof/>
        </w:rPr>
        <w:fldChar w:fldCharType="separate"/>
      </w:r>
      <w:r>
        <w:rPr>
          <w:noProof/>
        </w:rPr>
        <w:t>Appendix A.5</w:t>
      </w:r>
      <w:r>
        <w:rPr>
          <w:noProof/>
        </w:rPr>
        <w:fldChar w:fldCharType="end"/>
      </w:r>
      <w:r>
        <w:rPr>
          <w:noProof/>
        </w:rPr>
        <w:t xml:space="preserve"> and </w:t>
      </w:r>
      <w:r>
        <w:rPr>
          <w:noProof/>
        </w:rPr>
        <w:fldChar w:fldCharType="begin"/>
      </w:r>
      <w:r>
        <w:rPr>
          <w:noProof/>
        </w:rPr>
        <w:instrText xml:space="preserve"> REF _Ref239844156 \r \h </w:instrText>
      </w:r>
      <w:r>
        <w:rPr>
          <w:noProof/>
        </w:rPr>
      </w:r>
      <w:r>
        <w:rPr>
          <w:noProof/>
        </w:rPr>
        <w:fldChar w:fldCharType="separate"/>
      </w:r>
      <w:r>
        <w:rPr>
          <w:noProof/>
        </w:rPr>
        <w:t>Appendix A.6</w:t>
      </w:r>
      <w:r>
        <w:rPr>
          <w:noProof/>
        </w:rPr>
        <w:fldChar w:fldCharType="end"/>
      </w:r>
      <w:r>
        <w:rPr>
          <w:noProof/>
        </w:rPr>
        <w:t xml:space="preserve"> </w:t>
      </w:r>
      <w:r>
        <w:t>for more complex scenarios</w:t>
      </w:r>
    </w:p>
    <w:p w14:paraId="34B896D1" w14:textId="77777777">
      <w:pPr>
        <w:pStyle w:val="Cmsor4"/>
      </w:pPr>
      <w:bookmarkStart w:id="248" w:name="_Ref182300602"/>
      <w:bookmarkStart w:id="249" w:name="_Ref182318136"/>
      <w:r>
        <w:t>Numbering pagelike milestones</w:t>
      </w:r>
      <w:bookmarkEnd w:id="248"/>
      <w:bookmarkEnd w:id="249"/>
    </w:p>
    <w:p w14:paraId="287EB0CF" w14:textId="77777777">
      <w:pPr>
        <w:pStyle w:val="Lista"/>
      </w:pPr>
      <w:r>
        <w:t>pagelike partitions are mandatorily numbered in DHARMA editions</w:t>
      </w:r>
    </w:p>
    <w:p w14:paraId="1F51C9B8" w14:textId="77777777">
      <w:pPr>
        <w:pStyle w:val="Lista"/>
      </w:pPr>
      <w:r>
        <w:t xml:space="preserve">the values of </w:t>
      </w:r>
      <w:r>
        <w:rPr>
          <w:rStyle w:val="Codeattribute"/>
        </w:rPr>
        <w:t>@n</w:t>
      </w:r>
      <w:r>
        <w:t xml:space="preserve"> recommended for the identification of pagelike partitions other than actual pages are uppercase Latin letters beginning with “A”</w:t>
      </w:r>
    </w:p>
    <w:p w14:paraId="1FB46D7D" w14:textId="77777777">
      <w:pPr>
        <w:pStyle w:val="Lista2"/>
      </w:pPr>
      <w:r>
        <w:t>nonetheless, any numeration scheme may be used depending on your preference and the conventions of your specific field; in particular, feel free to use</w:t>
      </w:r>
    </w:p>
    <w:p w14:paraId="67D91F7C" w14:textId="3187C5DA">
      <w:pPr>
        <w:pStyle w:val="Lista3"/>
      </w:pPr>
      <w:r>
        <w:t>the uppercase letters N, S, E, W to indicate cardinal directions (</w:t>
      </w:r>
      <w:r>
        <w:fldChar w:fldCharType="begin"/>
      </w:r>
      <w:r>
        <w:instrText xml:space="preserve"> REF _Ref44078459 \h </w:instrText>
      </w:r>
      <w:r>
        <w:fldChar w:fldCharType="separate"/>
      </w:r>
      <w:r>
        <w:t xml:space="preserve">Exhibit </w:t>
      </w:r>
      <w:r>
        <w:rPr>
          <w:noProof/>
        </w:rPr>
        <w:t>4.4</w:t>
      </w:r>
      <w:r>
        <w:t>.</w:t>
      </w:r>
      <w:r>
        <w:rPr>
          <w:noProof/>
        </w:rPr>
        <w:t>C</w:t>
      </w:r>
      <w:r>
        <w:fldChar w:fldCharType="end"/>
      </w:r>
      <w:r>
        <w:t>)</w:t>
      </w:r>
    </w:p>
    <w:p w14:paraId="0F99D867" w14:textId="77777777">
      <w:pPr>
        <w:pStyle w:val="Lista3"/>
      </w:pPr>
      <w:r>
        <w:t xml:space="preserve">lowercase letters alternating with uppercase ones to denote major/frontal and minor/lateral faces of a three-dimensional object such as a Southeast Asian stele, e.g. A, b, C and d </w:t>
      </w:r>
      <w:r>
        <w:rPr>
          <w:noProof/>
        </w:rPr>
        <w:t>(</w:t>
      </w:r>
      <w:r>
        <w:t>for faces inscribed as separate zones)</w:t>
      </w:r>
    </w:p>
    <w:p w14:paraId="1C0FA0AA" w14:textId="77777777">
      <w:pPr>
        <w:pStyle w:val="Lista4"/>
      </w:pPr>
      <w:r>
        <w:t xml:space="preserve">or pairs of such letters, Ab and Cd </w:t>
      </w:r>
      <w:r>
        <w:rPr>
          <w:noProof/>
        </w:rPr>
        <w:t>(</w:t>
      </w:r>
      <w:r>
        <w:t>where pairs of faces constitute single virtual zones)</w:t>
      </w:r>
    </w:p>
    <w:p w14:paraId="1E936AE8" w14:textId="77777777">
      <w:pPr>
        <w:pStyle w:val="Lista"/>
      </w:pPr>
      <w:r>
        <w:t>when several textpart divisions of an edition include pagelike milestones, then</w:t>
      </w:r>
    </w:p>
    <w:p w14:paraId="18791542" w14:textId="5446CCA2">
      <w:pPr>
        <w:pStyle w:val="Lista2"/>
      </w:pPr>
      <w:r>
        <w:t xml:space="preserve">if the pagelike partitions are of the same kind (i.e. have the same </w:t>
      </w:r>
      <w:r>
        <w:rPr>
          <w:rStyle w:val="Codeattribute"/>
        </w:rPr>
        <w:t>@unit</w:t>
      </w:r>
      <w:r>
        <w:t>), then their numbering must be reset in each textpart (§</w:t>
      </w:r>
      <w:r>
        <w:fldChar w:fldCharType="begin"/>
      </w:r>
      <w:r>
        <w:instrText xml:space="preserve"> REF _Ref43986747 \r \h </w:instrText>
      </w:r>
      <w:r>
        <w:fldChar w:fldCharType="separate"/>
      </w:r>
      <w:r>
        <w:t>4.2.1.4</w:t>
      </w:r>
      <w:r>
        <w:fldChar w:fldCharType="end"/>
      </w:r>
      <w:r>
        <w:t>) unless there is a strong reason not to do so</w:t>
      </w:r>
    </w:p>
    <w:p w14:paraId="783149AF" w14:textId="223F39D1">
      <w:pPr>
        <w:pStyle w:val="Lista2"/>
      </w:pPr>
      <w:r>
        <w:t xml:space="preserve">if the pagelike partitions are of different kinds, it is recommended that you employ different numeration schemes for them in addition to distinguishing them by </w:t>
      </w:r>
      <w:r>
        <w:rPr>
          <w:rStyle w:val="Codeattribute"/>
        </w:rPr>
        <w:t>@unit</w:t>
      </w:r>
      <w:r>
        <w:t xml:space="preserve"> (§</w:t>
      </w:r>
      <w:r>
        <w:fldChar w:fldCharType="begin"/>
      </w:r>
      <w:r>
        <w:instrText xml:space="preserve"> REF _Ref182815315 \r \h </w:instrText>
      </w:r>
      <w:r>
        <w:fldChar w:fldCharType="separate"/>
      </w:r>
      <w:r>
        <w:t>4.3.1</w:t>
      </w:r>
      <w:r>
        <w:fldChar w:fldCharType="end"/>
      </w:r>
      <w:r>
        <w:t>)</w:t>
      </w:r>
    </w:p>
    <w:p w14:paraId="15E4AE12" w14:textId="1A62D529">
      <w:pPr>
        <w:pStyle w:val="Lista2"/>
      </w:pPr>
      <w:r>
        <w:t>recall from §</w:t>
      </w:r>
      <w:r>
        <w:fldChar w:fldCharType="begin"/>
      </w:r>
      <w:r>
        <w:instrText xml:space="preserve"> REF _Ref182923075 \r \h </w:instrText>
      </w:r>
      <w:r>
        <w:fldChar w:fldCharType="separate"/>
      </w:r>
      <w:r>
        <w:t>4.1</w:t>
      </w:r>
      <w:r>
        <w:fldChar w:fldCharType="end"/>
      </w:r>
      <w:r>
        <w:t xml:space="preserve"> that only one kind of pagelike partition is allowed within any single division (i.e. in the edition or in each textpart, as the case may be)</w:t>
      </w:r>
    </w:p>
    <w:p w14:paraId="00F6A6CF" w14:textId="77777777">
      <w:pPr>
        <w:pStyle w:val="Cmsor4"/>
      </w:pPr>
      <w:bookmarkStart w:id="250" w:name="_Ref182299869"/>
      <w:r>
        <w:t>Labels for pagelike milestones</w:t>
      </w:r>
      <w:bookmarkEnd w:id="250"/>
    </w:p>
    <w:p w14:paraId="116A0481" w14:textId="77777777">
      <w:pPr>
        <w:rPr>
          <w:lang w:eastAsia="en-US" w:bidi="ar-SA"/>
        </w:rPr>
      </w:pPr>
      <w:r>
        <w:t>Milestones are numbered for reference. When an XML edition is rendered for display, labels for pagelike partitions will be automatically generated from the unit and the number, as noted in the examples in this section. When these automatic headings are deemed insufficient, an optional custom label may be added to the encoding, which will replace the auto-generated label.</w:t>
      </w:r>
    </w:p>
    <w:p w14:paraId="2B3B9046" w14:textId="77777777">
      <w:pPr>
        <w:pStyle w:val="Lista"/>
      </w:pPr>
      <w:r>
        <w:t xml:space="preserve">auto-generated labels will consist of the value of </w:t>
      </w:r>
      <w:r>
        <w:rPr>
          <w:rStyle w:val="Codeattribute"/>
        </w:rPr>
        <w:t>@unit</w:t>
      </w:r>
      <w:r>
        <w:t xml:space="preserve"> (with the initial letter changed to uppercase), followed by the value of </w:t>
      </w:r>
      <w:r>
        <w:rPr>
          <w:rStyle w:val="Codeattribute"/>
        </w:rPr>
        <w:t>@n</w:t>
      </w:r>
      <w:r>
        <w:t xml:space="preserve"> (unchanged), for example as follows</w:t>
      </w:r>
    </w:p>
    <w:p w14:paraId="271A9061" w14:textId="77777777">
      <w:pPr>
        <w:pStyle w:val="Lista2"/>
      </w:pP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t xml:space="preserve"> → “Face A” </w:t>
      </w:r>
    </w:p>
    <w:p w14:paraId="4121AB3F" w14:textId="77777777">
      <w:pPr>
        <w:pStyle w:val="Lista2"/>
      </w:pP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"zone"</w:t>
      </w:r>
      <w:r>
        <w:rPr>
          <w:rStyle w:val="Code"/>
        </w:rPr>
        <w:t xml:space="preserve"> </w:t>
      </w:r>
      <w:r>
        <w:rPr>
          <w:rStyle w:val="Codeattribute"/>
        </w:rPr>
        <w:t>n</w:t>
      </w:r>
      <w:r>
        <w:rPr>
          <w:rStyle w:val="Code"/>
        </w:rPr>
        <w:t>=</w:t>
      </w:r>
      <w:r>
        <w:rPr>
          <w:rStyle w:val="Codevalue"/>
        </w:rPr>
        <w:t>"1"</w:t>
      </w:r>
      <w:r>
        <w:rPr>
          <w:rStyle w:val="Code"/>
        </w:rPr>
        <w:t>/&gt;</w:t>
      </w:r>
      <w:r>
        <w:t xml:space="preserve"> → “Zone 1” </w:t>
      </w:r>
    </w:p>
    <w:p w14:paraId="43B37574" w14:textId="77777777">
      <w:pPr>
        <w:pStyle w:val="Lista"/>
      </w:pPr>
      <w:r>
        <w:lastRenderedPageBreak/>
        <w:t xml:space="preserve">to add flexibility to the titling displayed for pagelike partitions, use the optional element </w:t>
      </w:r>
      <w:r>
        <w:rPr>
          <w:rStyle w:val="Code"/>
        </w:rPr>
        <w:t xml:space="preserve">&lt;label </w:t>
      </w:r>
      <w:r>
        <w:rPr>
          <w:rStyle w:val="Codeattribute"/>
        </w:rPr>
        <w:t>xml:lang</w:t>
      </w:r>
      <w:r>
        <w:rPr>
          <w:rStyle w:val="Code"/>
        </w:rPr>
        <w:t>=</w:t>
      </w:r>
      <w:r>
        <w:rPr>
          <w:rStyle w:val="Codevalue"/>
        </w:rPr>
        <w:t>"eng"</w:t>
      </w:r>
      <w:r>
        <w:rPr>
          <w:rStyle w:val="Code"/>
        </w:rPr>
        <w:t>&gt;</w:t>
      </w:r>
      <w:r>
        <w:t xml:space="preserve"> immediately after the </w:t>
      </w:r>
      <w:r>
        <w:rPr>
          <w:rStyle w:val="Code"/>
        </w:rPr>
        <w:t>&lt;milestone/&gt;</w:t>
      </w:r>
      <w:r>
        <w:t xml:space="preserve"> element</w:t>
      </w:r>
    </w:p>
    <w:p w14:paraId="56ADB1F7" w14:textId="5AF4141C">
      <w:pPr>
        <w:pStyle w:val="Lista2"/>
      </w:pPr>
      <w:r>
        <w:t>such elements in our editions will by default be regarded as editorial and therefore need not be marked up explicitly as such; the mandatory language attribute (§</w:t>
      </w:r>
      <w:r>
        <w:fldChar w:fldCharType="begin"/>
      </w:r>
      <w:r>
        <w:instrText xml:space="preserve"> REF _Ref233727317 \r \h </w:instrText>
      </w:r>
      <w:r>
        <w:fldChar w:fldCharType="separate"/>
      </w:r>
      <w:r>
        <w:t>14.4.1</w:t>
      </w:r>
      <w:r>
        <w:fldChar w:fldCharType="end"/>
      </w:r>
      <w:r>
        <w:t>) makes it sufficiently clear that their content is not part of the original text</w:t>
      </w:r>
    </w:p>
    <w:p w14:paraId="60912DDD" w14:textId="77777777">
      <w:pPr>
        <w:pStyle w:val="Lista2"/>
      </w:pPr>
      <w:r>
        <w:t xml:space="preserve">only add labels to zones if you find that the combination of </w:t>
      </w:r>
      <w:r>
        <w:rPr>
          <w:rStyle w:val="Codeattribute"/>
        </w:rPr>
        <w:t>@unit</w:t>
      </w:r>
      <w:r>
        <w:t xml:space="preserve"> and </w:t>
      </w:r>
      <w:r>
        <w:rPr>
          <w:rStyle w:val="Codeattribute"/>
        </w:rPr>
        <w:t>@n</w:t>
      </w:r>
      <w:r>
        <w:t xml:space="preserve"> cannot produce a sufficiently meaningful title; complex details such as the size and relative position of zones should be annotated, not encoded within the edition</w:t>
      </w:r>
    </w:p>
    <w:p w14:paraId="3C996F05" w14:textId="77777777">
      <w:pPr>
        <w:pStyle w:val="Lista2"/>
      </w:pPr>
      <w:r>
        <w:t>for the sake of consistency it is recommended that you stick to concise labels in English</w:t>
      </w:r>
    </w:p>
    <w:p w14:paraId="6544F6B2" w14:textId="4B8C2869">
      <w:pPr>
        <w:pStyle w:val="Lista2"/>
      </w:pPr>
      <w:r>
        <w:t xml:space="preserve">see </w:t>
      </w:r>
      <w:r>
        <w:fldChar w:fldCharType="begin"/>
      </w:r>
      <w:r>
        <w:instrText xml:space="preserve"> REF _Ref44078459 \h </w:instrText>
      </w:r>
      <w:r>
        <w:fldChar w:fldCharType="separate"/>
      </w:r>
      <w:r>
        <w:t xml:space="preserve">Exhibit </w:t>
      </w:r>
      <w:r>
        <w:rPr>
          <w:noProof/>
        </w:rPr>
        <w:t>4.4</w:t>
      </w:r>
      <w:r>
        <w:t>.</w:t>
      </w:r>
      <w:r>
        <w:rPr>
          <w:noProof/>
        </w:rPr>
        <w:t>C</w:t>
      </w:r>
      <w:r>
        <w:fldChar w:fldCharType="end"/>
      </w:r>
      <w:r>
        <w:t xml:space="preserve"> for an illustration</w:t>
      </w:r>
    </w:p>
    <w:p w14:paraId="21B8E960" w14:textId="77777777">
      <w:pPr>
        <w:pStyle w:val="Lista"/>
      </w:pPr>
      <w:r>
        <w:t xml:space="preserve">although the content of editorial labels will replace the title auto-generated from </w:t>
      </w:r>
      <w:r>
        <w:rPr>
          <w:rStyle w:val="Codeattribute"/>
        </w:rPr>
        <w:t>@unit</w:t>
      </w:r>
      <w:r>
        <w:t xml:space="preserve"> and </w:t>
      </w:r>
      <w:r>
        <w:rPr>
          <w:rStyle w:val="Codeattribute"/>
        </w:rPr>
        <w:t>@n</w:t>
      </w:r>
      <w:r>
        <w:t xml:space="preserve"> in display, the use of the attributes </w:t>
      </w:r>
      <w:r>
        <w:rPr>
          <w:rStyle w:val="Codeattribute"/>
        </w:rPr>
        <w:t>@unit</w:t>
      </w:r>
      <w:r>
        <w:t xml:space="preserve"> and </w:t>
      </w:r>
      <w:r>
        <w:rPr>
          <w:rStyle w:val="Codeattribute"/>
        </w:rPr>
        <w:t>@n</w:t>
      </w:r>
      <w:r>
        <w:t xml:space="preserve"> on the </w:t>
      </w:r>
      <w:r>
        <w:rPr>
          <w:rStyle w:val="Code"/>
        </w:rPr>
        <w:t>&lt;milestone/&gt;</w:t>
      </w:r>
      <w:r>
        <w:t xml:space="preserve"> element remains mandatory even if a </w:t>
      </w:r>
      <w:r>
        <w:rPr>
          <w:rStyle w:val="Code"/>
        </w:rPr>
        <w:t>&lt;label&gt;</w:t>
      </w:r>
      <w:r>
        <w:t xml:space="preserve"> is present</w:t>
      </w:r>
    </w:p>
    <w:p w14:paraId="4DDDD221" w14:textId="77777777">
      <w:pPr>
        <w:pStyle w:val="Lista"/>
      </w:pPr>
      <w:r>
        <w:t>the contents of the label will not be altered in display, so</w:t>
      </w:r>
    </w:p>
    <w:p w14:paraId="51D3160D" w14:textId="77777777">
      <w:pPr>
        <w:pStyle w:val="Lista2"/>
      </w:pPr>
      <w:bookmarkStart w:id="251" w:name="_h6lmsgu4umfd" w:colFirst="0" w:colLast="0"/>
      <w:bookmarkEnd w:id="251"/>
      <w:r>
        <w:t>use a capital initial and feel free to include spaces, additional capitals and punctuation as necessary</w:t>
      </w:r>
    </w:p>
    <w:p w14:paraId="23AD7200" w14:textId="58231D3D">
      <w:pPr>
        <w:pStyle w:val="Lista2"/>
      </w:pPr>
      <w:r>
        <w:t xml:space="preserve">however, to avoid complications, do not use any further markup within this element, except the element </w:t>
      </w:r>
      <w:r>
        <w:rPr>
          <w:rStyle w:val="Code"/>
        </w:rPr>
        <w:t>&lt;foreign&gt;</w:t>
      </w:r>
      <w:r>
        <w:t xml:space="preserve"> </w:t>
      </w:r>
      <w:r>
        <w:rPr>
          <w:noProof/>
        </w:rPr>
        <w:t>(</w:t>
      </w:r>
      <w:r>
        <w:t>§</w:t>
      </w:r>
      <w:r>
        <w:fldChar w:fldCharType="begin"/>
      </w:r>
      <w:r>
        <w:instrText xml:space="preserve"> REF _Ref43986658 \w \h  \* MERGEFORMAT </w:instrText>
      </w:r>
      <w:r>
        <w:fldChar w:fldCharType="separate"/>
      </w:r>
      <w:r>
        <w:t>14.4.2</w:t>
      </w:r>
      <w:r>
        <w:fldChar w:fldCharType="end"/>
      </w:r>
      <w:r>
        <w:t>), which you may employ if you deem necessary</w:t>
      </w:r>
    </w:p>
    <w:tbl>
      <w:tblPr>
        <w:tblStyle w:val="CodeSampleTable"/>
        <w:tblW w:w="0" w:type="auto"/>
        <w:tblLook w:val="04A0" w:firstRow="1" w:lastRow="0" w:firstColumn="1" w:lastColumn="0" w:noHBand="0" w:noVBand="1"/>
      </w:tblPr>
      <w:tblGrid>
        <w:gridCol w:w="9054"/>
      </w:tblGrid>
      <w:tr w14:paraId="73D3F2E1" w14:textId="77777777">
        <w:trPr>
          <w:cnfStyle w:val="100000000000" w:firstRow="1" w:lastRow="0" w:firstColumn="0" w:lastColumn="0" w:oddVBand="0" w:evenVBand="0" w:oddHBand="0" w:evenHBand="0" w:firstRowFirstColumn="0" w:firstRowLastColumn="0" w:lastRowFirstColumn="0" w:lastRowLastColumn="0"/>
        </w:trPr>
        <w:tc>
          <w:tcPr>
            <w:tcW w:w="9054" w:type="dxa"/>
          </w:tcPr>
          <w:p w14:paraId="4FFB3959" w14:textId="07586A80">
            <w:pPr>
              <w:pStyle w:val="Kpalrs"/>
            </w:pPr>
            <w:bookmarkStart w:id="252" w:name="_Ref44078459"/>
            <w:bookmarkStart w:id="253" w:name="_Ref182300601"/>
            <w:bookmarkStart w:id="254" w:name="_Ref182300603"/>
            <w:r>
              <w:t xml:space="preserve">Exhibit </w:t>
            </w:r>
            <w:fldSimple w:instr=" STYLEREF 2 \s ">
              <w:r>
                <w:rPr>
                  <w:noProof/>
                </w:rPr>
                <w:t>4.4</w:t>
              </w:r>
            </w:fldSimple>
            <w:r>
              <w:t>.</w:t>
            </w:r>
            <w:fldSimple w:instr=" SEQ Exhibit \* ALPHABETIC \s 2 ">
              <w:r>
                <w:rPr>
                  <w:noProof/>
                </w:rPr>
                <w:t>C</w:t>
              </w:r>
            </w:fldSimple>
            <w:bookmarkEnd w:id="252"/>
            <w:r>
              <w:t>: two doorjambs as a pagelike partition with custom headings</w:t>
            </w:r>
          </w:p>
        </w:tc>
      </w:tr>
      <w:tr w14:paraId="732F4A6F" w14:textId="77777777">
        <w:tc>
          <w:tcPr>
            <w:tcW w:w="9054" w:type="dxa"/>
          </w:tcPr>
          <w:p w14:paraId="2519A2FE" w14:textId="77777777">
            <w:pPr>
              <w:pStyle w:val="CodeParagraph"/>
              <w:keepNext/>
              <w:rPr>
                <w:rStyle w:val="Codetext"/>
              </w:rPr>
            </w:pP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"item"</w:t>
            </w:r>
            <w:r>
              <w:rPr>
                <w:rStyle w:val="Code"/>
              </w:rPr>
              <w:t xml:space="preserve"> </w:t>
            </w:r>
            <w:r>
              <w:rPr>
                <w:rStyle w:val="Codeattribute"/>
              </w:rPr>
              <w:t>n</w:t>
            </w:r>
            <w:r>
              <w:rPr>
                <w:rStyle w:val="Code"/>
              </w:rPr>
              <w:t>=</w:t>
            </w:r>
            <w:r>
              <w:rPr>
                <w:rStyle w:val="Codevalue"/>
              </w:rPr>
              <w:t>"N"</w:t>
            </w:r>
            <w:r>
              <w:rPr>
                <w:rStyle w:val="Code"/>
              </w:rPr>
              <w:t xml:space="preserve">/&gt;&lt;label </w:t>
            </w:r>
            <w:r>
              <w:rPr>
                <w:rStyle w:val="Codeattribute"/>
              </w:rPr>
              <w:t>xml:lang</w:t>
            </w:r>
            <w:r>
              <w:rPr>
                <w:rStyle w:val="Code"/>
              </w:rPr>
              <w:t>=</w:t>
            </w:r>
            <w:r>
              <w:rPr>
                <w:rStyle w:val="Codevalue"/>
              </w:rPr>
              <w:t>"eng"</w:t>
            </w:r>
            <w:r>
              <w:rPr>
                <w:rStyle w:val="Code"/>
              </w:rPr>
              <w:t>&gt;</w:t>
            </w:r>
            <w:r>
              <w:rPr>
                <w:rStyle w:val="Codetext"/>
              </w:rPr>
              <w:t>Northern Doorjamb</w:t>
            </w:r>
            <w:r>
              <w:rPr>
                <w:rStyle w:val="Code"/>
              </w:rPr>
              <w:t>&lt;/label&gt;</w:t>
            </w:r>
            <w:r>
              <w:rPr>
                <w:rStyle w:val="Codetext"/>
              </w:rPr>
              <w:t>...</w:t>
            </w:r>
          </w:p>
          <w:p w14:paraId="638EAA7C" w14:textId="77777777">
            <w:pPr>
              <w:pStyle w:val="CodeParagraph"/>
              <w:keepNext/>
            </w:pP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"item"</w:t>
            </w:r>
            <w:r>
              <w:rPr>
                <w:rStyle w:val="Code"/>
              </w:rPr>
              <w:t xml:space="preserve"> </w:t>
            </w:r>
            <w:r>
              <w:rPr>
                <w:rStyle w:val="Codeattribute"/>
              </w:rPr>
              <w:t>n</w:t>
            </w:r>
            <w:r>
              <w:rPr>
                <w:rStyle w:val="Code"/>
              </w:rPr>
              <w:t>=</w:t>
            </w:r>
            <w:r>
              <w:rPr>
                <w:rStyle w:val="Codevalue"/>
              </w:rPr>
              <w:t>"S"</w:t>
            </w:r>
            <w:r>
              <w:rPr>
                <w:rStyle w:val="Code"/>
              </w:rPr>
              <w:t xml:space="preserve">/&gt;&lt;label </w:t>
            </w:r>
            <w:r>
              <w:rPr>
                <w:rStyle w:val="Codeattribute"/>
              </w:rPr>
              <w:t>xml:lang</w:t>
            </w:r>
            <w:r>
              <w:rPr>
                <w:rStyle w:val="Code"/>
              </w:rPr>
              <w:t>=</w:t>
            </w:r>
            <w:r>
              <w:rPr>
                <w:rStyle w:val="Codevalue"/>
              </w:rPr>
              <w:t>"eng"</w:t>
            </w:r>
            <w:r>
              <w:rPr>
                <w:rStyle w:val="Code"/>
              </w:rPr>
              <w:t>&gt;</w:t>
            </w:r>
            <w:r>
              <w:rPr>
                <w:rStyle w:val="Codetext"/>
              </w:rPr>
              <w:t>Southern Doorjamb</w:t>
            </w:r>
            <w:r>
              <w:rPr>
                <w:rStyle w:val="Code"/>
              </w:rPr>
              <w:t>&lt;/label&gt;</w:t>
            </w:r>
            <w:r>
              <w:rPr>
                <w:rStyle w:val="Codetext"/>
              </w:rPr>
              <w:t>...</w:t>
            </w:r>
          </w:p>
        </w:tc>
      </w:tr>
      <w:tr w14:paraId="692192E5" w14:textId="77777777">
        <w:tc>
          <w:tcPr>
            <w:tcW w:w="9054" w:type="dxa"/>
          </w:tcPr>
          <w:p w14:paraId="78477A09" w14:textId="77777777">
            <w:pPr>
              <w:pStyle w:val="TableNote"/>
              <w:rPr>
                <w:rStyle w:val="Code"/>
              </w:rPr>
            </w:pPr>
            <w:r>
              <w:t>explicitly encoded headings will show “Northern Doorjamb” and “Southern Doorjamb”</w:t>
            </w:r>
          </w:p>
        </w:tc>
      </w:tr>
    </w:tbl>
    <w:p w14:paraId="3EEEB79C" w14:textId="77777777">
      <w:pPr>
        <w:pStyle w:val="Cmsor3"/>
      </w:pPr>
      <w:bookmarkStart w:id="255" w:name="_tezue83pb823" w:colFirst="0" w:colLast="0"/>
      <w:bookmarkStart w:id="256" w:name="_Ref43986994"/>
      <w:bookmarkStart w:id="257" w:name="_Toc243922623"/>
      <w:bookmarkEnd w:id="253"/>
      <w:bookmarkEnd w:id="254"/>
      <w:bookmarkEnd w:id="255"/>
      <w:r>
        <w:t>Numbered elements in pagelike partitions</w:t>
      </w:r>
      <w:bookmarkEnd w:id="256"/>
      <w:bookmarkEnd w:id="257"/>
    </w:p>
    <w:p w14:paraId="6706C458" w14:textId="7C259539">
      <w:pPr>
        <w:pStyle w:val="Lista"/>
      </w:pPr>
      <w:r>
        <w:t>as set out under §</w:t>
      </w:r>
      <w:r>
        <w:fldChar w:fldCharType="begin"/>
      </w:r>
      <w:r>
        <w:instrText xml:space="preserve"> REF _Ref225761016 \r \h </w:instrText>
      </w:r>
      <w:r>
        <w:fldChar w:fldCharType="separate"/>
      </w:r>
      <w:r>
        <w:t>4.5.2</w:t>
      </w:r>
      <w:r>
        <w:fldChar w:fldCharType="end"/>
      </w:r>
      <w:r>
        <w:t>, physical line numbering may be either</w:t>
      </w:r>
    </w:p>
    <w:p w14:paraId="09A75AA9" w14:textId="77777777">
      <w:pPr>
        <w:pStyle w:val="Lista2"/>
      </w:pPr>
      <w:r>
        <w:t>consecutive throughout successive pagelike partitions, or</w:t>
      </w:r>
    </w:p>
    <w:p w14:paraId="744DAE14" w14:textId="77777777">
      <w:pPr>
        <w:pStyle w:val="Lista2"/>
      </w:pPr>
      <w:r>
        <w:t>restarted in each pagelike partition, provided that complex line numbers are used, which incorporate the number of the page or zone</w:t>
      </w:r>
    </w:p>
    <w:p w14:paraId="631C274E" w14:textId="77777777">
      <w:pPr>
        <w:pStyle w:val="Lista"/>
      </w:pPr>
      <w:r>
        <w:t>the numeration of any other numbered elements must ignore pagelike partitions, i.e. continue consecutively through each such partition</w:t>
      </w:r>
    </w:p>
    <w:p w14:paraId="4A1CC6DC" w14:textId="77777777">
      <w:pPr>
        <w:pStyle w:val="Lista2"/>
      </w:pPr>
      <w:r>
        <w:t>this explicitly includes stanzas, whose numbering is normally reset in boxlike partitions, but never after a pagelike partition</w:t>
      </w:r>
    </w:p>
    <w:p w14:paraId="4D05B280" w14:textId="77777777">
      <w:pPr>
        <w:pStyle w:val="Cmsor2"/>
      </w:pPr>
      <w:bookmarkStart w:id="258" w:name="_Ref224720139"/>
      <w:bookmarkStart w:id="259" w:name="_Ref224720155"/>
      <w:bookmarkStart w:id="260" w:name="_Toc243922624"/>
      <w:r>
        <w:t>Physical lines</w:t>
      </w:r>
      <w:bookmarkEnd w:id="199"/>
      <w:bookmarkEnd w:id="200"/>
      <w:bookmarkEnd w:id="201"/>
      <w:bookmarkEnd w:id="202"/>
      <w:bookmarkEnd w:id="203"/>
      <w:bookmarkEnd w:id="258"/>
      <w:bookmarkEnd w:id="259"/>
      <w:bookmarkEnd w:id="260"/>
    </w:p>
    <w:p w14:paraId="30B8DD55" w14:textId="094C6C99">
      <w:r>
        <w:t xml:space="preserve">To make the distinction from verse lines </w:t>
      </w:r>
      <w:r>
        <w:rPr>
          <w:noProof/>
        </w:rPr>
        <w:t>(§</w:t>
      </w:r>
      <w:r>
        <w:rPr>
          <w:noProof/>
        </w:rPr>
        <w:fldChar w:fldCharType="begin"/>
      </w:r>
      <w:r>
        <w:rPr>
          <w:noProof/>
        </w:rPr>
        <w:instrText xml:space="preserve"> REF _Ref224740501 \r \h </w:instrText>
      </w:r>
      <w:r>
        <w:rPr>
          <w:noProof/>
        </w:rPr>
      </w:r>
      <w:r>
        <w:rPr>
          <w:noProof/>
        </w:rPr>
        <w:fldChar w:fldCharType="separate"/>
      </w:r>
      <w:r>
        <w:rPr>
          <w:noProof/>
        </w:rPr>
        <w:t>3.2.2</w:t>
      </w:r>
      <w:r>
        <w:rPr>
          <w:noProof/>
        </w:rPr>
        <w:fldChar w:fldCharType="end"/>
      </w:r>
      <w:r>
        <w:t xml:space="preserve">) explicit, inscribed lines are referred to in this guide as </w:t>
      </w:r>
      <w:r>
        <w:rPr>
          <w:i/>
          <w:iCs/>
        </w:rPr>
        <w:t>epigraphic lines</w:t>
      </w:r>
      <w:r>
        <w:t xml:space="preserve"> or </w:t>
      </w:r>
      <w:r>
        <w:rPr>
          <w:i/>
          <w:iCs/>
        </w:rPr>
        <w:t>physical lines</w:t>
      </w:r>
      <w:r>
        <w:t xml:space="preserve"> where ambiguity is possible. The beginning of each epigraphic line must always be marked up within the edition. For the purpose of encoding in our project, we define a physical line as a stretch of text whose glyphs comprise a spatially and textually contiguous sequence while being spatially distinct from glyphs belonging to other lines.</w:t>
      </w:r>
    </w:p>
    <w:tbl>
      <w:tblPr>
        <w:tblStyle w:val="FigureTable"/>
        <w:tblW w:w="0" w:type="auto"/>
        <w:tblLook w:val="04A0" w:firstRow="1" w:lastRow="0" w:firstColumn="1" w:lastColumn="0" w:noHBand="0" w:noVBand="1"/>
      </w:tblPr>
      <w:tblGrid>
        <w:gridCol w:w="9628"/>
      </w:tblGrid>
      <w:tr w14:paraId="5ED86995" w14:textId="77777777">
        <w:trPr>
          <w:cnfStyle w:val="100000000000" w:firstRow="1" w:lastRow="0" w:firstColumn="0" w:lastColumn="0" w:oddVBand="0" w:evenVBand="0" w:oddHBand="0" w:evenHBand="0" w:firstRowFirstColumn="0" w:firstRowLastColumn="0" w:lastRowFirstColumn="0" w:lastRowLastColumn="0"/>
        </w:trPr>
        <w:tc>
          <w:tcPr>
            <w:tcW w:w="9628" w:type="dxa"/>
          </w:tcPr>
          <w:p w14:paraId="3F0FDE85" w14:textId="42A15D23">
            <w:pPr>
              <w:pStyle w:val="Kpalrs"/>
            </w:pPr>
            <w:bookmarkStart w:id="261" w:name="_Ref225427746"/>
            <w:r>
              <w:lastRenderedPageBreak/>
              <w:t xml:space="preserve">Exhibit </w:t>
            </w:r>
            <w:fldSimple w:instr=" STYLEREF 2 \s ">
              <w:r>
                <w:rPr>
                  <w:noProof/>
                </w:rPr>
                <w:t>4.5</w:t>
              </w:r>
            </w:fldSimple>
            <w:r>
              <w:t>.</w:t>
            </w:r>
            <w:fldSimple w:instr=" SEQ Exhibit \* ALPHABETIC \s 2 ">
              <w:r>
                <w:rPr>
                  <w:noProof/>
                </w:rPr>
                <w:t>A</w:t>
              </w:r>
            </w:fldSimple>
            <w:bookmarkEnd w:id="261"/>
            <w:r>
              <w:t>. A tidy inscription</w:t>
            </w:r>
          </w:p>
        </w:tc>
      </w:tr>
      <w:tr w14:paraId="482756F3" w14:textId="77777777">
        <w:tc>
          <w:tcPr>
            <w:tcW w:w="9628" w:type="dxa"/>
          </w:tcPr>
          <w:p w14:paraId="2F576E18" w14:textId="77777777">
            <w:pPr>
              <w:pStyle w:val="Image"/>
            </w:pPr>
            <w:r>
              <w:drawing>
                <wp:inline distT="0" distB="0" distL="0" distR="0" wp14:anchorId="577B72C4" wp14:editId="35EE9BB3">
                  <wp:extent cx="5400000" cy="1483200"/>
                  <wp:effectExtent l="0" t="0" r="0" b="3175"/>
                  <wp:docPr id="16"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8.png"/>
                          <pic:cNvPicPr/>
                        </pic:nvPicPr>
                        <pic:blipFill>
                          <a:blip r:embed="rId18"/>
                          <a:stretch>
                            <a:fillRect/>
                          </a:stretch>
                        </pic:blipFill>
                        <pic:spPr>
                          <a:xfrm>
                            <a:off x="0" y="0"/>
                            <a:ext cx="5400000" cy="1483200"/>
                          </a:xfrm>
                          <a:prstGeom prst="rect">
                            <a:avLst/>
                          </a:prstGeom>
                          <a:ln/>
                        </pic:spPr>
                      </pic:pic>
                    </a:graphicData>
                  </a:graphic>
                </wp:inline>
              </w:drawing>
            </w:r>
          </w:p>
        </w:tc>
      </w:tr>
    </w:tbl>
    <w:p w14:paraId="280503D9" w14:textId="77777777">
      <w:r>
        <w:t>This definition includes no presumptions concerning a line’s</w:t>
      </w:r>
    </w:p>
    <w:p w14:paraId="63715EBE" w14:textId="084C0F44">
      <w:pPr>
        <w:pStyle w:val="Lista"/>
      </w:pPr>
      <w:r>
        <w:t xml:space="preserve">position </w:t>
      </w:r>
      <w:r>
        <w:rPr>
          <w:noProof/>
        </w:rPr>
        <w:t>(</w:t>
      </w:r>
      <w:r>
        <w:t>some lines of a text may be set off from other lines; see §</w:t>
      </w:r>
      <w:r>
        <w:fldChar w:fldCharType="begin"/>
      </w:r>
      <w:r>
        <w:instrText xml:space="preserve"> REF _Ref43978135 \r \h </w:instrText>
      </w:r>
      <w:r>
        <w:fldChar w:fldCharType="separate"/>
      </w:r>
      <w:r>
        <w:t>4.7.1.1</w:t>
      </w:r>
      <w:r>
        <w:fldChar w:fldCharType="end"/>
      </w:r>
      <w:r>
        <w:t xml:space="preserve"> and §</w:t>
      </w:r>
      <w:r>
        <w:fldChar w:fldCharType="begin"/>
      </w:r>
      <w:r>
        <w:instrText xml:space="preserve"> REF _Ref182233273 \r \h </w:instrText>
      </w:r>
      <w:r>
        <w:fldChar w:fldCharType="separate"/>
      </w:r>
      <w:r>
        <w:t>4.7.1.2</w:t>
      </w:r>
      <w:r>
        <w:fldChar w:fldCharType="end"/>
      </w:r>
      <w:r>
        <w:t xml:space="preserve"> for specific cases)</w:t>
      </w:r>
    </w:p>
    <w:p w14:paraId="0F4C80BC" w14:textId="3551E283">
      <w:pPr>
        <w:pStyle w:val="Lista"/>
      </w:pPr>
      <w:r>
        <w:t xml:space="preserve">directionality </w:t>
      </w:r>
      <w:r>
        <w:rPr>
          <w:noProof/>
        </w:rPr>
        <w:t>(</w:t>
      </w:r>
      <w:r>
        <w:t>e.g. some lines run right to left while others run left to right; see §</w:t>
      </w:r>
      <w:r>
        <w:fldChar w:fldCharType="begin"/>
      </w:r>
      <w:r>
        <w:instrText xml:space="preserve"> REF _Ref43984782 \w \h  \* MERGEFORMAT </w:instrText>
      </w:r>
      <w:r>
        <w:fldChar w:fldCharType="separate"/>
      </w:r>
      <w:r>
        <w:t>8.5.2</w:t>
      </w:r>
      <w:r>
        <w:fldChar w:fldCharType="end"/>
      </w:r>
      <w:r>
        <w:t>)</w:t>
      </w:r>
    </w:p>
    <w:p w14:paraId="04F35A62" w14:textId="3536E6D1">
      <w:pPr>
        <w:pStyle w:val="Lista"/>
      </w:pPr>
      <w:r>
        <w:t xml:space="preserve">orientation </w:t>
      </w:r>
      <w:r>
        <w:rPr>
          <w:noProof/>
        </w:rPr>
        <w:t>(</w:t>
      </w:r>
      <w:r>
        <w:t>e.g. some lines may be vertical while others are horizontal; see §</w:t>
      </w:r>
      <w:r>
        <w:fldChar w:fldCharType="begin"/>
      </w:r>
      <w:r>
        <w:instrText xml:space="preserve"> REF _Ref43984782 \w \h  \* MERGEFORMAT </w:instrText>
      </w:r>
      <w:r>
        <w:fldChar w:fldCharType="separate"/>
      </w:r>
      <w:r>
        <w:t>8.5.2</w:t>
      </w:r>
      <w:r>
        <w:fldChar w:fldCharType="end"/>
      </w:r>
      <w:r>
        <w:t>)</w:t>
      </w:r>
    </w:p>
    <w:p w14:paraId="06DF09EB" w14:textId="77777777">
      <w:pPr>
        <w:pStyle w:val="Lista"/>
      </w:pPr>
      <w:r>
        <w:t xml:space="preserve">shape </w:t>
      </w:r>
      <w:r>
        <w:rPr>
          <w:noProof/>
        </w:rPr>
        <w:t>(</w:t>
      </w:r>
      <w:r>
        <w:t>lines may bend in various ways to follow an uneven surface, or the ends of certain lines may bend upward or downward to accommodate extra glyphs before the margin or the edge of the support)</w:t>
      </w:r>
    </w:p>
    <w:p w14:paraId="358C2535" w14:textId="77777777"/>
    <w:p w14:paraId="251196C8" w14:textId="28B2AC33">
      <w:r>
        <w:t xml:space="preserve">The concrete topology of the inscription is, however, irrelevant, so the tidy slab in </w:t>
      </w:r>
      <w:r>
        <w:fldChar w:fldCharType="begin"/>
      </w:r>
      <w:r>
        <w:instrText xml:space="preserve"> REF _Ref225427746 \h </w:instrText>
      </w:r>
      <w:r>
        <w:fldChar w:fldCharType="separate"/>
      </w:r>
      <w:r>
        <w:t xml:space="preserve">Exhibit </w:t>
      </w:r>
      <w:r>
        <w:rPr>
          <w:noProof/>
        </w:rPr>
        <w:t>4.5</w:t>
      </w:r>
      <w:r>
        <w:t>.</w:t>
      </w:r>
      <w:r>
        <w:rPr>
          <w:noProof/>
        </w:rPr>
        <w:t>A</w:t>
      </w:r>
      <w:r>
        <w:fldChar w:fldCharType="end"/>
      </w:r>
      <w:r>
        <w:t xml:space="preserve"> and the untidy boulder in </w:t>
      </w:r>
      <w:r>
        <w:fldChar w:fldCharType="begin"/>
      </w:r>
      <w:r>
        <w:instrText xml:space="preserve"> REF _Ref225427753 \h </w:instrText>
      </w:r>
      <w:r>
        <w:fldChar w:fldCharType="separate"/>
      </w:r>
      <w:r>
        <w:t xml:space="preserve">Exhibit </w:t>
      </w:r>
      <w:r>
        <w:rPr>
          <w:noProof/>
        </w:rPr>
        <w:t>4.5</w:t>
      </w:r>
      <w:r>
        <w:t>.</w:t>
      </w:r>
      <w:r>
        <w:rPr>
          <w:noProof/>
        </w:rPr>
        <w:t>B</w:t>
      </w:r>
      <w:r>
        <w:fldChar w:fldCharType="end"/>
      </w:r>
      <w:r>
        <w:t xml:space="preserve"> are encoded in the same manner, differing only in the number of lines. The arrangement of lines can be annotated as needed, but not encoded in the edition except for some basic layout features, which will be discussed in §</w:t>
      </w:r>
      <w:r>
        <w:fldChar w:fldCharType="begin"/>
      </w:r>
      <w:r>
        <w:instrText xml:space="preserve"> REF _Ref225428243 \r \h </w:instrText>
      </w:r>
      <w:r>
        <w:fldChar w:fldCharType="separate"/>
      </w:r>
      <w:r>
        <w:t>8.2.2</w:t>
      </w:r>
      <w:r>
        <w:fldChar w:fldCharType="end"/>
      </w:r>
      <w:r>
        <w:t>.</w:t>
      </w:r>
    </w:p>
    <w:tbl>
      <w:tblPr>
        <w:tblStyle w:val="FigureTable"/>
        <w:tblW w:w="0" w:type="auto"/>
        <w:tblLook w:val="04A0" w:firstRow="1" w:lastRow="0" w:firstColumn="1" w:lastColumn="0" w:noHBand="0" w:noVBand="1"/>
      </w:tblPr>
      <w:tblGrid>
        <w:gridCol w:w="9628"/>
      </w:tblGrid>
      <w:tr w14:paraId="51703776" w14:textId="77777777">
        <w:trPr>
          <w:cnfStyle w:val="100000000000" w:firstRow="1" w:lastRow="0" w:firstColumn="0" w:lastColumn="0" w:oddVBand="0" w:evenVBand="0" w:oddHBand="0" w:evenHBand="0" w:firstRowFirstColumn="0" w:firstRowLastColumn="0" w:lastRowFirstColumn="0" w:lastRowLastColumn="0"/>
        </w:trPr>
        <w:tc>
          <w:tcPr>
            <w:tcW w:w="9628" w:type="dxa"/>
          </w:tcPr>
          <w:p w14:paraId="2ED2360C" w14:textId="283C2091">
            <w:pPr>
              <w:pStyle w:val="Kpalrs"/>
            </w:pPr>
            <w:bookmarkStart w:id="262" w:name="_Ref225427753"/>
            <w:r>
              <w:t xml:space="preserve">Exhibit </w:t>
            </w:r>
            <w:fldSimple w:instr=" STYLEREF 2 \s ">
              <w:r>
                <w:rPr>
                  <w:noProof/>
                </w:rPr>
                <w:t>4.5</w:t>
              </w:r>
            </w:fldSimple>
            <w:r>
              <w:t>.</w:t>
            </w:r>
            <w:fldSimple w:instr=" SEQ Exhibit \* ALPHABETIC \s 2 ">
              <w:r>
                <w:rPr>
                  <w:noProof/>
                </w:rPr>
                <w:t>B</w:t>
              </w:r>
            </w:fldSimple>
            <w:bookmarkEnd w:id="262"/>
            <w:r>
              <w:t>. An untidy inscription</w:t>
            </w:r>
          </w:p>
        </w:tc>
      </w:tr>
      <w:tr w14:paraId="4F9E6E81" w14:textId="77777777">
        <w:tc>
          <w:tcPr>
            <w:tcW w:w="9628" w:type="dxa"/>
          </w:tcPr>
          <w:p w14:paraId="590C802F" w14:textId="77777777">
            <w:pPr>
              <w:pStyle w:val="Image"/>
            </w:pPr>
            <w:r>
              <w:drawing>
                <wp:inline distT="0" distB="0" distL="0" distR="0" wp14:anchorId="1DD7FB58" wp14:editId="01D2263B">
                  <wp:extent cx="5398770" cy="1945640"/>
                  <wp:effectExtent l="0" t="0" r="0" b="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8770" cy="1945640"/>
                          </a:xfrm>
                          <a:prstGeom prst="rect">
                            <a:avLst/>
                          </a:prstGeom>
                          <a:noFill/>
                          <a:ln>
                            <a:noFill/>
                          </a:ln>
                        </pic:spPr>
                      </pic:pic>
                    </a:graphicData>
                  </a:graphic>
                </wp:inline>
              </w:drawing>
            </w:r>
          </w:p>
        </w:tc>
      </w:tr>
    </w:tbl>
    <w:p w14:paraId="497D7C9B" w14:textId="77777777">
      <w:pPr>
        <w:pStyle w:val="Cmsor3"/>
      </w:pPr>
      <w:bookmarkStart w:id="263" w:name="_xui16zrp0wzt" w:colFirst="0" w:colLast="0"/>
      <w:bookmarkStart w:id="264" w:name="_Ref43980100"/>
      <w:bookmarkStart w:id="265" w:name="_Toc243922625"/>
      <w:bookmarkEnd w:id="263"/>
      <w:r>
        <w:t>Marking up line beginnings</w:t>
      </w:r>
      <w:bookmarkEnd w:id="264"/>
      <w:bookmarkEnd w:id="265"/>
    </w:p>
    <w:tbl>
      <w:tblPr>
        <w:tblStyle w:val="CodeSampleTable"/>
        <w:tblpPr w:leftFromText="180" w:rightFromText="180" w:vertAnchor="text" w:tblpXSpec="right" w:tblpY="1"/>
        <w:tblOverlap w:val="never"/>
        <w:tblW w:w="4536" w:type="dxa"/>
        <w:jc w:val="right"/>
        <w:tblLook w:val="04A0" w:firstRow="1" w:lastRow="0" w:firstColumn="1" w:lastColumn="0" w:noHBand="0" w:noVBand="1"/>
      </w:tblPr>
      <w:tblGrid>
        <w:gridCol w:w="4536"/>
      </w:tblGrid>
      <w:tr w14:paraId="2DEA86F8" w14:textId="77777777">
        <w:trPr>
          <w:cnfStyle w:val="100000000000" w:firstRow="1" w:lastRow="0" w:firstColumn="0" w:lastColumn="0" w:oddVBand="0" w:evenVBand="0" w:oddHBand="0" w:evenHBand="0" w:firstRowFirstColumn="0" w:firstRowLastColumn="0" w:lastRowFirstColumn="0" w:lastRowLastColumn="0"/>
          <w:jc w:val="right"/>
        </w:trPr>
        <w:tc>
          <w:tcPr>
            <w:tcW w:w="5000" w:type="pct"/>
          </w:tcPr>
          <w:p w14:paraId="6E221E1F" w14:textId="7F4EF512">
            <w:pPr>
              <w:pStyle w:val="Kpalrs"/>
              <w:keepLines/>
            </w:pPr>
            <w:bookmarkStart w:id="266" w:name="_Ref225428834"/>
            <w:r>
              <w:t xml:space="preserve">Exhibit </w:t>
            </w:r>
            <w:fldSimple w:instr=" STYLEREF 2 \s ">
              <w:r>
                <w:rPr>
                  <w:noProof/>
                </w:rPr>
                <w:t>4.5</w:t>
              </w:r>
            </w:fldSimple>
            <w:r>
              <w:t>.</w:t>
            </w:r>
            <w:fldSimple w:instr=" SEQ Exhibit \* ALPHABETIC \s 2 ">
              <w:r>
                <w:rPr>
                  <w:noProof/>
                </w:rPr>
                <w:t>C</w:t>
              </w:r>
            </w:fldSimple>
            <w:bookmarkEnd w:id="266"/>
            <w:r>
              <w:t>: generic encoding for line beginnings</w:t>
            </w:r>
          </w:p>
        </w:tc>
      </w:tr>
      <w:tr w14:paraId="143DF6BE" w14:textId="77777777">
        <w:trPr>
          <w:jc w:val="right"/>
        </w:trPr>
        <w:tc>
          <w:tcPr>
            <w:tcW w:w="5000" w:type="pct"/>
          </w:tcPr>
          <w:p w14:paraId="1948ADBD" w14:textId="77777777">
            <w:pPr>
              <w:pStyle w:val="Image"/>
            </w:pPr>
            <w:r>
              <w:drawing>
                <wp:inline distT="0" distB="0" distL="0" distR="0" wp14:anchorId="76114EF1" wp14:editId="110E6586">
                  <wp:extent cx="2700000" cy="741600"/>
                  <wp:effectExtent l="0" t="0" r="5715" b="1905"/>
                  <wp:docPr id="20"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8.png"/>
                          <pic:cNvPicPr/>
                        </pic:nvPicPr>
                        <pic:blipFill>
                          <a:blip r:embed="rId18"/>
                          <a:stretch>
                            <a:fillRect/>
                          </a:stretch>
                        </pic:blipFill>
                        <pic:spPr>
                          <a:xfrm>
                            <a:off x="0" y="0"/>
                            <a:ext cx="2700000" cy="741600"/>
                          </a:xfrm>
                          <a:prstGeom prst="rect">
                            <a:avLst/>
                          </a:prstGeom>
                          <a:ln/>
                        </pic:spPr>
                      </pic:pic>
                    </a:graphicData>
                  </a:graphic>
                </wp:inline>
              </w:drawing>
            </w:r>
          </w:p>
        </w:tc>
      </w:tr>
      <w:tr w14:paraId="23ABEEED" w14:textId="77777777">
        <w:trPr>
          <w:jc w:val="right"/>
        </w:trPr>
        <w:tc>
          <w:tcPr>
            <w:tcW w:w="5000" w:type="pct"/>
          </w:tcPr>
          <w:p w14:paraId="282F8AA7" w14:textId="77777777">
            <w:pPr>
              <w:pStyle w:val="CodeParagraph"/>
              <w:keepNext/>
              <w:rPr>
                <w:rStyle w:val="Codetext"/>
              </w:rPr>
            </w:pPr>
            <w:r>
              <w:rPr>
                <w:rStyle w:val="Code"/>
              </w:rPr>
              <w:t xml:space="preserve">&lt;p&gt;&lt;lb </w:t>
            </w:r>
            <w:r>
              <w:rPr>
                <w:rStyle w:val="Codeattribute"/>
              </w:rPr>
              <w:t>n</w:t>
            </w:r>
            <w:r>
              <w:rPr>
                <w:rStyle w:val="Code"/>
              </w:rPr>
              <w:t>=</w:t>
            </w:r>
            <w:r>
              <w:rPr>
                <w:rStyle w:val="Codevalue"/>
              </w:rPr>
              <w:t>"1"</w:t>
            </w:r>
            <w:r>
              <w:rPr>
                <w:rStyle w:val="Code"/>
              </w:rPr>
              <w:t>/&gt;</w:t>
            </w:r>
            <w:r>
              <w:rPr>
                <w:rStyle w:val="Codetext"/>
              </w:rPr>
              <w:t>In a hole in the ground...</w:t>
            </w:r>
          </w:p>
          <w:p w14:paraId="42E6E1EA"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"2"</w:t>
            </w:r>
            <w:r>
              <w:rPr>
                <w:rStyle w:val="Code"/>
              </w:rPr>
              <w:t>/&gt;</w:t>
            </w:r>
            <w:r>
              <w:rPr>
                <w:rStyle w:val="Codetext"/>
              </w:rPr>
              <w:t>nasty, dirty, wet...</w:t>
            </w:r>
          </w:p>
          <w:p w14:paraId="2E759F28"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"3"</w:t>
            </w:r>
            <w:r>
              <w:rPr>
                <w:rStyle w:val="Code"/>
              </w:rPr>
              <w:t>/&gt;</w:t>
            </w:r>
            <w:r>
              <w:rPr>
                <w:rStyle w:val="Codetext"/>
              </w:rPr>
              <w:t>and an oozy smell...</w:t>
            </w:r>
          </w:p>
          <w:p w14:paraId="71679081"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"4"</w:t>
            </w:r>
            <w:r>
              <w:rPr>
                <w:rStyle w:val="Code"/>
              </w:rPr>
              <w:t>/&gt;with nothing in it</w:t>
            </w:r>
            <w:r>
              <w:rPr>
                <w:rStyle w:val="Codetext"/>
              </w:rPr>
              <w:t>...</w:t>
            </w:r>
          </w:p>
          <w:p w14:paraId="2D1F8FF0" w14:textId="77777777">
            <w:pPr>
              <w:pStyle w:val="CodeParagraph"/>
              <w:keepNext/>
              <w:rPr>
                <w:rStyle w:val="Code"/>
              </w:rPr>
            </w:pPr>
            <w:r>
              <w:rPr>
                <w:rStyle w:val="Code"/>
              </w:rPr>
              <w:t xml:space="preserve">  &lt;lb </w:t>
            </w:r>
            <w:r>
              <w:rPr>
                <w:rStyle w:val="Codeattribute"/>
              </w:rPr>
              <w:t>n</w:t>
            </w:r>
            <w:r>
              <w:rPr>
                <w:rStyle w:val="Code"/>
              </w:rPr>
              <w:t>=</w:t>
            </w:r>
            <w:r>
              <w:rPr>
                <w:rStyle w:val="Codevalue"/>
              </w:rPr>
              <w:t>"5"</w:t>
            </w:r>
            <w:r>
              <w:rPr>
                <w:rStyle w:val="Code"/>
              </w:rPr>
              <w:t>/&gt;hobbit-hole, and</w:t>
            </w:r>
            <w:r>
              <w:rPr>
                <w:rStyle w:val="Codetext"/>
              </w:rPr>
              <w:t>...</w:t>
            </w:r>
          </w:p>
          <w:p w14:paraId="2EE1B365" w14:textId="77777777">
            <w:pPr>
              <w:pStyle w:val="CodeParagraph"/>
              <w:keepNext/>
              <w:rPr>
                <w:rFonts w:ascii="Consolas" w:hAnsi="Consolas" w:cs="Consolas"/>
                <w:noProof/>
                <w:color w:val="002060"/>
                <w:shd w:val="clear" w:color="auto" w:fill="F2F2F2" w:themeFill="background1" w:themeFillShade="F2"/>
              </w:rPr>
            </w:pPr>
            <w:r>
              <w:rPr>
                <w:rStyle w:val="Code"/>
              </w:rPr>
              <w:t>&lt;/p&gt;</w:t>
            </w:r>
          </w:p>
        </w:tc>
      </w:tr>
    </w:tbl>
    <w:p w14:paraId="15F9CDA5" w14:textId="34E14BAE">
      <w:pPr>
        <w:pStyle w:val="Lista"/>
      </w:pPr>
      <w:r>
        <w:t xml:space="preserve">marking up line beginnings is mandatory for all lines of all our editions, using the empty element </w:t>
      </w:r>
      <w:r>
        <w:rPr>
          <w:rStyle w:val="Code"/>
        </w:rPr>
        <w:t>&lt;lb/&gt;</w:t>
      </w:r>
      <w:r>
        <w:t xml:space="preserve"> as in </w:t>
      </w:r>
      <w:r>
        <w:fldChar w:fldCharType="begin"/>
      </w:r>
      <w:r>
        <w:instrText xml:space="preserve"> REF _Ref225428834 \h </w:instrText>
      </w:r>
      <w:r>
        <w:fldChar w:fldCharType="separate"/>
      </w:r>
      <w:r>
        <w:t xml:space="preserve">Exhibit </w:t>
      </w:r>
      <w:r>
        <w:rPr>
          <w:noProof/>
        </w:rPr>
        <w:t>4.5</w:t>
      </w:r>
      <w:r>
        <w:t>.</w:t>
      </w:r>
      <w:r>
        <w:rPr>
          <w:noProof/>
        </w:rPr>
        <w:t>C</w:t>
      </w:r>
      <w:r>
        <w:fldChar w:fldCharType="end"/>
      </w:r>
      <w:r>
        <w:t>, with the following attributes</w:t>
      </w:r>
    </w:p>
    <w:p w14:paraId="2B52FAB9" w14:textId="0C1FB1DB">
      <w:pPr>
        <w:pStyle w:val="Lista2"/>
      </w:pPr>
      <w:r>
        <w:t xml:space="preserve">mandatorily, </w:t>
      </w:r>
      <w:r>
        <w:rPr>
          <w:rStyle w:val="Codeattribute"/>
        </w:rPr>
        <w:t>@n</w:t>
      </w:r>
      <w:r>
        <w:t xml:space="preserve"> as per §</w:t>
      </w:r>
      <w:r>
        <w:fldChar w:fldCharType="begin"/>
      </w:r>
      <w:r>
        <w:instrText xml:space="preserve"> REF _Ref225761017 \r \h </w:instrText>
      </w:r>
      <w:r>
        <w:fldChar w:fldCharType="separate"/>
      </w:r>
      <w:r>
        <w:t>4.5.2</w:t>
      </w:r>
      <w:r>
        <w:fldChar w:fldCharType="end"/>
      </w:r>
      <w:r>
        <w:t xml:space="preserve"> </w:t>
      </w:r>
    </w:p>
    <w:p w14:paraId="2969657F" w14:textId="38B5F47B">
      <w:pPr>
        <w:pStyle w:val="Lista2"/>
      </w:pPr>
      <w:r>
        <w:t xml:space="preserve">as applicable, </w:t>
      </w:r>
      <w:r>
        <w:rPr>
          <w:rStyle w:val="Codeattribute"/>
        </w:rPr>
        <w:t>@break</w:t>
      </w:r>
      <w:r>
        <w:t xml:space="preserve"> for line beginnings interrupting words as per §</w:t>
      </w:r>
      <w:r>
        <w:fldChar w:fldCharType="begin"/>
      </w:r>
      <w:r>
        <w:instrText xml:space="preserve"> REF _Ref225519777 \r \h </w:instrText>
      </w:r>
      <w:r>
        <w:fldChar w:fldCharType="separate"/>
      </w:r>
      <w:r>
        <w:t>4.3.2.1</w:t>
      </w:r>
      <w:r>
        <w:fldChar w:fldCharType="end"/>
      </w:r>
    </w:p>
    <w:p w14:paraId="4B678E41" w14:textId="025400AD">
      <w:pPr>
        <w:pStyle w:val="Lista2"/>
      </w:pPr>
      <w:r>
        <w:t>when applicable, additional attributes representing the visual features of a line (§</w:t>
      </w:r>
      <w:r>
        <w:fldChar w:fldCharType="begin"/>
      </w:r>
      <w:r>
        <w:instrText xml:space="preserve"> REF _Ref225428243 \r \h </w:instrText>
      </w:r>
      <w:r>
        <w:fldChar w:fldCharType="separate"/>
      </w:r>
      <w:r>
        <w:t>8.2.2</w:t>
      </w:r>
      <w:r>
        <w:fldChar w:fldCharType="end"/>
      </w:r>
      <w:r>
        <w:t>)</w:t>
      </w:r>
    </w:p>
    <w:p w14:paraId="5EC93AA3" w14:textId="77777777">
      <w:pPr>
        <w:pStyle w:val="Lista"/>
      </w:pPr>
      <w:r>
        <w:rPr>
          <w:rStyle w:val="Code"/>
        </w:rPr>
        <w:t>&lt;lb/&gt;</w:t>
      </w:r>
      <w:r>
        <w:t xml:space="preserve"> marks line beginnings (rather than transitions) and must thus be present at the start of each line including the first</w:t>
      </w:r>
    </w:p>
    <w:p w14:paraId="68DB760D" w14:textId="77777777">
      <w:pPr>
        <w:pStyle w:val="Lista"/>
      </w:pPr>
      <w:r>
        <w:t xml:space="preserve">since the use of this element is mandatory, it must be present even in inscriptions </w:t>
      </w:r>
      <w:r>
        <w:rPr>
          <w:noProof/>
        </w:rPr>
        <w:t>(</w:t>
      </w:r>
      <w:r>
        <w:t>or textparts) consisting of a single line</w:t>
      </w:r>
    </w:p>
    <w:p w14:paraId="464CADB5" w14:textId="77777777">
      <w:pPr>
        <w:pStyle w:val="Cmsor3"/>
      </w:pPr>
      <w:bookmarkStart w:id="267" w:name="_Ref225761016"/>
      <w:bookmarkStart w:id="268" w:name="_Ref225761017"/>
      <w:bookmarkStart w:id="269" w:name="_Toc243922626"/>
      <w:r>
        <w:lastRenderedPageBreak/>
        <w:t>Numbering lines</w:t>
      </w:r>
      <w:bookmarkEnd w:id="267"/>
      <w:bookmarkEnd w:id="268"/>
      <w:bookmarkEnd w:id="269"/>
    </w:p>
    <w:p w14:paraId="06B0E28E" w14:textId="77777777">
      <w:pPr>
        <w:pStyle w:val="Lista"/>
      </w:pPr>
      <w:r>
        <w:t xml:space="preserve">every physical line of text in your edition must have a number encoded in the </w:t>
      </w:r>
      <w:r>
        <w:rPr>
          <w:rStyle w:val="Codeattribute"/>
        </w:rPr>
        <w:t>@n</w:t>
      </w:r>
      <w:r>
        <w:t xml:space="preserve"> attribute of the corresponding </w:t>
      </w:r>
      <w:r>
        <w:rPr>
          <w:rStyle w:val="Code"/>
        </w:rPr>
        <w:t>&lt;lb/&gt;</w:t>
      </w:r>
      <w:r>
        <w:t xml:space="preserve"> element</w:t>
      </w:r>
    </w:p>
    <w:p w14:paraId="4AF02758" w14:textId="77777777">
      <w:pPr>
        <w:pStyle w:val="Lista2"/>
      </w:pPr>
      <w:r>
        <w:t xml:space="preserve">line numbering is mandatory even if an inscription </w:t>
      </w:r>
      <w:r>
        <w:rPr>
          <w:noProof/>
        </w:rPr>
        <w:t>(</w:t>
      </w:r>
      <w:r>
        <w:t>or textpart) contains only one line</w:t>
      </w:r>
    </w:p>
    <w:p w14:paraId="7A2238ED" w14:textId="77777777">
      <w:pPr>
        <w:pStyle w:val="Lista"/>
      </w:pPr>
      <w:r>
        <w:t>in order to eliminate ambiguity in referencing, every line number in an XML edition must be unique</w:t>
      </w:r>
    </w:p>
    <w:p w14:paraId="0DEED3C3" w14:textId="097C9CDC">
      <w:pPr>
        <w:pStyle w:val="Lista2"/>
      </w:pPr>
      <w:r>
        <w:t xml:space="preserve">except that if your document has textpart divisions, then the requirement of uniqueness only applies within such a division </w:t>
      </w:r>
      <w:r>
        <w:rPr>
          <w:noProof/>
        </w:rPr>
        <w:t>(</w:t>
      </w:r>
      <w:r>
        <w:t>§</w:t>
      </w:r>
      <w:r>
        <w:fldChar w:fldCharType="begin"/>
      </w:r>
      <w:r>
        <w:instrText xml:space="preserve"> REF _Ref225324541 \r \h </w:instrText>
      </w:r>
      <w:r>
        <w:fldChar w:fldCharType="separate"/>
      </w:r>
      <w:r>
        <w:t>4.2.1.4</w:t>
      </w:r>
      <w:r>
        <w:fldChar w:fldCharType="end"/>
      </w:r>
      <w:r>
        <w:t>)</w:t>
      </w:r>
    </w:p>
    <w:p w14:paraId="1E3E9677" w14:textId="3C80E4A6">
      <w:pPr>
        <w:pStyle w:val="Lista"/>
      </w:pPr>
      <w:r>
        <w:t>line numbering in DHARMA editions normally follows a consecutive scheme (§</w:t>
      </w:r>
      <w:r>
        <w:fldChar w:fldCharType="begin"/>
      </w:r>
      <w:r>
        <w:instrText xml:space="preserve"> REF _Ref225429069 \r \h </w:instrText>
      </w:r>
      <w:r>
        <w:fldChar w:fldCharType="separate"/>
      </w:r>
      <w:r>
        <w:t>4.5.2.1</w:t>
      </w:r>
      <w:r>
        <w:fldChar w:fldCharType="end"/>
      </w:r>
      <w:r>
        <w:t>) but can alternatively follow a repetitive scheme (§</w:t>
      </w:r>
      <w:r>
        <w:fldChar w:fldCharType="begin"/>
      </w:r>
      <w:r>
        <w:instrText xml:space="preserve"> REF _Ref182228380 \r \h </w:instrText>
      </w:r>
      <w:r>
        <w:fldChar w:fldCharType="separate"/>
      </w:r>
      <w:r>
        <w:t>4.5.2.2</w:t>
      </w:r>
      <w:r>
        <w:fldChar w:fldCharType="end"/>
      </w:r>
      <w:r>
        <w:t>)</w:t>
      </w:r>
    </w:p>
    <w:p w14:paraId="621F16AA" w14:textId="77777777">
      <w:pPr>
        <w:pStyle w:val="Lista2"/>
      </w:pPr>
      <w:r>
        <w:t>the repetitive scheme is preferred for certain subcorpora in order to accommodate the line numbering conventions of the subfield</w:t>
      </w:r>
    </w:p>
    <w:p w14:paraId="5DB563E1" w14:textId="77777777">
      <w:pPr>
        <w:pStyle w:val="Lista2"/>
      </w:pPr>
      <w:r>
        <w:t>the choice between the consecutive or repetitive system shall be determined on the level of subcorpora, but may be overridden on a case-by-case basis</w:t>
      </w:r>
    </w:p>
    <w:p w14:paraId="12C58CB4" w14:textId="55BF0090">
      <w:pPr>
        <w:pStyle w:val="Lista2"/>
      </w:pPr>
      <w:r>
        <w:t xml:space="preserve">in rare cases </w:t>
      </w:r>
      <w:r>
        <w:rPr>
          <w:noProof/>
        </w:rPr>
        <w:t>(</w:t>
      </w:r>
      <w:r>
        <w:t>namely, copperplate grants with a lost medial plate encoded without the use of textparts as per §</w:t>
      </w:r>
      <w:r>
        <w:fldChar w:fldCharType="begin"/>
      </w:r>
      <w:r>
        <w:instrText xml:space="preserve"> REF _Ref149918878 \r \h </w:instrText>
      </w:r>
      <w:r>
        <w:fldChar w:fldCharType="separate"/>
      </w:r>
      <w:r>
        <w:t>6.5.5.3</w:t>
      </w:r>
      <w:r>
        <w:fldChar w:fldCharType="end"/>
      </w:r>
      <w:r>
        <w:t>), you will have to resort to complex line numbering even if related editions normally use the consecutive system</w:t>
      </w:r>
    </w:p>
    <w:p w14:paraId="3FB38053" w14:textId="77777777">
      <w:pPr>
        <w:pStyle w:val="Cmsor4"/>
      </w:pPr>
      <w:bookmarkStart w:id="270" w:name="_Ref225429069"/>
      <w:r>
        <w:t>Consecutive line numbering</w:t>
      </w:r>
      <w:bookmarkEnd w:id="270"/>
    </w:p>
    <w:p w14:paraId="644ECD10" w14:textId="77777777">
      <w:r>
        <w:t>By default, our editions use consecutive line numbering with simple numbers.</w:t>
      </w:r>
    </w:p>
    <w:p w14:paraId="3E1DC1A5" w14:textId="77777777">
      <w:pPr>
        <w:pStyle w:val="Lista"/>
      </w:pPr>
      <w:r>
        <w:t xml:space="preserve">the value of the </w:t>
      </w:r>
      <w:r>
        <w:rPr>
          <w:rStyle w:val="Codeattribute"/>
        </w:rPr>
        <w:t>@n</w:t>
      </w:r>
      <w:r>
        <w:t xml:space="preserve"> attribute shall be an Arabic numeral starting with 1 for the first line and increasing with a step of 1 for each subsequent line</w:t>
      </w:r>
    </w:p>
    <w:p w14:paraId="169AA0D3" w14:textId="69CB553C">
      <w:pPr>
        <w:pStyle w:val="Lista"/>
      </w:pPr>
      <w:r>
        <w:t xml:space="preserve">line numbers for visually separate incipits may deviate from this numeration scheme </w:t>
      </w:r>
      <w:r>
        <w:rPr>
          <w:noProof/>
        </w:rPr>
        <w:t xml:space="preserve">as per </w:t>
      </w:r>
      <w:r>
        <w:t>§</w:t>
      </w:r>
      <w:r>
        <w:fldChar w:fldCharType="begin"/>
      </w:r>
      <w:r>
        <w:instrText xml:space="preserve"> REF _Ref43978135 \w \h  \* MERGEFORMAT </w:instrText>
      </w:r>
      <w:r>
        <w:fldChar w:fldCharType="separate"/>
      </w:r>
      <w:r>
        <w:t>4.7.1.1</w:t>
      </w:r>
      <w:r>
        <w:fldChar w:fldCharType="end"/>
      </w:r>
    </w:p>
    <w:p w14:paraId="451875E0" w14:textId="4A6D8AFD">
      <w:pPr>
        <w:pStyle w:val="Lista"/>
      </w:pPr>
      <w:r>
        <w:t>line numeration must be restarted in each textpart (this is not a technical requirement but an arbitrary rule for consistency across the corpus</w:t>
      </w:r>
      <w:r>
        <w:rPr>
          <w:noProof/>
        </w:rPr>
        <w:t xml:space="preserve">, </w:t>
      </w:r>
      <w:r>
        <w:t>§</w:t>
      </w:r>
      <w:r>
        <w:fldChar w:fldCharType="begin"/>
      </w:r>
      <w:r>
        <w:instrText xml:space="preserve"> REF _Ref225324541 \r \h </w:instrText>
      </w:r>
      <w:r>
        <w:fldChar w:fldCharType="separate"/>
      </w:r>
      <w:r>
        <w:t>4.2.1.4</w:t>
      </w:r>
      <w:r>
        <w:fldChar w:fldCharType="end"/>
      </w:r>
      <w:r>
        <w:t>)</w:t>
      </w:r>
    </w:p>
    <w:p w14:paraId="566EE731" w14:textId="4B0B0170">
      <w:pPr>
        <w:pStyle w:val="Lista"/>
      </w:pPr>
      <w:r>
        <w:t xml:space="preserve">line numeration must not be restarted with pagelike partitions, so lines of copperplate inscriptions must be numbered consecutively through the pages (see the Case Study in </w:t>
      </w:r>
      <w:r>
        <w:fldChar w:fldCharType="begin"/>
      </w:r>
      <w:r>
        <w:instrText xml:space="preserve"> REF _Ref239844181 \r \h </w:instrText>
      </w:r>
      <w:r>
        <w:fldChar w:fldCharType="separate"/>
      </w:r>
      <w:r>
        <w:t>Appendix A.2</w:t>
      </w:r>
      <w:r>
        <w:fldChar w:fldCharType="end"/>
      </w:r>
      <w:r>
        <w:t xml:space="preserve"> for an illustration)</w:t>
      </w:r>
    </w:p>
    <w:p w14:paraId="77A83450" w14:textId="77777777">
      <w:pPr>
        <w:pStyle w:val="Cmsor4"/>
      </w:pPr>
      <w:bookmarkStart w:id="271" w:name="_Ref182228380"/>
      <w:r>
        <w:t>Repetitive line numbering with complex numbers</w:t>
      </w:r>
      <w:bookmarkEnd w:id="271"/>
    </w:p>
    <w:p w14:paraId="0AEBE863" w14:textId="2665A34D">
      <w:r>
        <w:t xml:space="preserve">When pagelike partitions </w:t>
      </w:r>
      <w:r>
        <w:rPr>
          <w:noProof/>
        </w:rPr>
        <w:t>(</w:t>
      </w:r>
      <w:r>
        <w:t>§</w:t>
      </w:r>
      <w:r>
        <w:fldChar w:fldCharType="begin"/>
      </w:r>
      <w:r>
        <w:instrText xml:space="preserve"> REF _Ref233982406 \r \h </w:instrText>
      </w:r>
      <w:r>
        <w:fldChar w:fldCharType="separate"/>
      </w:r>
      <w:r>
        <w:t>4.4</w:t>
      </w:r>
      <w:r>
        <w:fldChar w:fldCharType="end"/>
      </w:r>
      <w:r>
        <w:t>) are present in an inscription, repetitive numeration may be used as an alternative.  In the repetitive scheme of line numbering, the numbers are reset for each successive pagelike partition.</w:t>
      </w:r>
    </w:p>
    <w:p w14:paraId="173ED33E" w14:textId="77777777">
      <w:pPr>
        <w:pStyle w:val="Lista"/>
      </w:pPr>
      <w:r>
        <w:t>to ensure the uniqueness of line numbers throughout the edition, complex line numbers must be used in this system</w:t>
      </w:r>
    </w:p>
    <w:p w14:paraId="603AAA9E" w14:textId="5C00D316">
      <w:pPr>
        <w:pStyle w:val="Lista2"/>
      </w:pPr>
      <w:r>
        <w:t>complex numbers consist of a simple line number as per §</w:t>
      </w:r>
      <w:r>
        <w:fldChar w:fldCharType="begin"/>
      </w:r>
      <w:r>
        <w:instrText xml:space="preserve"> REF _Ref225429069 \r \h </w:instrText>
      </w:r>
      <w:r>
        <w:fldChar w:fldCharType="separate"/>
      </w:r>
      <w:r>
        <w:t>4.5.2.1</w:t>
      </w:r>
      <w:r>
        <w:fldChar w:fldCharType="end"/>
      </w:r>
      <w:r>
        <w:t xml:space="preserve">, preceded by a prefix that is the identifier of the current partition, i.e. the value of the </w:t>
      </w:r>
      <w:r>
        <w:rPr>
          <w:rStyle w:val="Codeattribute"/>
        </w:rPr>
        <w:t>@n</w:t>
      </w:r>
      <w:r>
        <w:t xml:space="preserve"> attribute of the “parent” </w:t>
      </w:r>
      <w:r>
        <w:rPr>
          <w:rStyle w:val="Code"/>
        </w:rPr>
        <w:t>&lt;pb/&gt;</w:t>
      </w:r>
      <w:r>
        <w:t xml:space="preserve"> or </w:t>
      </w:r>
      <w:r>
        <w:rPr>
          <w:rStyle w:val="Code"/>
        </w:rPr>
        <w:t>&lt;milestone/&gt;</w:t>
      </w:r>
      <w:r>
        <w:t xml:space="preserve"> element; for example,</w:t>
      </w:r>
    </w:p>
    <w:p w14:paraId="45B058F9" w14:textId="0D4C2BF3">
      <w:pPr>
        <w:pStyle w:val="Lista3"/>
      </w:pPr>
      <w:r>
        <w:t xml:space="preserve">for a stele inscribed on faces A and B, the lines must be numbered </w:t>
      </w:r>
      <w:r>
        <w:rPr>
          <w:rStyle w:val="Codevalue"/>
        </w:rPr>
        <w:t>"A1"</w:t>
      </w:r>
      <w:r>
        <w:t xml:space="preserve">, </w:t>
      </w:r>
      <w:r>
        <w:rPr>
          <w:rStyle w:val="Codevalue"/>
        </w:rPr>
        <w:t>"A2"</w:t>
      </w:r>
      <w:r>
        <w:t xml:space="preserve">, etc., and </w:t>
      </w:r>
      <w:r>
        <w:rPr>
          <w:rStyle w:val="Codevalue"/>
        </w:rPr>
        <w:t>"B1"</w:t>
      </w:r>
      <w:r>
        <w:t xml:space="preserve">, </w:t>
      </w:r>
      <w:r>
        <w:rPr>
          <w:rStyle w:val="Codevalue"/>
        </w:rPr>
        <w:t>"B2"</w:t>
      </w:r>
      <w:r>
        <w:t xml:space="preserve">, etc. on these faces (see </w:t>
      </w:r>
      <w:r>
        <w:fldChar w:fldCharType="begin"/>
      </w:r>
      <w:r>
        <w:instrText xml:space="preserve"> REF _Ref239844198 \r \h </w:instrText>
      </w:r>
      <w:r>
        <w:fldChar w:fldCharType="separate"/>
      </w:r>
      <w:r>
        <w:t>Appendix A.5</w:t>
      </w:r>
      <w:r>
        <w:fldChar w:fldCharType="end"/>
      </w:r>
      <w:r>
        <w:t xml:space="preserve"> and </w:t>
      </w:r>
      <w:r>
        <w:fldChar w:fldCharType="begin"/>
      </w:r>
      <w:r>
        <w:instrText xml:space="preserve"> REF _Ref239844200 \r \h </w:instrText>
      </w:r>
      <w:r>
        <w:fldChar w:fldCharType="separate"/>
      </w:r>
      <w:r>
        <w:t>Appendix A.6</w:t>
      </w:r>
      <w:r>
        <w:fldChar w:fldCharType="end"/>
      </w:r>
      <w:r>
        <w:t xml:space="preserve"> for illustrations)</w:t>
      </w:r>
    </w:p>
    <w:p w14:paraId="19521FAD" w14:textId="07970CE5">
      <w:pPr>
        <w:pStyle w:val="Lista3"/>
      </w:pPr>
      <w:r>
        <w:t xml:space="preserve">for a set of copper plates with pages 1v and 2r, lines must be numbered </w:t>
      </w:r>
      <w:r>
        <w:rPr>
          <w:rStyle w:val="Codevalue"/>
        </w:rPr>
        <w:t>"1v1"</w:t>
      </w:r>
      <w:r>
        <w:t xml:space="preserve">, </w:t>
      </w:r>
      <w:r>
        <w:rPr>
          <w:rStyle w:val="Codevalue"/>
        </w:rPr>
        <w:t>"1v2"</w:t>
      </w:r>
      <w:r>
        <w:t xml:space="preserve">, etc., and </w:t>
      </w:r>
      <w:r>
        <w:rPr>
          <w:rStyle w:val="Codevalue"/>
        </w:rPr>
        <w:t>"2r1"</w:t>
      </w:r>
      <w:r>
        <w:t xml:space="preserve">, </w:t>
      </w:r>
      <w:r>
        <w:rPr>
          <w:rStyle w:val="Codevalue"/>
        </w:rPr>
        <w:t>"2r2"</w:t>
      </w:r>
      <w:r>
        <w:t xml:space="preserve">, etc. on these pages (see </w:t>
      </w:r>
      <w:r>
        <w:fldChar w:fldCharType="begin"/>
      </w:r>
      <w:r>
        <w:instrText xml:space="preserve"> REF _Ref239844217 \r \h </w:instrText>
      </w:r>
      <w:r>
        <w:fldChar w:fldCharType="separate"/>
      </w:r>
      <w:r>
        <w:t>Appendix A.3</w:t>
      </w:r>
      <w:r>
        <w:fldChar w:fldCharType="end"/>
      </w:r>
      <w:r>
        <w:t xml:space="preserve"> for an illustration)</w:t>
      </w:r>
    </w:p>
    <w:p w14:paraId="7E95F3CE" w14:textId="77777777">
      <w:pPr>
        <w:pStyle w:val="Lista2"/>
      </w:pPr>
      <w:r>
        <w:t>should the number of your partitions be a numeral or end with a numeral</w:t>
      </w:r>
      <w:r>
        <w:rPr>
          <w:rStyle w:val="Lbjegyzet-hivatkozs"/>
        </w:rPr>
        <w:footnoteReference w:id="18"/>
      </w:r>
      <w:r>
        <w:t xml:space="preserve"> </w:t>
      </w:r>
      <w:r>
        <w:rPr>
          <w:noProof/>
        </w:rPr>
        <w:t>(</w:t>
      </w:r>
      <w:r>
        <w:t xml:space="preserve">including Roman numerals), add a . </w:t>
      </w:r>
      <w:r>
        <w:rPr>
          <w:noProof/>
        </w:rPr>
        <w:t>(</w:t>
      </w:r>
      <w:r>
        <w:t>period, full stop) as a separator between the partition number and the simple line number</w:t>
      </w:r>
    </w:p>
    <w:p w14:paraId="59B71C5F" w14:textId="77777777">
      <w:pPr>
        <w:pStyle w:val="Lista3"/>
      </w:pPr>
      <w:r>
        <w:t xml:space="preserve">e.g. if your partitions are numbered A1, b1, etc., then your line numbers should be </w:t>
      </w:r>
      <w:r>
        <w:rPr>
          <w:rStyle w:val="Codevalue"/>
        </w:rPr>
        <w:t>"A1.1"</w:t>
      </w:r>
      <w:r>
        <w:t xml:space="preserve">, </w:t>
      </w:r>
      <w:r>
        <w:rPr>
          <w:rStyle w:val="Codevalue"/>
        </w:rPr>
        <w:t>"A1.2"</w:t>
      </w:r>
      <w:r>
        <w:t xml:space="preserve">, etc., and </w:t>
      </w:r>
      <w:r>
        <w:rPr>
          <w:rStyle w:val="Codevalue"/>
        </w:rPr>
        <w:t>"b1.1"</w:t>
      </w:r>
      <w:r>
        <w:t xml:space="preserve">, </w:t>
      </w:r>
      <w:r>
        <w:rPr>
          <w:rStyle w:val="Codevalue"/>
        </w:rPr>
        <w:t>"b1.2"</w:t>
      </w:r>
      <w:r>
        <w:t>, etc.</w:t>
      </w:r>
    </w:p>
    <w:p w14:paraId="60C85023" w14:textId="77777777">
      <w:pPr>
        <w:pStyle w:val="Lista"/>
      </w:pPr>
      <w:r>
        <w:t>if your subcorpus follows the repetitive scheme, then it is recommended that for consistency’s sake you use complex line numbers even on copper plates with just a single inscribed page</w:t>
      </w:r>
    </w:p>
    <w:p w14:paraId="7FB73091" w14:textId="77777777">
      <w:pPr>
        <w:pStyle w:val="Lista"/>
      </w:pPr>
      <w:r>
        <w:lastRenderedPageBreak/>
        <w:t>also for consistency’s sake, if your subcorpus follows the repetitive scheme, then complex numbers should be preferred for numbering lines across boxlike partitions, even though the uniqueness of line numbers is only a requirement within each such partition</w:t>
      </w:r>
    </w:p>
    <w:p w14:paraId="31CF336C" w14:textId="77777777">
      <w:pPr>
        <w:pStyle w:val="Cmsor2"/>
      </w:pPr>
      <w:bookmarkStart w:id="272" w:name="_r2qg54jy8w2e" w:colFirst="0" w:colLast="0"/>
      <w:bookmarkStart w:id="273" w:name="_7n9w5r6yzssj" w:colFirst="0" w:colLast="0"/>
      <w:bookmarkStart w:id="274" w:name="_a0jia5gsgfab" w:colFirst="0" w:colLast="0"/>
      <w:bookmarkStart w:id="275" w:name="_dzwqp0ufpcn5" w:colFirst="0" w:colLast="0"/>
      <w:bookmarkStart w:id="276" w:name="_k0nurnm93lxl" w:colFirst="0" w:colLast="0"/>
      <w:bookmarkStart w:id="277" w:name="_8rycat4dh5yx" w:colFirst="0" w:colLast="0"/>
      <w:bookmarkStart w:id="278" w:name="_wf6bj4i4k83j" w:colFirst="0" w:colLast="0"/>
      <w:bookmarkStart w:id="279" w:name="_17dlwttgms9w" w:colFirst="0" w:colLast="0"/>
      <w:bookmarkStart w:id="280" w:name="_Ref43984651"/>
      <w:bookmarkStart w:id="281" w:name="_Toc243922627"/>
      <w:bookmarkEnd w:id="272"/>
      <w:bookmarkEnd w:id="273"/>
      <w:bookmarkEnd w:id="274"/>
      <w:bookmarkEnd w:id="275"/>
      <w:bookmarkEnd w:id="276"/>
      <w:bookmarkEnd w:id="277"/>
      <w:bookmarkEnd w:id="278"/>
      <w:bookmarkEnd w:id="279"/>
      <w:r>
        <w:t>Gridlike partitions</w:t>
      </w:r>
      <w:bookmarkEnd w:id="280"/>
      <w:bookmarkEnd w:id="281"/>
    </w:p>
    <w:p w14:paraId="74F47CBD" w14:textId="280B4EB8">
      <w:bookmarkStart w:id="282" w:name="_8u6cxgxomq4n" w:colFirst="0" w:colLast="0"/>
      <w:bookmarkEnd w:id="282"/>
      <w:r>
        <w:t>Recall from §</w:t>
      </w:r>
      <w:r>
        <w:fldChar w:fldCharType="begin"/>
      </w:r>
      <w:r>
        <w:instrText xml:space="preserve"> REF _Ref182923075 \r \h </w:instrText>
      </w:r>
      <w:r>
        <w:fldChar w:fldCharType="separate"/>
      </w:r>
      <w:r>
        <w:t>4.1</w:t>
      </w:r>
      <w:r>
        <w:fldChar w:fldCharType="end"/>
      </w:r>
      <w:r>
        <w:t xml:space="preserve"> that a gridlike partition is what happens when each line of the text, having reached the end </w:t>
      </w:r>
      <w:r>
        <w:rPr>
          <w:noProof/>
        </w:rPr>
        <w:t>(</w:t>
      </w:r>
      <w:r>
        <w:t xml:space="preserve">normally the right edge) of a zone, continues at the beginning </w:t>
      </w:r>
      <w:r>
        <w:rPr>
          <w:noProof/>
        </w:rPr>
        <w:t>(</w:t>
      </w:r>
      <w:r>
        <w:t xml:space="preserve">normally the left edge) of the next zone, and returns to the first zone with the next line, as in </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/3. A patchwork of adjacent but physically distinct zones thus together comprise a single virtual text field. We call these partitions gridlike because each zone is analogous to a cell in the grid of a table. The extrinsic boundary is usually incidental and irrelevant to the text’s semantic structure, although it may coincide with a semantic break either inadvertently or by design. Since such a partition often occurs inside a unit of intrinsic structure, the encoding equivalent of a gridlike partition is a milestone element (</w:t>
      </w:r>
      <w:r>
        <w:fldChar w:fldCharType="begin"/>
      </w:r>
      <w:r>
        <w:instrText xml:space="preserve"> REF _Ref225327729 \r \h </w:instrText>
      </w:r>
      <w:r>
        <w:fldChar w:fldCharType="separate"/>
      </w:r>
      <w:r>
        <w:t>4.3</w:t>
      </w:r>
      <w:r>
        <w:fldChar w:fldCharType="end"/>
      </w:r>
      <w:r>
        <w:t xml:space="preserve">), namely </w:t>
      </w:r>
      <w:r>
        <w:rPr>
          <w:rStyle w:val="Code"/>
        </w:rPr>
        <w:t>&lt;milestone/&gt;</w:t>
      </w:r>
      <w:r>
        <w:t xml:space="preserve"> without </w:t>
      </w:r>
      <w:r>
        <w:rPr>
          <w:rStyle w:val="Codeattribute"/>
        </w:rPr>
        <w:t>@type</w:t>
      </w:r>
      <w:r>
        <w:t xml:space="preserve"> (§</w:t>
      </w:r>
      <w:r>
        <w:fldChar w:fldCharType="begin"/>
      </w:r>
      <w:r>
        <w:instrText xml:space="preserve"> REF _Ref182310382 \r \h </w:instrText>
      </w:r>
      <w:r>
        <w:fldChar w:fldCharType="separate"/>
      </w:r>
      <w:r>
        <w:t>4.6.1</w:t>
      </w:r>
      <w:r>
        <w:fldChar w:fldCharType="end"/>
      </w:r>
      <w:r>
        <w:t>).</w:t>
      </w:r>
    </w:p>
    <w:p w14:paraId="62625BF0" w14:textId="6FEDB7F0">
      <w:pPr>
        <w:pStyle w:val="Normlbehzs"/>
      </w:pPr>
      <w:r>
        <w:t>The encoding of gridlike partitions is optional in DHARMA practice, with §</w:t>
      </w:r>
      <w:r>
        <w:fldChar w:fldCharType="begin"/>
      </w:r>
      <w:r>
        <w:instrText xml:space="preserve"> REF _Ref182322267 \r \h </w:instrText>
      </w:r>
      <w:r>
        <w:fldChar w:fldCharType="separate"/>
      </w:r>
      <w:r>
        <w:t>4.7.5</w:t>
      </w:r>
      <w:r>
        <w:fldChar w:fldCharType="end"/>
      </w:r>
      <w:r>
        <w:t xml:space="preserve"> describing when it is desirable. There is no technical limit to the number of different kinds of gridlike partitions that a document may contain, and it may in certain rare cases be expedient to encode more than one gridlike structure in a text, for example when the text is laid out by design in quasi-columns and a secondary grid has been superimposed on the inscription by fragmentation. It is therefore permitted to use gridlike milestones with two (or even more) different units within a single document (or textpart). It will not, however, be possible to create a machine-actionable reference to a section of text involving a combination of gridlike partitions, and keeping track of the grids will be difficult for the encoder and thus error-prone. Therefore, given that encoding gridlike partitions is optional to begin with, consider carefully whether encoding more than one grid in an edition is worth the complication.</w:t>
      </w:r>
    </w:p>
    <w:p w14:paraId="726DFAFF" w14:textId="77777777">
      <w:pPr>
        <w:pStyle w:val="Cmsor3"/>
      </w:pPr>
      <w:bookmarkStart w:id="283" w:name="_mq9ex2gduvu8" w:colFirst="0" w:colLast="0"/>
      <w:bookmarkStart w:id="284" w:name="_rs0n67ntt3ye" w:colFirst="0" w:colLast="0"/>
      <w:bookmarkStart w:id="285" w:name="_Ref181694099"/>
      <w:bookmarkStart w:id="286" w:name="_Ref182310382"/>
      <w:bookmarkStart w:id="287" w:name="_Toc243922628"/>
      <w:bookmarkEnd w:id="283"/>
      <w:bookmarkEnd w:id="284"/>
      <w:r>
        <w:t>Marking up gridlike partitions</w:t>
      </w:r>
      <w:bookmarkEnd w:id="285"/>
      <w:bookmarkEnd w:id="286"/>
      <w:bookmarkEnd w:id="287"/>
    </w:p>
    <w:tbl>
      <w:tblPr>
        <w:tblStyle w:val="CodeSampleTable"/>
        <w:tblpPr w:leftFromText="180" w:rightFromText="180" w:vertAnchor="text" w:tblpXSpec="right" w:tblpY="1"/>
        <w:tblOverlap w:val="never"/>
        <w:tblW w:w="4536" w:type="dxa"/>
        <w:jc w:val="right"/>
        <w:tblLook w:val="04A0" w:firstRow="1" w:lastRow="0" w:firstColumn="1" w:lastColumn="0" w:noHBand="0" w:noVBand="1"/>
      </w:tblPr>
      <w:tblGrid>
        <w:gridCol w:w="4536"/>
      </w:tblGrid>
      <w:tr w14:paraId="27BC8629" w14:textId="77777777">
        <w:trPr>
          <w:cnfStyle w:val="100000000000" w:firstRow="1" w:lastRow="0" w:firstColumn="0" w:lastColumn="0" w:oddVBand="0" w:evenVBand="0" w:oddHBand="0" w:evenHBand="0" w:firstRowFirstColumn="0" w:firstRowLastColumn="0" w:lastRowFirstColumn="0" w:lastRowLastColumn="0"/>
          <w:jc w:val="right"/>
        </w:trPr>
        <w:tc>
          <w:tcPr>
            <w:tcW w:w="5000" w:type="pct"/>
          </w:tcPr>
          <w:p w14:paraId="00430FA9" w14:textId="59D73446">
            <w:pPr>
              <w:pStyle w:val="Kpalrs"/>
              <w:keepLines/>
            </w:pPr>
            <w:bookmarkStart w:id="288" w:name="_Ref225495852"/>
            <w:r>
              <w:t xml:space="preserve">Exhibit </w:t>
            </w:r>
            <w:fldSimple w:instr=" STYLEREF 2 \s ">
              <w:r>
                <w:rPr>
                  <w:noProof/>
                </w:rPr>
                <w:t>4.6</w:t>
              </w:r>
            </w:fldSimple>
            <w:r>
              <w:t>.</w:t>
            </w:r>
            <w:fldSimple w:instr=" SEQ Exhibit \* ALPHABETIC \s 2 ">
              <w:r>
                <w:rPr>
                  <w:noProof/>
                </w:rPr>
                <w:t>A</w:t>
              </w:r>
            </w:fldSimple>
            <w:bookmarkEnd w:id="288"/>
            <w:r>
              <w:t>: generic encoding for gridlike partitions</w:t>
            </w:r>
          </w:p>
        </w:tc>
      </w:tr>
      <w:tr w14:paraId="1C46C46C" w14:textId="77777777">
        <w:trPr>
          <w:jc w:val="right"/>
        </w:trPr>
        <w:tc>
          <w:tcPr>
            <w:tcW w:w="5000" w:type="pct"/>
          </w:tcPr>
          <w:p w14:paraId="06739C7B" w14:textId="77777777">
            <w:pPr>
              <w:pStyle w:val="Image"/>
            </w:pPr>
            <w:r>
              <w:drawing>
                <wp:inline distT="0" distB="0" distL="0" distR="0" wp14:anchorId="7059745B" wp14:editId="32D1CD7B">
                  <wp:extent cx="2700000" cy="741490"/>
                  <wp:effectExtent l="0" t="0" r="5715" b="1905"/>
                  <wp:docPr id="263807111"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07111" name="image27.png"/>
                          <pic:cNvPicPr/>
                        </pic:nvPicPr>
                        <pic:blipFill>
                          <a:blip r:embed="rId20"/>
                          <a:stretch>
                            <a:fillRect/>
                          </a:stretch>
                        </pic:blipFill>
                        <pic:spPr>
                          <a:xfrm>
                            <a:off x="0" y="0"/>
                            <a:ext cx="2700000" cy="741490"/>
                          </a:xfrm>
                          <a:prstGeom prst="rect">
                            <a:avLst/>
                          </a:prstGeom>
                          <a:ln/>
                        </pic:spPr>
                      </pic:pic>
                    </a:graphicData>
                  </a:graphic>
                </wp:inline>
              </w:drawing>
            </w:r>
          </w:p>
        </w:tc>
      </w:tr>
      <w:tr w14:paraId="6D75EA47" w14:textId="77777777">
        <w:trPr>
          <w:jc w:val="right"/>
        </w:trPr>
        <w:tc>
          <w:tcPr>
            <w:tcW w:w="5000" w:type="pct"/>
          </w:tcPr>
          <w:p w14:paraId="61EA1D61" w14:textId="77777777">
            <w:pPr>
              <w:pStyle w:val="CodeParagraph"/>
              <w:rPr>
                <w:rFonts w:ascii="Consolas" w:hAnsi="Consolas" w:cs="Consolas"/>
                <w:noProof/>
                <w:color w:val="002060"/>
                <w:shd w:val="clear" w:color="auto" w:fill="F2F2F2" w:themeFill="background1" w:themeFillShade="F2"/>
              </w:rPr>
            </w:pP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In a hole in the ground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there lived a hobbit. Not a</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nasty, dirty, wet hole, fil</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 xml:space="preserve">"b" </w:t>
            </w:r>
            <w:r>
              <w:rPr>
                <w:rStyle w:val="Codeattribute"/>
              </w:rPr>
              <w:t>break</w:t>
            </w:r>
            <w:r>
              <w:rPr>
                <w:rStyle w:val="Code"/>
              </w:rPr>
              <w:t>=</w:t>
            </w:r>
            <w:r>
              <w:rPr>
                <w:rStyle w:val="Codevalue"/>
              </w:rPr>
              <w:t>"no"</w:t>
            </w:r>
            <w:r>
              <w:rPr>
                <w:rStyle w:val="Code"/>
              </w:rPr>
              <w:t>/&gt;</w:t>
            </w:r>
            <w:r>
              <w:rPr>
                <w:rStyle w:val="Codetext"/>
              </w:rPr>
              <w:t>led with the ends of worms</w:t>
            </w:r>
            <w:r>
              <w:rPr>
                <w:rStyle w:val="Codetext"/>
              </w:rPr>
              <w:br/>
              <w:t xml:space="preserve">  ...</w:t>
            </w:r>
            <w:r>
              <w:rPr>
                <w:rStyle w:val="Codetext"/>
              </w:rPr>
              <w:br/>
            </w:r>
            <w:r>
              <w:rPr>
                <w:rStyle w:val="Code"/>
              </w:rPr>
              <w:t>&lt;/p&gt;</w:t>
            </w:r>
          </w:p>
        </w:tc>
      </w:tr>
      <w:tr w14:paraId="0707BF5B" w14:textId="77777777">
        <w:trPr>
          <w:jc w:val="right"/>
        </w:trPr>
        <w:tc>
          <w:tcPr>
            <w:tcW w:w="5000" w:type="pct"/>
          </w:tcPr>
          <w:p w14:paraId="5FA9900A" w14:textId="538E0ACF">
            <w:pPr>
              <w:pStyle w:val="TableNote"/>
              <w:rPr>
                <w:rStyle w:val="Code"/>
              </w:rPr>
            </w:pPr>
            <w:r>
              <w:t xml:space="preserve">complete encoded illustration: </w:t>
            </w:r>
            <w:r>
              <w:fldChar w:fldCharType="begin"/>
            </w:r>
            <w:r>
              <w:instrText xml:space="preserve"> REF _Ref44078533 \h </w:instrText>
            </w:r>
            <w:r>
              <w:fldChar w:fldCharType="separate"/>
            </w:r>
            <w:r>
              <w:t xml:space="preserve">Exhibit </w:t>
            </w:r>
            <w:r>
              <w:rPr>
                <w:noProof/>
              </w:rPr>
              <w:t>4.7</w:t>
            </w:r>
            <w:r>
              <w:t>.</w:t>
            </w:r>
            <w:r>
              <w:rPr>
                <w:noProof/>
              </w:rPr>
              <w:t>O</w:t>
            </w:r>
            <w:r>
              <w:fldChar w:fldCharType="end"/>
            </w:r>
          </w:p>
        </w:tc>
      </w:tr>
    </w:tbl>
    <w:p w14:paraId="4F44B2DD" w14:textId="12A9A313">
      <w:pPr>
        <w:pStyle w:val="Lista"/>
      </w:pPr>
      <w:r>
        <w:t xml:space="preserve">gridlike partitions may be encoded with the element </w:t>
      </w:r>
      <w:r>
        <w:rPr>
          <w:rStyle w:val="Code"/>
        </w:rPr>
        <w:t>&lt;milestone/&gt;</w:t>
      </w:r>
      <w:r>
        <w:t xml:space="preserve">  as in </w:t>
      </w:r>
      <w:r>
        <w:fldChar w:fldCharType="begin"/>
      </w:r>
      <w:r>
        <w:instrText xml:space="preserve"> REF _Ref225495852 \h </w:instrText>
      </w:r>
      <w:r>
        <w:fldChar w:fldCharType="separate"/>
      </w:r>
      <w:r>
        <w:t xml:space="preserve">Exhibit </w:t>
      </w:r>
      <w:r>
        <w:rPr>
          <w:noProof/>
        </w:rPr>
        <w:t>4.6</w:t>
      </w:r>
      <w:r>
        <w:t>.</w:t>
      </w:r>
      <w:r>
        <w:rPr>
          <w:noProof/>
        </w:rPr>
        <w:t>A</w:t>
      </w:r>
      <w:r>
        <w:fldChar w:fldCharType="end"/>
      </w:r>
      <w:r>
        <w:t>, with the following attributes</w:t>
      </w:r>
    </w:p>
    <w:p w14:paraId="198EB9F4" w14:textId="77777777">
      <w:pPr>
        <w:pStyle w:val="Lista2"/>
      </w:pPr>
      <w:r>
        <w:rPr>
          <w:rStyle w:val="Codeattribute"/>
        </w:rPr>
        <w:t>@type=</w:t>
      </w:r>
      <w:r>
        <w:rPr>
          <w:rStyle w:val="Codevalue"/>
        </w:rPr>
        <w:t>"gridlike"</w:t>
      </w:r>
      <w:r>
        <w:t xml:space="preserve"> is understood by default in the DHARMA scheme, so </w:t>
      </w:r>
      <w:r>
        <w:rPr>
          <w:rStyle w:val="Codeattribute"/>
        </w:rPr>
        <w:t>@type</w:t>
      </w:r>
      <w:r>
        <w:t xml:space="preserve"> need not be explicitly present</w:t>
      </w:r>
    </w:p>
    <w:p w14:paraId="13808E2D" w14:textId="420B1B26">
      <w:pPr>
        <w:pStyle w:val="Lista2"/>
      </w:pPr>
      <w:bookmarkStart w:id="289" w:name="_444cwmslg3uo" w:colFirst="0" w:colLast="0"/>
      <w:bookmarkStart w:id="290" w:name="_Ref63674302"/>
      <w:bookmarkEnd w:id="289"/>
      <w:r>
        <w:t xml:space="preserve">mandatorily, </w:t>
      </w:r>
      <w:r>
        <w:rPr>
          <w:rStyle w:val="Codeattribute"/>
        </w:rPr>
        <w:t>@unit</w:t>
      </w:r>
      <w:r>
        <w:t xml:space="preserve"> to encode the nature of the transition explicitly as per §</w:t>
      </w:r>
      <w:r>
        <w:fldChar w:fldCharType="begin"/>
      </w:r>
      <w:r>
        <w:instrText xml:space="preserve"> REF _Ref182815315 \r \h </w:instrText>
      </w:r>
      <w:r>
        <w:fldChar w:fldCharType="separate"/>
      </w:r>
      <w:r>
        <w:t>4.3.1</w:t>
      </w:r>
      <w:r>
        <w:fldChar w:fldCharType="end"/>
      </w:r>
    </w:p>
    <w:p w14:paraId="45DB013B" w14:textId="64A3F82E">
      <w:pPr>
        <w:pStyle w:val="Lista2"/>
      </w:pPr>
      <w:r>
        <w:t xml:space="preserve">mandatorily, </w:t>
      </w:r>
      <w:r>
        <w:rPr>
          <w:rStyle w:val="Codeattribute"/>
        </w:rPr>
        <w:t>@n</w:t>
      </w:r>
      <w:r>
        <w:t xml:space="preserve"> as per §</w:t>
      </w:r>
      <w:r>
        <w:fldChar w:fldCharType="begin"/>
      </w:r>
      <w:r>
        <w:instrText xml:space="preserve"> REF _Ref182580407 \r \h </w:instrText>
      </w:r>
      <w:r>
        <w:fldChar w:fldCharType="separate"/>
      </w:r>
      <w:r>
        <w:t>4.6.1.1</w:t>
      </w:r>
      <w:r>
        <w:fldChar w:fldCharType="end"/>
      </w:r>
    </w:p>
    <w:p w14:paraId="7DCB06B4" w14:textId="7D151156">
      <w:pPr>
        <w:pStyle w:val="Lista2"/>
      </w:pPr>
      <w:r>
        <w:t xml:space="preserve">as applicable, </w:t>
      </w:r>
      <w:r>
        <w:rPr>
          <w:rStyle w:val="Codeattribute"/>
        </w:rPr>
        <w:t>@break</w:t>
      </w:r>
      <w:r>
        <w:t xml:space="preserve"> for partitions interrupting words as per §</w:t>
      </w:r>
      <w:r>
        <w:fldChar w:fldCharType="begin"/>
      </w:r>
      <w:r>
        <w:instrText xml:space="preserve"> REF _Ref225519777 \r \h </w:instrText>
      </w:r>
      <w:r>
        <w:fldChar w:fldCharType="separate"/>
      </w:r>
      <w:r>
        <w:t>4.3.2.1</w:t>
      </w:r>
      <w:r>
        <w:fldChar w:fldCharType="end"/>
      </w:r>
    </w:p>
    <w:p w14:paraId="70CD1229" w14:textId="77777777">
      <w:pPr>
        <w:pStyle w:val="Lista"/>
      </w:pPr>
      <w:r>
        <w:rPr>
          <w:rStyle w:val="Code"/>
        </w:rPr>
        <w:t>&lt;milestone/&gt;</w:t>
      </w:r>
      <w:r>
        <w:t xml:space="preserve"> marks zone beginnings (rather than transitions) and thus, when gridlike zones are present in a document, the element must be created at the start of each such zone including the first</w:t>
      </w:r>
    </w:p>
    <w:p w14:paraId="063EA8F5" w14:textId="77777777">
      <w:pPr>
        <w:pStyle w:val="Lista"/>
      </w:pPr>
      <w:r>
        <w:t>since gridlike zones cut across lines, the milestones for each zone must be iterated in every line of the text that is affected by the gridlike partition</w:t>
      </w:r>
    </w:p>
    <w:p w14:paraId="2CE46E6F" w14:textId="3C071172">
      <w:pPr>
        <w:pStyle w:val="Lista"/>
      </w:pPr>
      <w:r>
        <w:t xml:space="preserve">gridlike features may occasionally split an </w:t>
      </w:r>
      <w:r>
        <w:rPr>
          <w:rStyle w:val="Foreign"/>
        </w:rPr>
        <w:t>akṣara</w:t>
      </w:r>
      <w:r>
        <w:t xml:space="preserve"> into parts that cannot be represented separately in transliteration; see §</w:t>
      </w:r>
      <w:r>
        <w:fldChar w:fldCharType="begin"/>
      </w:r>
      <w:r>
        <w:instrText xml:space="preserve"> REF _Ref182813737 \r \h </w:instrText>
      </w:r>
      <w:r>
        <w:fldChar w:fldCharType="separate"/>
      </w:r>
      <w:r>
        <w:t>4.7.6.1</w:t>
      </w:r>
      <w:r>
        <w:fldChar w:fldCharType="end"/>
      </w:r>
      <w:r>
        <w:t xml:space="preserve"> about encoding such cases</w:t>
      </w:r>
    </w:p>
    <w:p w14:paraId="526D7157" w14:textId="6B0603C3">
      <w:pPr>
        <w:pStyle w:val="Lista"/>
      </w:pPr>
      <w:r>
        <w:t>see §</w:t>
      </w:r>
      <w:r>
        <w:fldChar w:fldCharType="begin"/>
      </w:r>
      <w:r>
        <w:instrText xml:space="preserve"> REF _Ref182322267 \r \h </w:instrText>
      </w:r>
      <w:r>
        <w:fldChar w:fldCharType="separate"/>
      </w:r>
      <w:r>
        <w:t>4.7.5</w:t>
      </w:r>
      <w:r>
        <w:fldChar w:fldCharType="end"/>
      </w:r>
      <w:r>
        <w:t xml:space="preserve"> for further discussion of when gridlike partitions should be used</w:t>
      </w:r>
    </w:p>
    <w:p w14:paraId="4BA1E85A" w14:textId="77777777">
      <w:pPr>
        <w:pStyle w:val="Cmsor4"/>
      </w:pPr>
      <w:bookmarkStart w:id="291" w:name="_Ref182321707"/>
      <w:bookmarkStart w:id="292" w:name="_Ref182322544"/>
      <w:bookmarkStart w:id="293" w:name="_Ref182580407"/>
      <w:bookmarkStart w:id="294" w:name="_Ref182580433"/>
      <w:bookmarkEnd w:id="290"/>
      <w:r>
        <w:t>Numbering gridlike milestones</w:t>
      </w:r>
      <w:bookmarkEnd w:id="291"/>
      <w:bookmarkEnd w:id="292"/>
      <w:bookmarkEnd w:id="293"/>
      <w:bookmarkEnd w:id="294"/>
    </w:p>
    <w:p w14:paraId="1D5BA50E" w14:textId="70916159">
      <w:r>
        <w:t xml:space="preserve">Milestones are numbered for reference. When an XML edition is rendered for display, labels for gridlike milestones will be automatically generated from the encoded number. Unlike pagelike milestones, the </w:t>
      </w:r>
      <w:r>
        <w:rPr>
          <w:rStyle w:val="Code"/>
        </w:rPr>
        <w:t>&lt;label&gt;</w:t>
      </w:r>
      <w:r>
        <w:t xml:space="preserve"> element (§</w:t>
      </w:r>
      <w:r>
        <w:fldChar w:fldCharType="begin"/>
      </w:r>
      <w:r>
        <w:instrText xml:space="preserve"> REF _Ref182299869 \r \h </w:instrText>
      </w:r>
      <w:r>
        <w:fldChar w:fldCharType="separate"/>
      </w:r>
      <w:r>
        <w:t>4.4.3.2</w:t>
      </w:r>
      <w:r>
        <w:fldChar w:fldCharType="end"/>
      </w:r>
      <w:r>
        <w:t>) is not permitted in conjunction with these milestones.</w:t>
      </w:r>
    </w:p>
    <w:p w14:paraId="5FD7D430" w14:textId="77777777">
      <w:pPr>
        <w:pStyle w:val="Lista"/>
      </w:pPr>
      <w:r>
        <w:lastRenderedPageBreak/>
        <w:t>gridlike milestones are mandatorily numbered in DHARMA editions</w:t>
      </w:r>
    </w:p>
    <w:p w14:paraId="75F427ED" w14:textId="77777777">
      <w:pPr>
        <w:pStyle w:val="Lista"/>
      </w:pPr>
      <w:r>
        <w:t xml:space="preserve">the values of </w:t>
      </w:r>
      <w:r>
        <w:rPr>
          <w:rStyle w:val="Codeattribute"/>
        </w:rPr>
        <w:t>@n</w:t>
      </w:r>
      <w:r>
        <w:t xml:space="preserve"> recommended for the identification of gridlike partitions are lowercase Latin letters beginning with “a”</w:t>
      </w:r>
    </w:p>
    <w:p w14:paraId="32AC9DEB" w14:textId="77777777">
      <w:pPr>
        <w:pStyle w:val="Lista2"/>
      </w:pPr>
      <w:r>
        <w:t>nonetheless, any numeration scheme may be used depending on your preference, the conventions of your specific field, and the idiosyncratic nature of the grid you are encoding</w:t>
      </w:r>
    </w:p>
    <w:p w14:paraId="23330CBA" w14:textId="77777777">
      <w:pPr>
        <w:pStyle w:val="Lista3"/>
      </w:pPr>
      <w:r>
        <w:t>in particular, feel free to use lowercase letters alternating with uppercase ones to denote major/frontal and minor/lateral faces of a three-dimensional object such as a Southeast Asian stele, e.g. A, b, C and d</w:t>
      </w:r>
    </w:p>
    <w:p w14:paraId="787BF291" w14:textId="77777777">
      <w:pPr>
        <w:pStyle w:val="Lista"/>
      </w:pPr>
      <w:r>
        <w:t>the number referring to every zone of the grid must be unique</w:t>
      </w:r>
    </w:p>
    <w:p w14:paraId="46158AF4" w14:textId="77777777">
      <w:pPr>
        <w:pStyle w:val="Lista2"/>
      </w:pPr>
      <w:r>
        <w:t xml:space="preserve">since gridlike milestones with a given combination of </w:t>
      </w:r>
      <w:r>
        <w:rPr>
          <w:rStyle w:val="Codeattribute"/>
        </w:rPr>
        <w:t>@unit</w:t>
      </w:r>
      <w:r>
        <w:t xml:space="preserve"> and </w:t>
      </w:r>
      <w:r>
        <w:rPr>
          <w:rStyle w:val="Codeattribute"/>
        </w:rPr>
        <w:t>@n</w:t>
      </w:r>
      <w:r>
        <w:t xml:space="preserve"> will normally be iterated several times in a document (namely once in every line that crosses the zone to which that combination pertains), in complicated cases feel free, at your discretion, to assign a unique number to each cell of the grid</w:t>
      </w:r>
    </w:p>
    <w:p w14:paraId="43808A3B" w14:textId="77777777">
      <w:pPr>
        <w:pStyle w:val="Lista2"/>
      </w:pPr>
      <w:r>
        <w:t xml:space="preserve">should you need to encode gridlike milestones with two or more different units within a single document </w:t>
      </w:r>
      <w:r>
        <w:rPr>
          <w:noProof/>
        </w:rPr>
        <w:t>(</w:t>
      </w:r>
      <w:r>
        <w:t xml:space="preserve">e.g. </w:t>
      </w:r>
      <w:r>
        <w:rPr>
          <w:rStyle w:val="Codevalue"/>
        </w:rPr>
        <w:t>"column"</w:t>
      </w:r>
      <w:r>
        <w:t xml:space="preserve"> alternating with </w:t>
      </w:r>
      <w:r>
        <w:rPr>
          <w:rStyle w:val="Codevalue"/>
        </w:rPr>
        <w:t>"fragment"</w:t>
      </w:r>
      <w:r>
        <w:t xml:space="preserve"> to encode an inscription on whose original gridlike layout a secondary gridlike layout was superimposed by fragmentation), it is recommended that you use a different numeration scheme for the two</w:t>
      </w:r>
    </w:p>
    <w:p w14:paraId="3543E03C" w14:textId="77777777">
      <w:pPr>
        <w:pStyle w:val="Cmsor2"/>
      </w:pPr>
      <w:bookmarkStart w:id="295" w:name="_kqgib25um4gs" w:colFirst="0" w:colLast="0"/>
      <w:bookmarkStart w:id="296" w:name="_toz4tvrpqg6p" w:colFirst="0" w:colLast="0"/>
      <w:bookmarkStart w:id="297" w:name="_varsapous7ty" w:colFirst="0" w:colLast="0"/>
      <w:bookmarkStart w:id="298" w:name="_4iehglajtm57" w:colFirst="0" w:colLast="0"/>
      <w:bookmarkStart w:id="299" w:name="_Ref225242905"/>
      <w:bookmarkStart w:id="300" w:name="_Ref225350898"/>
      <w:bookmarkStart w:id="301" w:name="_Toc243922629"/>
      <w:bookmarkEnd w:id="295"/>
      <w:bookmarkEnd w:id="296"/>
      <w:bookmarkEnd w:id="297"/>
      <w:bookmarkEnd w:id="298"/>
      <w:r>
        <w:t xml:space="preserve">Dealing with the realities of extrinsic </w:t>
      </w:r>
      <w:bookmarkStart w:id="302" w:name="_Ref43990458"/>
      <w:bookmarkEnd w:id="299"/>
      <w:bookmarkEnd w:id="300"/>
      <w:r>
        <w:t>structure</w:t>
      </w:r>
      <w:bookmarkEnd w:id="301"/>
    </w:p>
    <w:p w14:paraId="07FE3FBB" w14:textId="575081A8">
      <w:pPr>
        <w:rPr>
          <w:lang w:eastAsia="en-US" w:bidi="ar-SA"/>
        </w:rPr>
      </w:pPr>
      <w:r>
        <w:rPr>
          <w:lang w:eastAsia="en-US" w:bidi="ar-SA"/>
        </w:rPr>
        <w:t>As already noted (§</w:t>
      </w:r>
      <w:r>
        <w:rPr>
          <w:lang w:eastAsia="en-US" w:bidi="ar-SA"/>
        </w:rPr>
        <w:fldChar w:fldCharType="begin"/>
      </w:r>
      <w:r>
        <w:rPr>
          <w:lang w:eastAsia="en-US" w:bidi="ar-SA"/>
        </w:rPr>
        <w:instrText xml:space="preserve"> REF _Ref182923075 \r \h </w:instrText>
      </w:r>
      <w:r>
        <w:rPr>
          <w:lang w:eastAsia="en-US" w:bidi="ar-SA"/>
        </w:rPr>
      </w:r>
      <w:r>
        <w:rPr>
          <w:lang w:eastAsia="en-US" w:bidi="ar-SA"/>
        </w:rPr>
        <w:fldChar w:fldCharType="separate"/>
      </w:r>
      <w:r>
        <w:rPr>
          <w:lang w:eastAsia="en-US" w:bidi="ar-SA"/>
        </w:rPr>
        <w:t>4.1</w:t>
      </w:r>
      <w:r>
        <w:rPr>
          <w:lang w:eastAsia="en-US" w:bidi="ar-SA"/>
        </w:rPr>
        <w:fldChar w:fldCharType="end"/>
      </w:r>
      <w:r>
        <w:rPr>
          <w:lang w:eastAsia="en-US" w:bidi="ar-SA"/>
        </w:rPr>
        <w:t xml:space="preserve">), in DHARMA editions we deliberately keep the complexity of encoding within reasonable limits. In this section we discuss cases where </w:t>
      </w:r>
      <w:r>
        <w:t>the primary field of an inscription (or, as the case may be, a partition of a multipage inscription) is accompanied by one or more supplementary zones (§</w:t>
      </w:r>
      <w:r>
        <w:fldChar w:fldCharType="begin"/>
      </w:r>
      <w:r>
        <w:instrText xml:space="preserve"> REF _Ref225779703 \r \h </w:instrText>
      </w:r>
      <w:r>
        <w:fldChar w:fldCharType="separate"/>
      </w:r>
      <w:r>
        <w:t>4.7.1</w:t>
      </w:r>
      <w:r>
        <w:fldChar w:fldCharType="end"/>
      </w:r>
      <w:r>
        <w:t>) or by page or folio numeration marks (§</w:t>
      </w:r>
      <w:r>
        <w:fldChar w:fldCharType="begin"/>
      </w:r>
      <w:r>
        <w:instrText xml:space="preserve"> REF _Ref43984607 \r \h </w:instrText>
      </w:r>
      <w:r>
        <w:fldChar w:fldCharType="separate"/>
      </w:r>
      <w:r>
        <w:t>4.7.2</w:t>
      </w:r>
      <w:r>
        <w:fldChar w:fldCharType="end"/>
      </w:r>
      <w:r>
        <w:t xml:space="preserve">). We also </w:t>
      </w:r>
      <w:r>
        <w:rPr>
          <w:lang w:eastAsia="en-US" w:bidi="ar-SA"/>
        </w:rPr>
        <w:t>examine situations that are best encoded with boxlike (§</w:t>
      </w:r>
      <w:r>
        <w:rPr>
          <w:lang w:eastAsia="en-US" w:bidi="ar-SA"/>
        </w:rPr>
        <w:fldChar w:fldCharType="begin"/>
      </w:r>
      <w:r>
        <w:rPr>
          <w:lang w:eastAsia="en-US" w:bidi="ar-SA"/>
        </w:rPr>
        <w:instrText xml:space="preserve"> REF _Ref225759775 \r \h </w:instrText>
      </w:r>
      <w:r>
        <w:rPr>
          <w:lang w:eastAsia="en-US" w:bidi="ar-SA"/>
        </w:rPr>
      </w:r>
      <w:r>
        <w:rPr>
          <w:lang w:eastAsia="en-US" w:bidi="ar-SA"/>
        </w:rPr>
        <w:fldChar w:fldCharType="separate"/>
      </w:r>
      <w:r>
        <w:rPr>
          <w:lang w:eastAsia="en-US" w:bidi="ar-SA"/>
        </w:rPr>
        <w:t>4.7.3</w:t>
      </w:r>
      <w:r>
        <w:rPr>
          <w:lang w:eastAsia="en-US" w:bidi="ar-SA"/>
        </w:rPr>
        <w:fldChar w:fldCharType="end"/>
      </w:r>
      <w:r>
        <w:rPr>
          <w:lang w:eastAsia="en-US" w:bidi="ar-SA"/>
        </w:rPr>
        <w:t>), pagelike (§</w:t>
      </w:r>
      <w:r>
        <w:rPr>
          <w:lang w:eastAsia="en-US" w:bidi="ar-SA"/>
        </w:rPr>
        <w:fldChar w:fldCharType="begin"/>
      </w:r>
      <w:r>
        <w:rPr>
          <w:lang w:eastAsia="en-US" w:bidi="ar-SA"/>
        </w:rPr>
        <w:instrText xml:space="preserve"> REF _Ref225759789 \r \h </w:instrText>
      </w:r>
      <w:r>
        <w:rPr>
          <w:lang w:eastAsia="en-US" w:bidi="ar-SA"/>
        </w:rPr>
      </w:r>
      <w:r>
        <w:rPr>
          <w:lang w:eastAsia="en-US" w:bidi="ar-SA"/>
        </w:rPr>
        <w:fldChar w:fldCharType="separate"/>
      </w:r>
      <w:r>
        <w:rPr>
          <w:lang w:eastAsia="en-US" w:bidi="ar-SA"/>
        </w:rPr>
        <w:t>4.7.4</w:t>
      </w:r>
      <w:r>
        <w:rPr>
          <w:lang w:eastAsia="en-US" w:bidi="ar-SA"/>
        </w:rPr>
        <w:fldChar w:fldCharType="end"/>
      </w:r>
      <w:r>
        <w:rPr>
          <w:lang w:eastAsia="en-US" w:bidi="ar-SA"/>
        </w:rPr>
        <w:t>) and gridlike (§</w:t>
      </w:r>
      <w:r>
        <w:rPr>
          <w:lang w:eastAsia="en-US" w:bidi="ar-SA"/>
        </w:rPr>
        <w:fldChar w:fldCharType="begin"/>
      </w:r>
      <w:r>
        <w:rPr>
          <w:lang w:eastAsia="en-US" w:bidi="ar-SA"/>
        </w:rPr>
        <w:instrText xml:space="preserve"> REF _Ref225759805 \r \h </w:instrText>
      </w:r>
      <w:r>
        <w:rPr>
          <w:lang w:eastAsia="en-US" w:bidi="ar-SA"/>
        </w:rPr>
      </w:r>
      <w:r>
        <w:rPr>
          <w:lang w:eastAsia="en-US" w:bidi="ar-SA"/>
        </w:rPr>
        <w:fldChar w:fldCharType="separate"/>
      </w:r>
      <w:r>
        <w:rPr>
          <w:lang w:eastAsia="en-US" w:bidi="ar-SA"/>
        </w:rPr>
        <w:t>4.7.5</w:t>
      </w:r>
      <w:r>
        <w:rPr>
          <w:lang w:eastAsia="en-US" w:bidi="ar-SA"/>
        </w:rPr>
        <w:fldChar w:fldCharType="end"/>
      </w:r>
      <w:r>
        <w:rPr>
          <w:lang w:eastAsia="en-US" w:bidi="ar-SA"/>
        </w:rPr>
        <w:t>) partitions, and discuss some realistic cases with a less-than-neat extrinsic structure, resulting most commonly from fragmentation (§</w:t>
      </w:r>
      <w:r>
        <w:rPr>
          <w:lang w:eastAsia="en-US" w:bidi="ar-SA"/>
        </w:rPr>
        <w:fldChar w:fldCharType="begin"/>
      </w:r>
      <w:r>
        <w:rPr>
          <w:lang w:eastAsia="en-US" w:bidi="ar-SA"/>
        </w:rPr>
        <w:instrText xml:space="preserve"> REF _Ref225759925 \r \h </w:instrText>
      </w:r>
      <w:r>
        <w:rPr>
          <w:lang w:eastAsia="en-US" w:bidi="ar-SA"/>
        </w:rPr>
      </w:r>
      <w:r>
        <w:rPr>
          <w:lang w:eastAsia="en-US" w:bidi="ar-SA"/>
        </w:rPr>
        <w:fldChar w:fldCharType="separate"/>
      </w:r>
      <w:r>
        <w:rPr>
          <w:lang w:eastAsia="en-US" w:bidi="ar-SA"/>
        </w:rPr>
        <w:t>4.7.6</w:t>
      </w:r>
      <w:r>
        <w:rPr>
          <w:lang w:eastAsia="en-US" w:bidi="ar-SA"/>
        </w:rPr>
        <w:fldChar w:fldCharType="end"/>
      </w:r>
      <w:r>
        <w:rPr>
          <w:lang w:eastAsia="en-US" w:bidi="ar-SA"/>
        </w:rPr>
        <w:t>).</w:t>
      </w:r>
    </w:p>
    <w:p w14:paraId="3FDFABEB" w14:textId="77777777">
      <w:pPr>
        <w:pStyle w:val="Cmsor3"/>
      </w:pPr>
      <w:bookmarkStart w:id="303" w:name="_Ref225779703"/>
      <w:bookmarkStart w:id="304" w:name="_Toc243922630"/>
      <w:r>
        <w:t>Peripheral inscribed zones</w:t>
      </w:r>
      <w:bookmarkEnd w:id="303"/>
      <w:bookmarkEnd w:id="304"/>
    </w:p>
    <w:p w14:paraId="02D33F0D" w14:textId="1D0D6916">
      <w:r>
        <w:t>Smaller inscribed zones supplementing a primary inscribed field and containing, for instance, an auspicious invocation, word or symbol, are generally handled simply through the encoding of lines as explained in §</w:t>
      </w:r>
      <w:r>
        <w:fldChar w:fldCharType="begin"/>
      </w:r>
      <w:r>
        <w:instrText xml:space="preserve"> REF _Ref43978135 \r \h </w:instrText>
      </w:r>
      <w:r>
        <w:fldChar w:fldCharType="separate"/>
      </w:r>
      <w:r>
        <w:t>4.7.1.1</w:t>
      </w:r>
      <w:r>
        <w:fldChar w:fldCharType="end"/>
      </w:r>
      <w:r>
        <w:t xml:space="preserve"> and §</w:t>
      </w:r>
      <w:r>
        <w:fldChar w:fldCharType="begin"/>
      </w:r>
      <w:r>
        <w:instrText xml:space="preserve"> REF _Ref182233273 \r \h </w:instrText>
      </w:r>
      <w:r>
        <w:fldChar w:fldCharType="separate"/>
      </w:r>
      <w:r>
        <w:t>4.7.1.2</w:t>
      </w:r>
      <w:r>
        <w:fldChar w:fldCharType="end"/>
      </w:r>
      <w:r>
        <w:t>.</w:t>
      </w:r>
    </w:p>
    <w:p w14:paraId="7D267FAE" w14:textId="77777777">
      <w:pPr>
        <w:pStyle w:val="Normlbehzs"/>
      </w:pPr>
      <w:r>
        <w:t xml:space="preserve">In the Western epigraphic and codicological tradition, opening symbols, words, phrases or stanzas in a document are called </w:t>
      </w:r>
      <w:r>
        <w:rPr>
          <w:rStyle w:val="Foreign"/>
        </w:rPr>
        <w:t>incipit</w:t>
      </w:r>
      <w:r>
        <w:t xml:space="preserve">. Concluding passages and symbols are called </w:t>
      </w:r>
      <w:r>
        <w:rPr>
          <w:rStyle w:val="Foreign"/>
        </w:rPr>
        <w:t>explicit</w:t>
      </w:r>
      <w:r>
        <w:t xml:space="preserve"> or, when recording details about the creation of the document, </w:t>
      </w:r>
      <w:r>
        <w:rPr>
          <w:i/>
          <w:iCs/>
        </w:rPr>
        <w:t>colophon</w:t>
      </w:r>
      <w:r>
        <w:t>. The last lines of inscriptions can also be visually separated from the rest of the principal inscribed field for physical rather than semantic considerations, such as when the engraver had simply run out of space and wrote the last line</w:t>
      </w:r>
      <w:r>
        <w:rPr>
          <w:noProof/>
        </w:rPr>
        <w:t>(</w:t>
      </w:r>
      <w:r>
        <w:t>s) in a margin or interpolated it between the regular lines.</w:t>
      </w:r>
    </w:p>
    <w:p w14:paraId="337F7BCF" w14:textId="25277EEE">
      <w:pPr>
        <w:pStyle w:val="Normlbehzs"/>
        <w:rPr>
          <w:lang w:eastAsia="en-US" w:bidi="ar-SA"/>
        </w:rPr>
      </w:pPr>
      <w:r>
        <w:t xml:space="preserve">In DHARMA editions, neither incipits nor explicits (including colophons) are distinguished in the encoding. If they are semantically autonomous, then they are wrapped, like any other portion of the text, in one or more </w:t>
      </w:r>
      <w:r>
        <w:rPr>
          <w:rStyle w:val="Code"/>
        </w:rPr>
        <w:t>&lt;ab&gt;</w:t>
      </w:r>
      <w:r>
        <w:t xml:space="preserve">, </w:t>
      </w:r>
      <w:r>
        <w:rPr>
          <w:rStyle w:val="Code"/>
        </w:rPr>
        <w:t>&lt;p&gt;</w:t>
      </w:r>
      <w:r>
        <w:t xml:space="preserve"> or </w:t>
      </w:r>
      <w:r>
        <w:rPr>
          <w:rStyle w:val="Code"/>
        </w:rPr>
        <w:t>&lt;lg&gt;</w:t>
      </w:r>
      <w:r>
        <w:t xml:space="preserve"> elements as applicable </w:t>
      </w:r>
      <w:r>
        <w:rPr>
          <w:noProof/>
        </w:rPr>
        <w:t>(</w:t>
      </w:r>
      <w:r>
        <w:t>§</w:t>
      </w:r>
      <w:r>
        <w:fldChar w:fldCharType="begin"/>
      </w:r>
      <w:r>
        <w:instrText xml:space="preserve"> REF _Ref43978632 \w \h  \* MERGEFORMAT </w:instrText>
      </w:r>
      <w:r>
        <w:fldChar w:fldCharType="separate"/>
      </w:r>
      <w:r>
        <w:t>3</w:t>
      </w:r>
      <w:r>
        <w:fldChar w:fldCharType="end"/>
      </w:r>
      <w:r>
        <w:t>). If they are visually offset from the main text, we still prefer not to encode them as partitions in extrinsic structure. Recall that epigraphic lines may appear in any visual arrangement (§</w:t>
      </w:r>
      <w:r>
        <w:fldChar w:fldCharType="begin"/>
      </w:r>
      <w:r>
        <w:instrText xml:space="preserve"> REF _Ref224720139 \r \h </w:instrText>
      </w:r>
      <w:r>
        <w:fldChar w:fldCharType="separate"/>
      </w:r>
      <w:r>
        <w:t>4.5</w:t>
      </w:r>
      <w:r>
        <w:fldChar w:fldCharType="end"/>
      </w:r>
      <w:r>
        <w:t xml:space="preserve">), so if one line or a small number of lines is visually offset, it or they do not necessarily have to be conceptualised as a separate zone. Therefore, opening and closing lines are encoded just like any other line, as in </w:t>
      </w:r>
      <w:r>
        <w:fldChar w:fldCharType="begin"/>
      </w:r>
      <w:r>
        <w:instrText xml:space="preserve"> REF _Ref225762334 \h </w:instrText>
      </w:r>
      <w:r>
        <w:fldChar w:fldCharType="separate"/>
      </w:r>
      <w:r>
        <w:t xml:space="preserve">Exhibit </w:t>
      </w:r>
      <w:r>
        <w:rPr>
          <w:noProof/>
        </w:rPr>
        <w:t>4.7</w:t>
      </w:r>
      <w:r>
        <w:t>.</w:t>
      </w:r>
      <w:r>
        <w:rPr>
          <w:noProof/>
        </w:rPr>
        <w:t>A</w:t>
      </w:r>
      <w:r>
        <w:fldChar w:fldCharType="end"/>
      </w:r>
      <w:r>
        <w:t>. The fact that they are spatially offset from the principal body can be annotated, while specially aligned lines may be optionally encoded as per §</w:t>
      </w:r>
      <w:r>
        <w:fldChar w:fldCharType="begin"/>
      </w:r>
      <w:r>
        <w:instrText xml:space="preserve"> REF _Ref43987598 \r \h </w:instrText>
      </w:r>
      <w:r>
        <w:fldChar w:fldCharType="separate"/>
      </w:r>
      <w:r>
        <w:t>8.5.1</w:t>
      </w:r>
      <w:r>
        <w:fldChar w:fldCharType="end"/>
      </w:r>
      <w:r>
        <w:t>. That said, we do recommend a special numbering scheme for incipits, which shall conventionally indicate to the reader that such lines are spatially offset from the principal field.</w:t>
      </w:r>
    </w:p>
    <w:tbl>
      <w:tblPr>
        <w:tblStyle w:val="CodeSampleTable"/>
        <w:tblW w:w="5000" w:type="pct"/>
        <w:tblLook w:val="04A0" w:firstRow="1" w:lastRow="0" w:firstColumn="1" w:lastColumn="0" w:noHBand="0" w:noVBand="1"/>
      </w:tblPr>
      <w:tblGrid>
        <w:gridCol w:w="9628"/>
      </w:tblGrid>
      <w:tr w14:paraId="4A83FAE8"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CBD7024" w14:textId="2B65102A">
            <w:pPr>
              <w:pStyle w:val="Kpalrs"/>
              <w:keepLines/>
            </w:pPr>
            <w:bookmarkStart w:id="305" w:name="_Ref225762334"/>
            <w:r>
              <w:lastRenderedPageBreak/>
              <w:t xml:space="preserve">Exhibit </w:t>
            </w:r>
            <w:fldSimple w:instr=" STYLEREF 2 \s ">
              <w:r>
                <w:rPr>
                  <w:noProof/>
                </w:rPr>
                <w:t>4.7</w:t>
              </w:r>
            </w:fldSimple>
            <w:r>
              <w:t>.</w:t>
            </w:r>
            <w:fldSimple w:instr=" SEQ Exhibit \* ALPHABETIC \s 2 ">
              <w:r>
                <w:rPr>
                  <w:noProof/>
                </w:rPr>
                <w:t>A</w:t>
              </w:r>
            </w:fldSimple>
            <w:bookmarkEnd w:id="305"/>
            <w:r>
              <w:t>: incipit and colophon</w:t>
            </w:r>
          </w:p>
        </w:tc>
      </w:tr>
      <w:tr w14:paraId="0325D0E5" w14:textId="77777777">
        <w:tc>
          <w:tcPr>
            <w:tcW w:w="5000" w:type="pct"/>
            <w:vAlign w:val="center"/>
          </w:tcPr>
          <w:p w14:paraId="443D6A5A" w14:textId="77777777">
            <w:pPr>
              <w:pStyle w:val="Image"/>
              <w:keepLines/>
              <w:rPr>
                <w:rStyle w:val="Code"/>
              </w:rPr>
            </w:pPr>
            <w:r>
              <w:drawing>
                <wp:inline distT="0" distB="0" distL="0" distR="0" wp14:anchorId="35C4BC6E" wp14:editId="577D8C25">
                  <wp:extent cx="5397500" cy="2593340"/>
                  <wp:effectExtent l="0" t="0" r="0" b="0"/>
                  <wp:docPr id="1460987304"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7500" cy="2593340"/>
                          </a:xfrm>
                          <a:prstGeom prst="rect">
                            <a:avLst/>
                          </a:prstGeom>
                          <a:noFill/>
                          <a:ln>
                            <a:noFill/>
                          </a:ln>
                        </pic:spPr>
                      </pic:pic>
                    </a:graphicData>
                  </a:graphic>
                </wp:inline>
              </w:drawing>
            </w:r>
          </w:p>
        </w:tc>
      </w:tr>
      <w:tr w14:paraId="10E58201" w14:textId="77777777">
        <w:tc>
          <w:tcPr>
            <w:tcW w:w="5000" w:type="pct"/>
          </w:tcPr>
          <w:p w14:paraId="5CCB9EA2" w14:textId="77777777">
            <w:pPr>
              <w:pStyle w:val="CodeParagraph"/>
              <w:keepNext/>
              <w:keepLines/>
              <w:rPr>
                <w:rStyle w:val="Code"/>
              </w:rPr>
            </w:pPr>
            <w:r>
              <w:rPr>
                <w:rStyle w:val="Code"/>
              </w:rPr>
              <w:t>&lt;ab&gt;</w:t>
            </w:r>
          </w:p>
          <w:p w14:paraId="0A918499"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"1"</w:t>
            </w:r>
            <w:r>
              <w:rPr>
                <w:rStyle w:val="Code"/>
              </w:rPr>
              <w:t>/&gt;</w:t>
            </w:r>
            <w:r>
              <w:rPr>
                <w:rStyle w:val="Codetext"/>
              </w:rPr>
              <w:t>J. R. R. Tolkien: The Hobbit</w:t>
            </w:r>
          </w:p>
          <w:p w14:paraId="0B98A09A" w14:textId="77777777">
            <w:pPr>
              <w:pStyle w:val="CodeParagraph"/>
              <w:keepNext/>
              <w:keepLines/>
              <w:rPr>
                <w:rStyle w:val="Codetext"/>
              </w:rPr>
            </w:pPr>
            <w:r>
              <w:rPr>
                <w:rStyle w:val="Code"/>
              </w:rPr>
              <w:t>&lt;/ab&gt;</w:t>
            </w:r>
          </w:p>
          <w:p w14:paraId="7955DE34" w14:textId="77777777">
            <w:pPr>
              <w:pStyle w:val="CodeParagraph"/>
              <w:keepNext/>
              <w:keepLines/>
              <w:rPr>
                <w:rStyle w:val="Code"/>
              </w:rPr>
            </w:pPr>
            <w:r>
              <w:rPr>
                <w:rStyle w:val="Code"/>
              </w:rPr>
              <w:t>&lt;p&gt;</w:t>
            </w:r>
          </w:p>
          <w:p w14:paraId="6E3A5BD0" w14:textId="77777777">
            <w:pPr>
              <w:pStyle w:val="CodeParagraph"/>
              <w:keepNext/>
              <w:keepLines/>
              <w:rPr>
                <w:rStyle w:val="Code"/>
              </w:rPr>
            </w:pPr>
            <w:r>
              <w:rPr>
                <w:rStyle w:val="Code"/>
              </w:rPr>
              <w:t xml:space="preserve">  &lt;lb </w:t>
            </w:r>
            <w:r>
              <w:rPr>
                <w:rStyle w:val="Codeattribute"/>
              </w:rPr>
              <w:t>n</w:t>
            </w:r>
            <w:r>
              <w:rPr>
                <w:rStyle w:val="Code"/>
              </w:rPr>
              <w:t>=</w:t>
            </w:r>
            <w:r>
              <w:rPr>
                <w:rStyle w:val="Codevalue"/>
              </w:rPr>
              <w:t>"2"</w:t>
            </w:r>
            <w:r>
              <w:rPr>
                <w:rStyle w:val="Code"/>
              </w:rPr>
              <w:t>/&gt;</w:t>
            </w:r>
            <w:r>
              <w:rPr>
                <w:rStyle w:val="Codetext"/>
              </w:rPr>
              <w:t>In a hole in the ground...</w:t>
            </w:r>
            <w:r>
              <w:rPr>
                <w:rStyle w:val="Codetext"/>
              </w:rPr>
              <w:br/>
            </w:r>
            <w:r>
              <w:rPr>
                <w:rStyle w:val="Code"/>
              </w:rPr>
              <w:t xml:space="preserve">  ...</w:t>
            </w:r>
          </w:p>
          <w:p w14:paraId="4FE11C32"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"6"</w:t>
            </w:r>
            <w:r>
              <w:rPr>
                <w:rStyle w:val="Code"/>
              </w:rPr>
              <w:t>/&gt;</w:t>
            </w:r>
            <w:r>
              <w:rPr>
                <w:rStyle w:val="Codetext"/>
              </w:rPr>
              <w:t>hobbit-hole, and that means comfort.</w:t>
            </w:r>
          </w:p>
          <w:p w14:paraId="0A0377B8" w14:textId="77777777">
            <w:pPr>
              <w:pStyle w:val="CodeParagraph"/>
              <w:keepNext/>
              <w:keepLines/>
              <w:rPr>
                <w:rStyle w:val="Codetext"/>
              </w:rPr>
            </w:pPr>
            <w:r>
              <w:rPr>
                <w:rStyle w:val="Code"/>
              </w:rPr>
              <w:t>&lt;/p&gt;</w:t>
            </w:r>
          </w:p>
          <w:p w14:paraId="4214813F" w14:textId="77777777">
            <w:pPr>
              <w:pStyle w:val="CodeParagraph"/>
              <w:keepNext/>
              <w:keepLines/>
              <w:rPr>
                <w:rStyle w:val="Code"/>
              </w:rPr>
            </w:pPr>
            <w:r>
              <w:rPr>
                <w:rStyle w:val="Code"/>
              </w:rPr>
              <w:t>&lt;ab&gt;</w:t>
            </w:r>
          </w:p>
          <w:p w14:paraId="27AF1898"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"7"</w:t>
            </w:r>
            <w:r>
              <w:rPr>
                <w:rStyle w:val="Code"/>
              </w:rPr>
              <w:t>/&gt;</w:t>
            </w:r>
            <w:r>
              <w:rPr>
                <w:rStyle w:val="Codetext"/>
              </w:rPr>
              <w:t>23 December 2024</w:t>
            </w:r>
          </w:p>
          <w:p w14:paraId="034F365F" w14:textId="77777777">
            <w:pPr>
              <w:pStyle w:val="CodeParagraph"/>
              <w:keepNext/>
              <w:keepLines/>
            </w:pPr>
            <w:r>
              <w:rPr>
                <w:rStyle w:val="Code"/>
              </w:rPr>
              <w:t>&lt;/ab&gt;</w:t>
            </w:r>
          </w:p>
        </w:tc>
      </w:tr>
      <w:tr w14:paraId="58DE0165" w14:textId="77777777">
        <w:tc>
          <w:tcPr>
            <w:tcW w:w="5000" w:type="pct"/>
          </w:tcPr>
          <w:p w14:paraId="4FB90947" w14:textId="79AE7B72">
            <w:pPr>
              <w:pStyle w:val="TableNote"/>
            </w:pPr>
            <w:r>
              <w:t xml:space="preserve">the alignment of the first and last line may be encoded as in </w:t>
            </w:r>
            <w:r>
              <w:fldChar w:fldCharType="begin"/>
            </w:r>
            <w:r>
              <w:instrText xml:space="preserve"> REF _Ref225762134 \h </w:instrText>
            </w:r>
            <w:r>
              <w:fldChar w:fldCharType="separate"/>
            </w:r>
            <w:r>
              <w:t xml:space="preserve">Exhibit </w:t>
            </w:r>
            <w:r>
              <w:rPr>
                <w:noProof/>
              </w:rPr>
              <w:t>8.5</w:t>
            </w:r>
            <w:r>
              <w:t>.</w:t>
            </w:r>
            <w:r>
              <w:rPr>
                <w:noProof/>
              </w:rPr>
              <w:t>A</w:t>
            </w:r>
            <w:r>
              <w:fldChar w:fldCharType="end"/>
            </w:r>
          </w:p>
          <w:p w14:paraId="08A5BA05" w14:textId="0C4E2F87">
            <w:pPr>
              <w:pStyle w:val="TableNote"/>
            </w:pPr>
            <w:r>
              <w:t>the first line could be optionally encoded with special numeration (§</w:t>
            </w:r>
            <w:r>
              <w:fldChar w:fldCharType="begin"/>
            </w:r>
            <w:r>
              <w:instrText xml:space="preserve"> REF _Ref43978135 \r \h </w:instrText>
            </w:r>
            <w:r>
              <w:fldChar w:fldCharType="separate"/>
            </w:r>
            <w:r>
              <w:t>4.7.1.1</w:t>
            </w:r>
            <w:r>
              <w:fldChar w:fldCharType="end"/>
            </w:r>
            <w:r>
              <w:t>)</w:t>
            </w:r>
          </w:p>
        </w:tc>
      </w:tr>
    </w:tbl>
    <w:p w14:paraId="57E866A4" w14:textId="77777777">
      <w:pPr>
        <w:pStyle w:val="Cmsor4"/>
      </w:pPr>
      <w:bookmarkStart w:id="306" w:name="_2aaf1avj18kw" w:colFirst="0" w:colLast="0"/>
      <w:bookmarkStart w:id="307" w:name="_rr8pkbi3b1cc" w:colFirst="0" w:colLast="0"/>
      <w:bookmarkStart w:id="308" w:name="_tmbjz6tt6rwk" w:colFirst="0" w:colLast="0"/>
      <w:bookmarkStart w:id="309" w:name="_Ref43978135"/>
      <w:bookmarkEnd w:id="306"/>
      <w:bookmarkEnd w:id="307"/>
      <w:bookmarkEnd w:id="308"/>
      <w:r>
        <w:t xml:space="preserve">Spatially offset opening sections </w:t>
      </w:r>
      <w:r>
        <w:rPr>
          <w:noProof/>
        </w:rPr>
        <w:t>(</w:t>
      </w:r>
      <w:r>
        <w:t>incipits)</w:t>
      </w:r>
      <w:bookmarkEnd w:id="309"/>
    </w:p>
    <w:p w14:paraId="09B69173" w14:textId="4D6FB241">
      <w:pPr>
        <w:pStyle w:val="Lista"/>
      </w:pPr>
      <w:r>
        <w:t xml:space="preserve">incipits are usually semantically separate from the principal inscription, and will therefore be normally enclosed in one or more separate </w:t>
      </w:r>
      <w:r>
        <w:rPr>
          <w:rStyle w:val="Code"/>
        </w:rPr>
        <w:t>&lt;ab&gt;</w:t>
      </w:r>
      <w:r>
        <w:t xml:space="preserve">, </w:t>
      </w:r>
      <w:r>
        <w:rPr>
          <w:rStyle w:val="Code"/>
        </w:rPr>
        <w:t>&lt;p&gt;</w:t>
      </w:r>
      <w:r>
        <w:t xml:space="preserve"> or </w:t>
      </w:r>
      <w:r>
        <w:rPr>
          <w:rStyle w:val="Code"/>
        </w:rPr>
        <w:t>&lt;lg&gt;</w:t>
      </w:r>
      <w:r>
        <w:t xml:space="preserve"> element as applicable </w:t>
      </w:r>
      <w:r>
        <w:rPr>
          <w:noProof/>
        </w:rPr>
        <w:t>(</w:t>
      </w:r>
      <w:r>
        <w:t>§</w:t>
      </w:r>
      <w:r>
        <w:fldChar w:fldCharType="begin"/>
      </w:r>
      <w:r>
        <w:instrText xml:space="preserve"> REF _Ref43978632 \w \h  \* MERGEFORMAT </w:instrText>
      </w:r>
      <w:r>
        <w:fldChar w:fldCharType="separate"/>
      </w:r>
      <w:r>
        <w:t>3</w:t>
      </w:r>
      <w:r>
        <w:fldChar w:fldCharType="end"/>
      </w:r>
      <w:r>
        <w:t>)</w:t>
      </w:r>
    </w:p>
    <w:p w14:paraId="3BF6A386" w14:textId="0986A648">
      <w:pPr>
        <w:pStyle w:val="Lista"/>
      </w:pPr>
      <w:r>
        <w:t xml:space="preserve">the line(s) containing an incipit may be numbered from 1, with the numeration continuing seamlessly into the main field, as in </w:t>
      </w:r>
      <w:r>
        <w:fldChar w:fldCharType="begin"/>
      </w:r>
      <w:r>
        <w:instrText xml:space="preserve"> REF _Ref225762334 \h </w:instrText>
      </w:r>
      <w:r>
        <w:fldChar w:fldCharType="separate"/>
      </w:r>
      <w:r>
        <w:t xml:space="preserve">Exhibit </w:t>
      </w:r>
      <w:r>
        <w:rPr>
          <w:noProof/>
        </w:rPr>
        <w:t>4.7</w:t>
      </w:r>
      <w:r>
        <w:t>.</w:t>
      </w:r>
      <w:r>
        <w:rPr>
          <w:noProof/>
        </w:rPr>
        <w:t>A</w:t>
      </w:r>
      <w:r>
        <w:fldChar w:fldCharType="end"/>
      </w:r>
    </w:p>
    <w:p w14:paraId="7FEC0EBD" w14:textId="77777777">
      <w:pPr>
        <w:pStyle w:val="Lista2"/>
      </w:pPr>
      <w:r>
        <w:t>this is recommended for incipits whose spatial location fits into the regular sequence of lines in the main field</w:t>
      </w:r>
    </w:p>
    <w:p w14:paraId="1DFE584E" w14:textId="77777777">
      <w:pPr>
        <w:pStyle w:val="Lista"/>
      </w:pPr>
      <w:r>
        <w:t>optionally, the incipit’s line(s) may be given a different numeration scheme, which by DHARMA convention indicates a visually offset incipit</w:t>
      </w:r>
    </w:p>
    <w:p w14:paraId="418E74B0" w14:textId="77777777">
      <w:pPr>
        <w:pStyle w:val="Lista2"/>
      </w:pPr>
      <w:r>
        <w:t>this is recommended when the incipit is outside the regular sequence of lines, such as</w:t>
      </w:r>
    </w:p>
    <w:p w14:paraId="111F614D" w14:textId="2EFFFAD0">
      <w:pPr>
        <w:pStyle w:val="Lista3"/>
      </w:pPr>
      <w:r>
        <w:t xml:space="preserve">above the principal field and conspicuously separate from it (as in </w:t>
      </w:r>
      <w:r>
        <w:fldChar w:fldCharType="begin"/>
      </w:r>
      <w:r>
        <w:instrText xml:space="preserve"> REF _Ref239843991 \r \h </w:instrText>
      </w:r>
      <w:r>
        <w:fldChar w:fldCharType="separate"/>
      </w:r>
      <w:r>
        <w:t>Appendix A.6</w:t>
      </w:r>
      <w:r>
        <w:fldChar w:fldCharType="end"/>
      </w:r>
      <w:r>
        <w:t>)</w:t>
      </w:r>
    </w:p>
    <w:p w14:paraId="7BE486E2" w14:textId="5CBEDEE1">
      <w:pPr>
        <w:pStyle w:val="Lista3"/>
      </w:pPr>
      <w:r>
        <w:t xml:space="preserve">inset into the principal campus at a corner, edge, or floating inside (as in </w:t>
      </w:r>
      <w:r>
        <w:fldChar w:fldCharType="begin"/>
      </w:r>
      <w:r>
        <w:instrText xml:space="preserve"> REF _Ref225765626 \h </w:instrText>
      </w:r>
      <w:r>
        <w:fldChar w:fldCharType="separate"/>
      </w:r>
      <w:r>
        <w:t xml:space="preserve">Exhibit </w:t>
      </w:r>
      <w:r>
        <w:rPr>
          <w:noProof/>
        </w:rPr>
        <w:t>4.7</w:t>
      </w:r>
      <w:r>
        <w:t>.</w:t>
      </w:r>
      <w:r>
        <w:rPr>
          <w:noProof/>
        </w:rPr>
        <w:t>B</w:t>
      </w:r>
      <w:r>
        <w:fldChar w:fldCharType="end"/>
      </w:r>
      <w:r>
        <w:t>)</w:t>
      </w:r>
    </w:p>
    <w:p w14:paraId="091789FC" w14:textId="3D186C14">
      <w:pPr>
        <w:pStyle w:val="Lista3"/>
      </w:pPr>
      <w:r>
        <w:t xml:space="preserve">in a margin (as in </w:t>
      </w:r>
      <w:r>
        <w:fldChar w:fldCharType="begin"/>
      </w:r>
      <w:r>
        <w:instrText xml:space="preserve"> REF _Ref225765627 \h </w:instrText>
      </w:r>
      <w:r>
        <w:fldChar w:fldCharType="separate"/>
      </w:r>
      <w:r>
        <w:t xml:space="preserve">Exhibit </w:t>
      </w:r>
      <w:r>
        <w:rPr>
          <w:noProof/>
        </w:rPr>
        <w:t>4.7</w:t>
      </w:r>
      <w:r>
        <w:t>.</w:t>
      </w:r>
      <w:r>
        <w:rPr>
          <w:noProof/>
        </w:rPr>
        <w:t>C</w:t>
      </w:r>
      <w:r>
        <w:fldChar w:fldCharType="end"/>
      </w:r>
      <w:r>
        <w:t>)</w:t>
      </w:r>
    </w:p>
    <w:p w14:paraId="67154204" w14:textId="77777777">
      <w:pPr>
        <w:pStyle w:val="Lista2"/>
      </w:pPr>
      <w:r>
        <w:t>the recommended numeration scheme is to add a leading 0 (zero) to the numbers of offset lines, then starting the numeration of the main field’s lines normally from 1</w:t>
      </w:r>
    </w:p>
    <w:p w14:paraId="35927982" w14:textId="2463E161">
      <w:pPr>
        <w:pStyle w:val="Lista3"/>
      </w:pPr>
      <w:r>
        <w:t xml:space="preserve">for simple line numbers, use 01, 02, etc. for visually offset incipit lines, as in </w:t>
      </w:r>
      <w:r>
        <w:fldChar w:fldCharType="begin"/>
      </w:r>
      <w:r>
        <w:instrText xml:space="preserve"> REF _Ref225765626 \h </w:instrText>
      </w:r>
      <w:r>
        <w:fldChar w:fldCharType="separate"/>
      </w:r>
      <w:r>
        <w:t xml:space="preserve">Exhibit </w:t>
      </w:r>
      <w:r>
        <w:rPr>
          <w:noProof/>
        </w:rPr>
        <w:t>4.7</w:t>
      </w:r>
      <w:r>
        <w:t>.</w:t>
      </w:r>
      <w:r>
        <w:rPr>
          <w:noProof/>
        </w:rPr>
        <w:t>B</w:t>
      </w:r>
      <w:r>
        <w:fldChar w:fldCharType="end"/>
      </w:r>
    </w:p>
    <w:p w14:paraId="4F4C32D6" w14:textId="30749103">
      <w:pPr>
        <w:pStyle w:val="Lista3"/>
      </w:pPr>
      <w:r>
        <w:t>if the lines of your edition are numbered using the repetitive scheme (§</w:t>
      </w:r>
      <w:r>
        <w:fldChar w:fldCharType="begin"/>
      </w:r>
      <w:r>
        <w:instrText xml:space="preserve"> REF _Ref182228380 \r \h </w:instrText>
      </w:r>
      <w:r>
        <w:fldChar w:fldCharType="separate"/>
      </w:r>
      <w:r>
        <w:t>4.5.2.2</w:t>
      </w:r>
      <w:r>
        <w:fldChar w:fldCharType="end"/>
      </w:r>
      <w:r>
        <w:t>), use A01, A02, B01, etc. on any pagelike partition where an offset incipit is present</w:t>
      </w:r>
    </w:p>
    <w:p w14:paraId="394727F0" w14:textId="2FBDC9B5">
      <w:pPr>
        <w:pStyle w:val="Lista4"/>
      </w:pPr>
      <w:r>
        <w:t xml:space="preserve">see the Case Study in </w:t>
      </w:r>
      <w:r>
        <w:fldChar w:fldCharType="begin"/>
      </w:r>
      <w:r>
        <w:instrText xml:space="preserve"> REF _Ref239844234 \r \h </w:instrText>
      </w:r>
      <w:r>
        <w:fldChar w:fldCharType="separate"/>
      </w:r>
      <w:r>
        <w:t>Appendix A.6</w:t>
      </w:r>
      <w:r>
        <w:fldChar w:fldCharType="end"/>
      </w:r>
      <w:r>
        <w:t xml:space="preserve"> for a Cambodian stele as an illustration</w:t>
      </w:r>
    </w:p>
    <w:p w14:paraId="79D4071D" w14:textId="77777777">
      <w:pPr>
        <w:pStyle w:val="Lista2"/>
      </w:pPr>
      <w:r>
        <w:t>if desired, you may opt for a different numeration scheme for incipit lines, so long as all line numbers remain unique through an edition (or textpart division)</w:t>
      </w:r>
    </w:p>
    <w:p w14:paraId="5621D713" w14:textId="25D759FD">
      <w:pPr>
        <w:pStyle w:val="Lista"/>
      </w:pPr>
      <w:r>
        <w:t xml:space="preserve">if applicable </w:t>
      </w:r>
      <w:r>
        <w:rPr>
          <w:noProof/>
        </w:rPr>
        <w:t>(</w:t>
      </w:r>
      <w:r>
        <w:t>i.e. if different from the body text), optionally encode the alignment (§</w:t>
      </w:r>
      <w:r>
        <w:fldChar w:fldCharType="begin"/>
      </w:r>
      <w:r>
        <w:instrText xml:space="preserve"> REF _Ref43987598 \r \h </w:instrText>
      </w:r>
      <w:r>
        <w:fldChar w:fldCharType="separate"/>
      </w:r>
      <w:r>
        <w:t>8.5.1</w:t>
      </w:r>
      <w:r>
        <w:fldChar w:fldCharType="end"/>
      </w:r>
      <w:r>
        <w:t xml:space="preserve">) and/or orientation </w:t>
      </w:r>
      <w:r>
        <w:rPr>
          <w:noProof/>
        </w:rPr>
        <w:t>(</w:t>
      </w:r>
      <w:r>
        <w:t>§</w:t>
      </w:r>
      <w:r>
        <w:fldChar w:fldCharType="begin"/>
      </w:r>
      <w:r>
        <w:instrText xml:space="preserve"> REF _Ref43984782 \w \h  \* MERGEFORMAT </w:instrText>
      </w:r>
      <w:r>
        <w:fldChar w:fldCharType="separate"/>
      </w:r>
      <w:r>
        <w:t>8.5.2</w:t>
      </w:r>
      <w:r>
        <w:fldChar w:fldCharType="end"/>
      </w:r>
      <w:r>
        <w:t xml:space="preserve">) of the incipit lines using attributes on the </w:t>
      </w:r>
      <w:r>
        <w:rPr>
          <w:rStyle w:val="Code"/>
        </w:rPr>
        <w:t>&lt;lb/&gt;</w:t>
      </w:r>
      <w:r>
        <w:t xml:space="preserve"> element, as in </w:t>
      </w:r>
      <w:r>
        <w:fldChar w:fldCharType="begin"/>
      </w:r>
      <w:r>
        <w:instrText xml:space="preserve"> REF _Ref225765627 \h </w:instrText>
      </w:r>
      <w:r>
        <w:fldChar w:fldCharType="separate"/>
      </w:r>
      <w:r>
        <w:t xml:space="preserve">Exhibit </w:t>
      </w:r>
      <w:r>
        <w:rPr>
          <w:noProof/>
        </w:rPr>
        <w:t>4.7</w:t>
      </w:r>
      <w:r>
        <w:t>.</w:t>
      </w:r>
      <w:r>
        <w:rPr>
          <w:noProof/>
        </w:rPr>
        <w:t>C</w:t>
      </w:r>
      <w:r>
        <w:fldChar w:fldCharType="end"/>
      </w:r>
    </w:p>
    <w:p w14:paraId="4A1FBD7D" w14:textId="14A77E79">
      <w:pPr>
        <w:pStyle w:val="Lista2"/>
      </w:pPr>
      <w:r>
        <w:lastRenderedPageBreak/>
        <w:t xml:space="preserve">all other details of presentation </w:t>
      </w:r>
      <w:r>
        <w:rPr>
          <w:noProof/>
        </w:rPr>
        <w:t>(</w:t>
      </w:r>
      <w:r>
        <w:t>e.g. line length, relative location, interference with the regular lines) shall be recorded for human readers in your annotation, but not encoded explicitly</w:t>
      </w:r>
    </w:p>
    <w:tbl>
      <w:tblPr>
        <w:tblStyle w:val="CodeSampleTable"/>
        <w:tblW w:w="5000" w:type="pct"/>
        <w:tblLook w:val="04A0" w:firstRow="1" w:lastRow="0" w:firstColumn="1" w:lastColumn="0" w:noHBand="0" w:noVBand="1"/>
      </w:tblPr>
      <w:tblGrid>
        <w:gridCol w:w="6624"/>
        <w:gridCol w:w="3004"/>
      </w:tblGrid>
      <w:tr w14:paraId="493079C9"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3EB537F5" w14:textId="6B3F3E83">
            <w:pPr>
              <w:pStyle w:val="Kpalrs"/>
            </w:pPr>
            <w:bookmarkStart w:id="310" w:name="_Ref225765626"/>
            <w:r>
              <w:t xml:space="preserve">Exhibit </w:t>
            </w:r>
            <w:fldSimple w:instr=" STYLEREF 2 \s ">
              <w:r>
                <w:rPr>
                  <w:noProof/>
                </w:rPr>
                <w:t>4.7</w:t>
              </w:r>
            </w:fldSimple>
            <w:r>
              <w:t>.</w:t>
            </w:r>
            <w:fldSimple w:instr=" SEQ Exhibit \* ALPHABETIC \s 2 ">
              <w:r>
                <w:rPr>
                  <w:noProof/>
                </w:rPr>
                <w:t>B</w:t>
              </w:r>
            </w:fldSimple>
            <w:bookmarkEnd w:id="310"/>
            <w:r>
              <w:t>: incipit of two lines inset in the top left corner</w:t>
            </w:r>
          </w:p>
        </w:tc>
      </w:tr>
      <w:tr w14:paraId="52CFA21D" w14:textId="77777777">
        <w:tc>
          <w:tcPr>
            <w:tcW w:w="3440" w:type="pct"/>
          </w:tcPr>
          <w:p w14:paraId="63BCEE4E" w14:textId="77777777">
            <w:pPr>
              <w:pStyle w:val="CodeParagraph"/>
              <w:rPr>
                <w:rStyle w:val="Codetext"/>
              </w:rPr>
            </w:pPr>
            <w:r>
              <w:rPr>
                <w:rStyle w:val="Code"/>
              </w:rPr>
              <w:t>&lt;ab&gt;</w:t>
            </w:r>
            <w:r>
              <w:rPr>
                <w:rStyle w:val="Codetext"/>
              </w:rPr>
              <w:br/>
              <w:t xml:space="preserve">  </w:t>
            </w:r>
            <w:r>
              <w:rPr>
                <w:rStyle w:val="Code"/>
              </w:rPr>
              <w:t xml:space="preserve">&lt;lb </w:t>
            </w:r>
            <w:r>
              <w:rPr>
                <w:rStyle w:val="Codeattribute"/>
              </w:rPr>
              <w:t>n</w:t>
            </w:r>
            <w:r>
              <w:rPr>
                <w:rStyle w:val="Code"/>
              </w:rPr>
              <w:t>=</w:t>
            </w:r>
            <w:r>
              <w:rPr>
                <w:rStyle w:val="Codevalue"/>
              </w:rPr>
              <w:t>"01"</w:t>
            </w:r>
            <w:r>
              <w:rPr>
                <w:rStyle w:val="Code"/>
              </w:rPr>
              <w:t>/&gt;&lt;ab&gt;</w:t>
            </w:r>
            <w:r>
              <w:rPr>
                <w:rStyle w:val="Codetext"/>
              </w:rPr>
              <w:t>dr̥ṣṭaM</w:t>
            </w:r>
            <w:r>
              <w:rPr>
                <w:rStyle w:val="Code"/>
              </w:rPr>
              <w:t>&lt;/ab&gt;</w:t>
            </w:r>
            <w:r>
              <w:rPr>
                <w:rStyle w:val="Codetext"/>
              </w:rPr>
              <w:br/>
              <w:t xml:space="preserve">  </w:t>
            </w:r>
            <w:r>
              <w:rPr>
                <w:rStyle w:val="Code"/>
              </w:rPr>
              <w:t xml:space="preserve">&lt;lb </w:t>
            </w:r>
            <w:r>
              <w:rPr>
                <w:rStyle w:val="Codeattribute"/>
              </w:rPr>
              <w:t>n</w:t>
            </w:r>
            <w:r>
              <w:rPr>
                <w:rStyle w:val="Code"/>
              </w:rPr>
              <w:t>=</w:t>
            </w:r>
            <w:r>
              <w:rPr>
                <w:rStyle w:val="Codevalue"/>
              </w:rPr>
              <w:t>"02"</w:t>
            </w:r>
            <w:r>
              <w:rPr>
                <w:rStyle w:val="Code"/>
              </w:rPr>
              <w:t>/&gt;&lt;ab&gt;</w:t>
            </w:r>
            <w:r>
              <w:rPr>
                <w:rStyle w:val="Codetext"/>
              </w:rPr>
              <w:t>siddhaM</w:t>
            </w:r>
            <w:r>
              <w:rPr>
                <w:rStyle w:val="Code"/>
              </w:rPr>
              <w:t>&lt;/ab&gt;</w:t>
            </w:r>
            <w:r>
              <w:rPr>
                <w:rStyle w:val="Codetext"/>
              </w:rPr>
              <w:br/>
            </w:r>
            <w:r>
              <w:rPr>
                <w:rStyle w:val="Code"/>
              </w:rPr>
              <w:t>&lt;/ab&gt;</w:t>
            </w:r>
            <w:r>
              <w:rPr>
                <w:rStyle w:val="Codetext"/>
              </w:rPr>
              <w:br/>
            </w: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/&gt;&lt;p&gt;</w:t>
            </w:r>
            <w:r>
              <w:rPr>
                <w:rStyle w:val="Codetext"/>
              </w:rPr>
              <w:t>agniṣṭomāpto...</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sādyaskra-catur-aśvamedha...</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/&gt;</w:t>
            </w:r>
            <w:r>
              <w:rPr>
                <w:rStyle w:val="Codetext"/>
              </w:rPr>
              <w:t>m mahārāja-śrī...</w:t>
            </w:r>
            <w:r>
              <w:rPr>
                <w:rStyle w:val="Codetext"/>
              </w:rPr>
              <w:br/>
              <w:t>...</w:t>
            </w:r>
          </w:p>
          <w:p w14:paraId="620F21D1" w14:textId="77777777">
            <w:pPr>
              <w:pStyle w:val="CodeParagraph"/>
            </w:pPr>
            <w:r>
              <w:rPr>
                <w:rStyle w:val="Code"/>
              </w:rPr>
              <w:t>&lt;/p&gt;</w:t>
            </w:r>
          </w:p>
        </w:tc>
        <w:tc>
          <w:tcPr>
            <w:tcW w:w="1560" w:type="pct"/>
            <w:vAlign w:val="bottom"/>
          </w:tcPr>
          <w:p w14:paraId="799135F3" w14:textId="77777777">
            <w:pPr>
              <w:pStyle w:val="Image"/>
            </w:pPr>
            <w:r>
              <w:drawing>
                <wp:inline distT="0" distB="0" distL="0" distR="0" wp14:anchorId="06764C86" wp14:editId="0362656F">
                  <wp:extent cx="1652905" cy="1303884"/>
                  <wp:effectExtent l="0" t="0" r="4445"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cstate="print">
                            <a:extLst>
                              <a:ext uri="{28A0092B-C50C-407E-A947-70E740481C1C}">
                                <a14:useLocalDpi xmlns:a14="http://schemas.microsoft.com/office/drawing/2010/main" val="0"/>
                              </a:ext>
                            </a:extLst>
                          </a:blip>
                          <a:srcRect/>
                          <a:stretch>
                            <a:fillRect/>
                          </a:stretch>
                        </pic:blipFill>
                        <pic:spPr>
                          <a:xfrm>
                            <a:off x="0" y="0"/>
                            <a:ext cx="1676551" cy="1322537"/>
                          </a:xfrm>
                          <a:prstGeom prst="rect">
                            <a:avLst/>
                          </a:prstGeom>
                          <a:ln/>
                        </pic:spPr>
                      </pic:pic>
                    </a:graphicData>
                  </a:graphic>
                </wp:inline>
              </w:drawing>
            </w:r>
          </w:p>
        </w:tc>
      </w:tr>
      <w:tr w14:paraId="2BE50ADC" w14:textId="77777777">
        <w:tc>
          <w:tcPr>
            <w:tcW w:w="5000" w:type="pct"/>
            <w:gridSpan w:val="2"/>
          </w:tcPr>
          <w:p w14:paraId="028B0FAD" w14:textId="77777777">
            <w:pPr>
              <w:pStyle w:val="TableNote"/>
            </w:pPr>
            <w:r>
              <w:t>the two lines of the incipit are outside the regular sequence of the lines of the principal field, so they have been encoded with special numbering</w:t>
            </w:r>
          </w:p>
        </w:tc>
      </w:tr>
    </w:tbl>
    <w:p w14:paraId="0CDE5772" w14:textId="77777777"/>
    <w:tbl>
      <w:tblPr>
        <w:tblStyle w:val="CodeSampleTable"/>
        <w:tblW w:w="5000" w:type="pct"/>
        <w:tblLook w:val="04A0" w:firstRow="1" w:lastRow="0" w:firstColumn="1" w:lastColumn="0" w:noHBand="0" w:noVBand="1"/>
      </w:tblPr>
      <w:tblGrid>
        <w:gridCol w:w="7227"/>
        <w:gridCol w:w="2401"/>
      </w:tblGrid>
      <w:tr w14:paraId="08EB859C"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48CD5966" w14:textId="2F6863C6">
            <w:pPr>
              <w:pStyle w:val="Kpalrs"/>
            </w:pPr>
            <w:bookmarkStart w:id="311" w:name="_Ref225765627"/>
            <w:r>
              <w:t xml:space="preserve">Exhibit </w:t>
            </w:r>
            <w:fldSimple w:instr=" STYLEREF 2 \s ">
              <w:r>
                <w:rPr>
                  <w:noProof/>
                </w:rPr>
                <w:t>4.7</w:t>
              </w:r>
            </w:fldSimple>
            <w:r>
              <w:t>.</w:t>
            </w:r>
            <w:fldSimple w:instr=" SEQ Exhibit \* ALPHABETIC \s 2 ">
              <w:r>
                <w:rPr>
                  <w:noProof/>
                </w:rPr>
                <w:t>C</w:t>
              </w:r>
            </w:fldSimple>
            <w:bookmarkEnd w:id="311"/>
            <w:r>
              <w:t>: incipit written vertically, with upright glyphs, in the left margin</w:t>
            </w:r>
          </w:p>
        </w:tc>
      </w:tr>
      <w:tr w14:paraId="61BDD02D" w14:textId="77777777">
        <w:tc>
          <w:tcPr>
            <w:tcW w:w="3753" w:type="pct"/>
          </w:tcPr>
          <w:p w14:paraId="4E716632" w14:textId="77777777">
            <w:pPr>
              <w:pStyle w:val="CodeParagraph"/>
            </w:pPr>
            <w:r>
              <w:rPr>
                <w:rStyle w:val="Code"/>
              </w:rPr>
              <w:t>&lt;ab&gt;</w:t>
            </w:r>
            <w:r>
              <w:rPr>
                <w:rStyle w:val="Codetext"/>
              </w:rPr>
              <w:br/>
              <w:t xml:space="preserve">  </w:t>
            </w:r>
            <w:r>
              <w:rPr>
                <w:rStyle w:val="Code"/>
              </w:rPr>
              <w:t xml:space="preserve">&lt;lb </w:t>
            </w:r>
            <w:r>
              <w:rPr>
                <w:rStyle w:val="Codeattribute"/>
              </w:rPr>
              <w:t>n</w:t>
            </w:r>
            <w:r>
              <w:rPr>
                <w:rStyle w:val="Code"/>
              </w:rPr>
              <w:t>=</w:t>
            </w:r>
            <w:r>
              <w:rPr>
                <w:rStyle w:val="Codevalue"/>
              </w:rPr>
              <w:t xml:space="preserve">"01" </w:t>
            </w:r>
            <w:r>
              <w:rPr>
                <w:rStyle w:val="Codeattribute"/>
              </w:rPr>
              <w:t>rend</w:t>
            </w:r>
            <w:r>
              <w:rPr>
                <w:rStyle w:val="Code"/>
              </w:rPr>
              <w:t>=</w:t>
            </w:r>
            <w:r>
              <w:rPr>
                <w:rStyle w:val="Codevalue"/>
              </w:rPr>
              <w:t>"tb-upright"</w:t>
            </w:r>
            <w:r>
              <w:rPr>
                <w:rStyle w:val="Code"/>
              </w:rPr>
              <w:t>/&gt;</w:t>
            </w:r>
            <w:r>
              <w:rPr>
                <w:rStyle w:val="Codetext"/>
              </w:rPr>
              <w:t>siddhaM</w:t>
            </w:r>
            <w:r>
              <w:rPr>
                <w:rStyle w:val="Codetext"/>
              </w:rPr>
              <w:br/>
            </w:r>
            <w:r>
              <w:rPr>
                <w:rStyle w:val="Code"/>
              </w:rPr>
              <w:t>&lt;/ab&gt;</w:t>
            </w:r>
            <w:r>
              <w:rPr>
                <w:rStyle w:val="Codetext"/>
              </w:rPr>
              <w:br/>
            </w:r>
            <w:r>
              <w:rPr>
                <w:rStyle w:val="Code"/>
              </w:rPr>
              <w:t xml:space="preserve">&lt;lg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"sragdharā"</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w:t>
            </w:r>
            <w:r>
              <w:rPr>
                <w:rStyle w:val="Code"/>
              </w:rPr>
              <w:t xml:space="preserve">/&gt;&lt;lb </w:t>
            </w:r>
            <w:r>
              <w:rPr>
                <w:rStyle w:val="Codeattribute"/>
              </w:rPr>
              <w:t>n</w:t>
            </w:r>
            <w:r>
              <w:rPr>
                <w:rStyle w:val="Code"/>
              </w:rPr>
              <w:t>=</w:t>
            </w:r>
            <w:r>
              <w:rPr>
                <w:rStyle w:val="Codevalue"/>
              </w:rPr>
              <w:t>"1"</w:t>
            </w:r>
            <w:r>
              <w:rPr>
                <w:rStyle w:val="Code"/>
              </w:rPr>
              <w:t>/&gt;</w:t>
            </w:r>
            <w:r>
              <w:rPr>
                <w:rStyle w:val="Codetext"/>
              </w:rPr>
              <w:t>yasyopasthāna...</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"b"</w:t>
            </w:r>
            <w:r>
              <w:rPr>
                <w:rStyle w:val="Code"/>
              </w:rPr>
              <w:t xml:space="preserve">/&gt;&lt;lb </w:t>
            </w:r>
            <w:r>
              <w:rPr>
                <w:rStyle w:val="Codeattribute"/>
              </w:rPr>
              <w:t>n</w:t>
            </w:r>
            <w:r>
              <w:rPr>
                <w:rStyle w:val="Code"/>
              </w:rPr>
              <w:t>=</w:t>
            </w:r>
            <w:r>
              <w:rPr>
                <w:rStyle w:val="Codevalue"/>
              </w:rPr>
              <w:t>"2"</w:t>
            </w:r>
            <w:r>
              <w:rPr>
                <w:rStyle w:val="Code"/>
              </w:rPr>
              <w:t>/&gt;</w:t>
            </w:r>
            <w:r>
              <w:rPr>
                <w:rStyle w:val="Codetext"/>
              </w:rPr>
              <w:t>guptānāṁ...</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"c"</w:t>
            </w:r>
            <w:r>
              <w:rPr>
                <w:rStyle w:val="Code"/>
              </w:rPr>
              <w:t xml:space="preserve">/&gt;&lt;lb </w:t>
            </w:r>
            <w:r>
              <w:rPr>
                <w:rStyle w:val="Codeattribute"/>
              </w:rPr>
              <w:t>n</w:t>
            </w:r>
            <w:r>
              <w:rPr>
                <w:rStyle w:val="Code"/>
              </w:rPr>
              <w:t>=</w:t>
            </w:r>
            <w:r>
              <w:rPr>
                <w:rStyle w:val="Codevalue"/>
              </w:rPr>
              <w:t>"3"</w:t>
            </w:r>
            <w:r>
              <w:rPr>
                <w:rStyle w:val="Code"/>
              </w:rPr>
              <w:t>/&gt;</w:t>
            </w:r>
            <w:r>
              <w:rPr>
                <w:rStyle w:val="Codetext"/>
              </w:rPr>
              <w:t>rājye...</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"d"</w:t>
            </w:r>
            <w:r>
              <w:rPr>
                <w:rStyle w:val="Code"/>
              </w:rPr>
              <w:t xml:space="preserve">/&gt;&lt;lb </w:t>
            </w:r>
            <w:r>
              <w:rPr>
                <w:rStyle w:val="Codeattribute"/>
              </w:rPr>
              <w:t>n</w:t>
            </w:r>
            <w:r>
              <w:rPr>
                <w:rStyle w:val="Code"/>
              </w:rPr>
              <w:t>=</w:t>
            </w:r>
            <w:r>
              <w:rPr>
                <w:rStyle w:val="Codevalue"/>
              </w:rPr>
              <w:t>"4"</w:t>
            </w:r>
            <w:r>
              <w:rPr>
                <w:rStyle w:val="Code"/>
              </w:rPr>
              <w:t>/&gt;</w:t>
            </w:r>
            <w:r>
              <w:rPr>
                <w:rStyle w:val="Codetext"/>
              </w:rPr>
              <w:t>varṣe...</w:t>
            </w:r>
            <w:r>
              <w:rPr>
                <w:rStyle w:val="Code"/>
              </w:rPr>
              <w:t>&lt;/l&gt;</w:t>
            </w:r>
            <w:r>
              <w:rPr>
                <w:rStyle w:val="Codetext"/>
              </w:rPr>
              <w:br/>
            </w:r>
            <w:r>
              <w:rPr>
                <w:rStyle w:val="Code"/>
              </w:rPr>
              <w:t>&lt;/lg&gt;</w:t>
            </w:r>
          </w:p>
        </w:tc>
        <w:tc>
          <w:tcPr>
            <w:tcW w:w="1247" w:type="pct"/>
            <w:vAlign w:val="bottom"/>
          </w:tcPr>
          <w:p w14:paraId="6F6A72AA" w14:textId="77777777">
            <w:pPr>
              <w:pStyle w:val="Image"/>
            </w:pPr>
            <w:r>
              <w:drawing>
                <wp:inline distT="0" distB="0" distL="0" distR="0" wp14:anchorId="70DA0200" wp14:editId="768BC06B">
                  <wp:extent cx="1254125" cy="1198832"/>
                  <wp:effectExtent l="0" t="0" r="3175" b="1905"/>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cstate="print">
                            <a:extLst>
                              <a:ext uri="{28A0092B-C50C-407E-A947-70E740481C1C}">
                                <a14:useLocalDpi xmlns:a14="http://schemas.microsoft.com/office/drawing/2010/main" val="0"/>
                              </a:ext>
                            </a:extLst>
                          </a:blip>
                          <a:srcRect/>
                          <a:stretch>
                            <a:fillRect/>
                          </a:stretch>
                        </pic:blipFill>
                        <pic:spPr>
                          <a:xfrm>
                            <a:off x="0" y="0"/>
                            <a:ext cx="1280196" cy="1223753"/>
                          </a:xfrm>
                          <a:prstGeom prst="rect">
                            <a:avLst/>
                          </a:prstGeom>
                          <a:ln/>
                        </pic:spPr>
                      </pic:pic>
                    </a:graphicData>
                  </a:graphic>
                </wp:inline>
              </w:drawing>
            </w:r>
          </w:p>
        </w:tc>
      </w:tr>
      <w:tr w14:paraId="0A419B66" w14:textId="77777777">
        <w:tc>
          <w:tcPr>
            <w:tcW w:w="5000" w:type="pct"/>
            <w:gridSpan w:val="2"/>
          </w:tcPr>
          <w:p w14:paraId="49E84841" w14:textId="77777777">
            <w:pPr>
              <w:pStyle w:val="TableNote"/>
            </w:pPr>
            <w:r>
              <w:t>the incipit is outside the regular sequence of the lines, so it has been encoded with special numbering</w:t>
            </w:r>
          </w:p>
          <w:p w14:paraId="6F28D3C1" w14:textId="77777777">
            <w:pPr>
              <w:pStyle w:val="TableNote"/>
            </w:pPr>
            <w:r>
              <w:t>in the edition, the line with the incipit is placed before the lines of the body</w:t>
            </w:r>
          </w:p>
          <w:p w14:paraId="0C5093C5" w14:textId="1E8E886A">
            <w:pPr>
              <w:pStyle w:val="TableNote"/>
            </w:pPr>
            <w:r>
              <w:t>the directionality of this line has been encoded as per §</w:t>
            </w:r>
            <w:r>
              <w:fldChar w:fldCharType="begin"/>
            </w:r>
            <w:r>
              <w:instrText xml:space="preserve"> REF _Ref43984782 \r \h </w:instrText>
            </w:r>
            <w:r>
              <w:fldChar w:fldCharType="separate"/>
            </w:r>
            <w:r>
              <w:t>8.5.2</w:t>
            </w:r>
            <w:r>
              <w:fldChar w:fldCharType="end"/>
            </w:r>
          </w:p>
        </w:tc>
      </w:tr>
    </w:tbl>
    <w:p w14:paraId="40AAAF4A" w14:textId="77777777">
      <w:pPr>
        <w:pStyle w:val="Cmsor4"/>
      </w:pPr>
      <w:bookmarkStart w:id="312" w:name="_tg7yz01k2pc5" w:colFirst="0" w:colLast="0"/>
      <w:bookmarkStart w:id="313" w:name="_Ref43984537"/>
      <w:bookmarkStart w:id="314" w:name="_Ref182233273"/>
      <w:bookmarkEnd w:id="312"/>
      <w:r>
        <w:t xml:space="preserve">Spatially offset closing lines </w:t>
      </w:r>
      <w:r>
        <w:rPr>
          <w:noProof/>
        </w:rPr>
        <w:t>(</w:t>
      </w:r>
      <w:r>
        <w:t>colophons)</w:t>
      </w:r>
      <w:bookmarkEnd w:id="313"/>
      <w:bookmarkEnd w:id="314"/>
    </w:p>
    <w:p w14:paraId="6F13873E" w14:textId="62C16131">
      <w:pPr>
        <w:pStyle w:val="Lista"/>
      </w:pPr>
      <w:r>
        <w:t xml:space="preserve">colophons are usually semantically separate from the principal inscription, and will therefore be normally enclosed in one or more separate </w:t>
      </w:r>
      <w:r>
        <w:rPr>
          <w:rStyle w:val="Code"/>
        </w:rPr>
        <w:t>&lt;ab&gt;</w:t>
      </w:r>
      <w:r>
        <w:t xml:space="preserve">, </w:t>
      </w:r>
      <w:r>
        <w:rPr>
          <w:rStyle w:val="Code"/>
        </w:rPr>
        <w:t>&lt;p&gt;</w:t>
      </w:r>
      <w:r>
        <w:t xml:space="preserve"> or </w:t>
      </w:r>
      <w:r>
        <w:rPr>
          <w:rStyle w:val="Code"/>
        </w:rPr>
        <w:t>&lt;lg&gt;</w:t>
      </w:r>
      <w:r>
        <w:t xml:space="preserve"> element as applicable </w:t>
      </w:r>
      <w:r>
        <w:rPr>
          <w:noProof/>
        </w:rPr>
        <w:t>(</w:t>
      </w:r>
      <w:r>
        <w:t>§</w:t>
      </w:r>
      <w:r>
        <w:fldChar w:fldCharType="begin"/>
      </w:r>
      <w:r>
        <w:instrText xml:space="preserve"> REF _Ref43978632 \w \h  \* MERGEFORMAT </w:instrText>
      </w:r>
      <w:r>
        <w:fldChar w:fldCharType="separate"/>
      </w:r>
      <w:r>
        <w:t>3</w:t>
      </w:r>
      <w:r>
        <w:fldChar w:fldCharType="end"/>
      </w:r>
      <w:r>
        <w:t>)</w:t>
      </w:r>
    </w:p>
    <w:p w14:paraId="5B383BCD" w14:textId="77777777">
      <w:pPr>
        <w:pStyle w:val="Lista"/>
      </w:pPr>
      <w:r>
        <w:t>colophons in our texts often begin midline, contiguously with the end of the preceding text</w:t>
      </w:r>
    </w:p>
    <w:p w14:paraId="175AFF11" w14:textId="77777777">
      <w:pPr>
        <w:pStyle w:val="Lista"/>
      </w:pPr>
      <w:r>
        <w:t>even when a colophon occupies a line or lines on its own, such lines shall usually not be distinguished in the encoding from regular lines</w:t>
      </w:r>
    </w:p>
    <w:p w14:paraId="18F7EF9E" w14:textId="77777777">
      <w:pPr>
        <w:pStyle w:val="Lista2"/>
      </w:pPr>
      <w:r>
        <w:t>passages interpreted as colophons but physically integrated with the partition and line structure of the main field shall not be marked up in any special manner</w:t>
      </w:r>
    </w:p>
    <w:p w14:paraId="7AB03BF7" w14:textId="77777777">
      <w:pPr>
        <w:pStyle w:val="Lista3"/>
      </w:pPr>
      <w:r>
        <w:t>number their lines consecutively after the last regular line</w:t>
      </w:r>
    </w:p>
    <w:p w14:paraId="55F95C14" w14:textId="554799DA">
      <w:pPr>
        <w:pStyle w:val="Lista2"/>
      </w:pPr>
      <w:r>
        <w:t xml:space="preserve">when one or a few last lines are aligned or oriented differently than the lines of the main field, as in </w:t>
      </w:r>
      <w:r>
        <w:fldChar w:fldCharType="begin"/>
      </w:r>
      <w:r>
        <w:instrText xml:space="preserve"> REF _Ref182232568 \h </w:instrText>
      </w:r>
      <w:r>
        <w:fldChar w:fldCharType="separate"/>
      </w:r>
      <w:r>
        <w:t xml:space="preserve">Exhibit </w:t>
      </w:r>
      <w:r>
        <w:rPr>
          <w:noProof/>
        </w:rPr>
        <w:t>4.7</w:t>
      </w:r>
      <w:r>
        <w:t>.</w:t>
      </w:r>
      <w:r>
        <w:rPr>
          <w:noProof/>
        </w:rPr>
        <w:t>D</w:t>
      </w:r>
      <w:r>
        <w:fldChar w:fldCharType="end"/>
      </w:r>
    </w:p>
    <w:p w14:paraId="5A4E5417" w14:textId="14DB2D85">
      <w:pPr>
        <w:pStyle w:val="Lista3"/>
      </w:pPr>
      <w:r>
        <w:t>then regardless of whether these lines comprise a colophon, these visual layout features can be optionally encoded as per §</w:t>
      </w:r>
      <w:r>
        <w:fldChar w:fldCharType="begin"/>
      </w:r>
      <w:r>
        <w:instrText xml:space="preserve"> REF _Ref43987598 \r \h </w:instrText>
      </w:r>
      <w:r>
        <w:fldChar w:fldCharType="separate"/>
      </w:r>
      <w:r>
        <w:t>8.5.1</w:t>
      </w:r>
      <w:r>
        <w:fldChar w:fldCharType="end"/>
      </w:r>
      <w:r>
        <w:t xml:space="preserve"> and §</w:t>
      </w:r>
      <w:r>
        <w:fldChar w:fldCharType="begin"/>
      </w:r>
      <w:r>
        <w:instrText xml:space="preserve"> REF _Ref43984782 \w \h  \* MERGEFORMAT </w:instrText>
      </w:r>
      <w:r>
        <w:fldChar w:fldCharType="separate"/>
      </w:r>
      <w:r>
        <w:t>8.5.2</w:t>
      </w:r>
      <w:r>
        <w:fldChar w:fldCharType="end"/>
      </w:r>
    </w:p>
    <w:p w14:paraId="09FCD49E" w14:textId="2A1D3AD2">
      <w:pPr>
        <w:pStyle w:val="Lista"/>
      </w:pPr>
      <w:r>
        <w:t xml:space="preserve">however, when a smaller piece of text that is deemed to belong rather to the end than to the beginning of the text (i.e. to be an explicit rather than an incipit) is inset into the principal campus at a corner, edge, or floating inside (as in </w:t>
      </w:r>
      <w:r>
        <w:fldChar w:fldCharType="begin"/>
      </w:r>
      <w:r>
        <w:instrText xml:space="preserve"> REF _Ref225765628 \h </w:instrText>
      </w:r>
      <w:r>
        <w:fldChar w:fldCharType="separate"/>
      </w:r>
      <w:r>
        <w:t xml:space="preserve">Exhibit </w:t>
      </w:r>
      <w:r>
        <w:rPr>
          <w:noProof/>
        </w:rPr>
        <w:t>4.7</w:t>
      </w:r>
      <w:r>
        <w:t>.</w:t>
      </w:r>
      <w:r>
        <w:rPr>
          <w:noProof/>
        </w:rPr>
        <w:t>E</w:t>
      </w:r>
      <w:r>
        <w:fldChar w:fldCharType="end"/>
      </w:r>
      <w:r>
        <w:t>), this may be represented by a different numeration scheme, which by DHARMA convention indicates a visually offset explicit</w:t>
      </w:r>
    </w:p>
    <w:p w14:paraId="43757835" w14:textId="77777777">
      <w:pPr>
        <w:pStyle w:val="Lista2"/>
      </w:pPr>
      <w:r>
        <w:t>the recommended numeration scheme is to add a leading 0 (zero) to the numbers of offset lines</w:t>
      </w:r>
    </w:p>
    <w:p w14:paraId="0C9155AF" w14:textId="01CBA8A6">
      <w:pPr>
        <w:pStyle w:val="Lista3"/>
      </w:pPr>
      <w:r>
        <w:t xml:space="preserve">for simple line numbers, use 01, 02, etc. for visually offset explicit lines, as in </w:t>
      </w:r>
      <w:r>
        <w:fldChar w:fldCharType="begin"/>
      </w:r>
      <w:r>
        <w:instrText xml:space="preserve"> REF _Ref225765626 \h </w:instrText>
      </w:r>
      <w:r>
        <w:fldChar w:fldCharType="separate"/>
      </w:r>
      <w:r>
        <w:t xml:space="preserve">Exhibit </w:t>
      </w:r>
      <w:r>
        <w:rPr>
          <w:noProof/>
        </w:rPr>
        <w:t>4.7</w:t>
      </w:r>
      <w:r>
        <w:t>.</w:t>
      </w:r>
      <w:r>
        <w:rPr>
          <w:noProof/>
        </w:rPr>
        <w:t>B</w:t>
      </w:r>
      <w:r>
        <w:fldChar w:fldCharType="end"/>
      </w:r>
    </w:p>
    <w:p w14:paraId="3E90D88A" w14:textId="262AC980">
      <w:pPr>
        <w:pStyle w:val="Lista3"/>
      </w:pPr>
      <w:r>
        <w:t>if the lines of your edition are numbered using the repetitive scheme (§</w:t>
      </w:r>
      <w:r>
        <w:fldChar w:fldCharType="begin"/>
      </w:r>
      <w:r>
        <w:instrText xml:space="preserve"> REF _Ref182228380 \r \h </w:instrText>
      </w:r>
      <w:r>
        <w:fldChar w:fldCharType="separate"/>
      </w:r>
      <w:r>
        <w:t>4.5.2.2</w:t>
      </w:r>
      <w:r>
        <w:fldChar w:fldCharType="end"/>
      </w:r>
      <w:r>
        <w:t>), use A01, A02, B01, etc. on any pagelike partition where an offset explicit is present</w:t>
      </w:r>
    </w:p>
    <w:p w14:paraId="55D0084A" w14:textId="77777777">
      <w:pPr>
        <w:pStyle w:val="Lista2"/>
      </w:pPr>
      <w:r>
        <w:t>if desired, you may opt for a different numeration scheme for explicit lines, so long as all line numbers remain unique through an edition (or textpart division)</w:t>
      </w:r>
    </w:p>
    <w:p w14:paraId="28DAD6C7" w14:textId="77777777">
      <w:pPr>
        <w:pStyle w:val="Lista"/>
      </w:pPr>
      <w:r>
        <w:t xml:space="preserve">all other details of presentation </w:t>
      </w:r>
      <w:r>
        <w:rPr>
          <w:noProof/>
        </w:rPr>
        <w:t>(</w:t>
      </w:r>
      <w:r>
        <w:t>e.g. line length, relative location, interference with the regular lines) shall be recorded for human readers in your annotation, but not encoded expressly</w:t>
      </w:r>
    </w:p>
    <w:tbl>
      <w:tblPr>
        <w:tblStyle w:val="CodeSampleTable"/>
        <w:tblW w:w="5000" w:type="pct"/>
        <w:tblLook w:val="04A0" w:firstRow="1" w:lastRow="0" w:firstColumn="1" w:lastColumn="0" w:noHBand="0" w:noVBand="1"/>
      </w:tblPr>
      <w:tblGrid>
        <w:gridCol w:w="4814"/>
        <w:gridCol w:w="4814"/>
      </w:tblGrid>
      <w:tr w14:paraId="178989F9"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6E6E463D" w14:textId="438F1DB8">
            <w:pPr>
              <w:pStyle w:val="Kpalrs"/>
              <w:keepLines/>
            </w:pPr>
            <w:bookmarkStart w:id="315" w:name="_Ref182232568"/>
            <w:r>
              <w:lastRenderedPageBreak/>
              <w:t xml:space="preserve">Exhibit </w:t>
            </w:r>
            <w:fldSimple w:instr=" STYLEREF 2 \s ">
              <w:r>
                <w:rPr>
                  <w:noProof/>
                </w:rPr>
                <w:t>4.7</w:t>
              </w:r>
            </w:fldSimple>
            <w:r>
              <w:t>.</w:t>
            </w:r>
            <w:fldSimple w:instr=" SEQ Exhibit \* ALPHABETIC \s 2 ">
              <w:r>
                <w:rPr>
                  <w:noProof/>
                </w:rPr>
                <w:t>D</w:t>
              </w:r>
            </w:fldSimple>
            <w:bookmarkEnd w:id="315"/>
            <w:r>
              <w:t>: last line inscribed vertically in the right margin</w:t>
            </w:r>
          </w:p>
        </w:tc>
      </w:tr>
      <w:tr w14:paraId="275E62CB" w14:textId="77777777">
        <w:tc>
          <w:tcPr>
            <w:tcW w:w="2500" w:type="pct"/>
          </w:tcPr>
          <w:p w14:paraId="127EDA05" w14:textId="77777777">
            <w:pPr>
              <w:pStyle w:val="CodeParagraph"/>
              <w:rPr>
                <w:rStyle w:val="Codetext"/>
              </w:rPr>
            </w:pP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/&gt;there lived a hobbit. Not</w:t>
            </w:r>
          </w:p>
          <w:p w14:paraId="277EAD03" w14:textId="77777777">
            <w:pPr>
              <w:pStyle w:val="CodeParagraph"/>
              <w:rPr>
                <w:rStyle w:val="Codetext"/>
              </w:rPr>
            </w:pPr>
            <w:r>
              <w:rPr>
                <w:rStyle w:val="Codetext"/>
              </w:rP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a nasty, dirty, wet hole,</w:t>
            </w:r>
          </w:p>
          <w:p w14:paraId="41C01299" w14:textId="77777777">
            <w:pPr>
              <w:pStyle w:val="CodeParagraph"/>
              <w:rPr>
                <w:rStyle w:val="Codetext"/>
              </w:rPr>
            </w:pPr>
            <w:r>
              <w:rPr>
                <w:rStyle w:val="Codetext"/>
              </w:rP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filled with the ends of</w:t>
            </w:r>
          </w:p>
          <w:p w14:paraId="00964E81" w14:textId="77777777">
            <w:pPr>
              <w:pStyle w:val="CodeParagraph"/>
              <w:rPr>
                <w:rStyle w:val="Codetext"/>
              </w:rPr>
            </w:pPr>
            <w:r>
              <w:rPr>
                <w:rStyle w:val="Codetext"/>
              </w:rP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worms and an oozy</w:t>
            </w:r>
          </w:p>
          <w:p w14:paraId="214E52F4" w14:textId="77777777">
            <w:pPr>
              <w:pStyle w:val="CodeParagraph"/>
              <w:rPr>
                <w:rStyle w:val="Codetext"/>
              </w:rPr>
            </w:pPr>
            <w:r>
              <w:rPr>
                <w:rStyle w:val="Codetext"/>
              </w:rP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smell, nor yet a dry, bare,</w:t>
            </w:r>
          </w:p>
          <w:p w14:paraId="54D114EF" w14:textId="77777777">
            <w:pPr>
              <w:pStyle w:val="CodeParagraph"/>
              <w:rPr>
                <w:rStyle w:val="Codetext"/>
              </w:rPr>
            </w:pPr>
            <w:r>
              <w:rPr>
                <w:rStyle w:val="Codetext"/>
              </w:rP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sandy hole with nothing</w:t>
            </w:r>
          </w:p>
          <w:p w14:paraId="741D064D" w14:textId="77777777">
            <w:pPr>
              <w:pStyle w:val="CodeParagraph"/>
            </w:pPr>
            <w:r>
              <w:rPr>
                <w:rStyle w:val="Codetext"/>
              </w:rPr>
              <w:t xml:space="preserve">  </w:t>
            </w:r>
            <w:r>
              <w:rPr>
                <w:rStyle w:val="Code"/>
              </w:rPr>
              <w:t xml:space="preserve">&lt;lb </w:t>
            </w:r>
            <w:r>
              <w:rPr>
                <w:rStyle w:val="Codeattribute"/>
              </w:rPr>
              <w:t>n</w:t>
            </w:r>
            <w:r>
              <w:rPr>
                <w:rStyle w:val="Code"/>
              </w:rPr>
              <w:t>=</w:t>
            </w:r>
            <w:r>
              <w:rPr>
                <w:rStyle w:val="Codevalue"/>
              </w:rPr>
              <w:t>"8"</w:t>
            </w:r>
            <w:r>
              <w:rPr>
                <w:rStyle w:val="Code"/>
              </w:rPr>
              <w:t>/&gt;</w:t>
            </w:r>
            <w:r>
              <w:rPr>
                <w:rStyle w:val="Codetext"/>
              </w:rPr>
              <w:t>in it to sit down on or to</w:t>
            </w:r>
            <w:r>
              <w:rPr>
                <w:rStyle w:val="Codetext"/>
              </w:rPr>
              <w:br/>
              <w:t xml:space="preserve">  </w:t>
            </w:r>
            <w:r>
              <w:rPr>
                <w:rStyle w:val="Code"/>
              </w:rPr>
              <w:t xml:space="preserve">&lt;lb </w:t>
            </w:r>
            <w:r>
              <w:rPr>
                <w:rStyle w:val="Codeattribute"/>
              </w:rPr>
              <w:t>n</w:t>
            </w:r>
            <w:r>
              <w:rPr>
                <w:rStyle w:val="Code"/>
              </w:rPr>
              <w:t>=</w:t>
            </w:r>
            <w:r>
              <w:rPr>
                <w:rStyle w:val="Codevalue"/>
              </w:rPr>
              <w:t>"9"</w:t>
            </w:r>
            <w:r>
              <w:rPr>
                <w:rStyle w:val="Code"/>
              </w:rPr>
              <w:t>/&gt;</w:t>
            </w:r>
            <w:r>
              <w:rPr>
                <w:rStyle w:val="Codetext"/>
              </w:rPr>
              <w:t>eat: it was a hobbit-hole</w:t>
            </w:r>
            <w:r>
              <w:rPr>
                <w:rStyle w:val="Codetext"/>
              </w:rPr>
              <w:br/>
              <w:t xml:space="preserve">  </w:t>
            </w:r>
            <w:r>
              <w:rPr>
                <w:rStyle w:val="Code"/>
              </w:rPr>
              <w:t xml:space="preserve">&lt;lb </w:t>
            </w:r>
            <w:r>
              <w:rPr>
                <w:rStyle w:val="Codeattribute"/>
              </w:rPr>
              <w:t>n</w:t>
            </w:r>
            <w:r>
              <w:rPr>
                <w:rStyle w:val="Code"/>
              </w:rPr>
              <w:t>=</w:t>
            </w:r>
            <w:r>
              <w:rPr>
                <w:rStyle w:val="Codevalue"/>
              </w:rPr>
              <w:t>"10"</w:t>
            </w:r>
            <w:r>
              <w:rPr>
                <w:rStyle w:val="Code"/>
              </w:rPr>
              <w:t xml:space="preserve"> </w:t>
            </w:r>
            <w:r>
              <w:rPr>
                <w:rStyle w:val="Codeattribute"/>
              </w:rPr>
              <w:t>rend</w:t>
            </w:r>
            <w:r>
              <w:rPr>
                <w:rStyle w:val="Code"/>
              </w:rPr>
              <w:t>=</w:t>
            </w:r>
            <w:r>
              <w:rPr>
                <w:rStyle w:val="Codevalue"/>
              </w:rPr>
              <w:t>"bt-rotated"</w:t>
            </w:r>
            <w:r>
              <w:rPr>
                <w:rStyle w:val="Code"/>
              </w:rPr>
              <w:t>/&gt;</w:t>
            </w:r>
            <w:r>
              <w:rPr>
                <w:rStyle w:val="Codetext"/>
              </w:rPr>
              <w:t>and that means comfort.</w:t>
            </w:r>
            <w:r>
              <w:rPr>
                <w:rStyle w:val="Codetext"/>
              </w:rPr>
              <w:br/>
            </w:r>
            <w:r>
              <w:rPr>
                <w:rStyle w:val="Code"/>
              </w:rPr>
              <w:t>&lt;/p&gt;</w:t>
            </w:r>
          </w:p>
        </w:tc>
        <w:tc>
          <w:tcPr>
            <w:tcW w:w="2500" w:type="pct"/>
            <w:vAlign w:val="bottom"/>
          </w:tcPr>
          <w:p w14:paraId="1887A8AB" w14:textId="77777777">
            <w:pPr>
              <w:pStyle w:val="Image"/>
            </w:pPr>
            <w:r>
              <w:drawing>
                <wp:inline distT="0" distB="0" distL="0" distR="0" wp14:anchorId="6A61C3FA" wp14:editId="43A83872">
                  <wp:extent cx="2879725" cy="2381250"/>
                  <wp:effectExtent l="0" t="0" r="0" b="0"/>
                  <wp:docPr id="1563944009"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79725" cy="2381250"/>
                          </a:xfrm>
                          <a:prstGeom prst="rect">
                            <a:avLst/>
                          </a:prstGeom>
                          <a:noFill/>
                          <a:ln>
                            <a:noFill/>
                          </a:ln>
                        </pic:spPr>
                      </pic:pic>
                    </a:graphicData>
                  </a:graphic>
                </wp:inline>
              </w:drawing>
            </w:r>
          </w:p>
        </w:tc>
      </w:tr>
      <w:tr w14:paraId="4F2B48E7" w14:textId="77777777">
        <w:tc>
          <w:tcPr>
            <w:tcW w:w="5000" w:type="pct"/>
            <w:gridSpan w:val="2"/>
          </w:tcPr>
          <w:p w14:paraId="6B00C1D6" w14:textId="77777777">
            <w:pPr>
              <w:pStyle w:val="TableNote"/>
            </w:pPr>
            <w:r>
              <w:t>the last line was presumably written in the margin because the engraver had run out of space</w:t>
            </w:r>
          </w:p>
          <w:p w14:paraId="17192282" w14:textId="77777777">
            <w:pPr>
              <w:pStyle w:val="TableNote"/>
            </w:pPr>
            <w:r>
              <w:t>no encoding indicates this quirk of layout</w:t>
            </w:r>
          </w:p>
          <w:p w14:paraId="3A4DA121" w14:textId="3640D575">
            <w:pPr>
              <w:pStyle w:val="TableNote"/>
            </w:pPr>
            <w:r>
              <w:t>but the directionality of the last line is encoded as per §</w:t>
            </w:r>
            <w:r>
              <w:fldChar w:fldCharType="begin"/>
            </w:r>
            <w:r>
              <w:instrText xml:space="preserve"> REF _Ref43984782 \w \h  \* MERGEFORMAT </w:instrText>
            </w:r>
            <w:r>
              <w:fldChar w:fldCharType="separate"/>
            </w:r>
            <w:r>
              <w:t>8.5.2</w:t>
            </w:r>
            <w:r>
              <w:fldChar w:fldCharType="end"/>
            </w:r>
          </w:p>
        </w:tc>
      </w:tr>
    </w:tbl>
    <w:p w14:paraId="4A989E8F" w14:textId="77777777"/>
    <w:tbl>
      <w:tblPr>
        <w:tblStyle w:val="CodeSampleTable"/>
        <w:tblW w:w="5000" w:type="pct"/>
        <w:tblLook w:val="04A0" w:firstRow="1" w:lastRow="0" w:firstColumn="1" w:lastColumn="0" w:noHBand="0" w:noVBand="1"/>
      </w:tblPr>
      <w:tblGrid>
        <w:gridCol w:w="9628"/>
      </w:tblGrid>
      <w:tr w14:paraId="2CF397F2"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C07A937" w14:textId="3659F040">
            <w:pPr>
              <w:pStyle w:val="Kpalrs"/>
            </w:pPr>
            <w:bookmarkStart w:id="316" w:name="_Ref225765628"/>
            <w:r>
              <w:t xml:space="preserve">Exhibit </w:t>
            </w:r>
            <w:fldSimple w:instr=" STYLEREF 2 \s ">
              <w:r>
                <w:rPr>
                  <w:noProof/>
                </w:rPr>
                <w:t>4.7</w:t>
              </w:r>
            </w:fldSimple>
            <w:r>
              <w:t>.</w:t>
            </w:r>
            <w:fldSimple w:instr=" SEQ Exhibit \* ALPHABETIC \s 2 ">
              <w:r>
                <w:rPr>
                  <w:noProof/>
                </w:rPr>
                <w:t>E</w:t>
              </w:r>
            </w:fldSimple>
            <w:bookmarkEnd w:id="316"/>
            <w:r>
              <w:t>: explicit floating within the principal inscribed field</w:t>
            </w:r>
          </w:p>
        </w:tc>
      </w:tr>
      <w:tr w14:paraId="0E68542E" w14:textId="77777777">
        <w:tc>
          <w:tcPr>
            <w:tcW w:w="5000" w:type="pct"/>
          </w:tcPr>
          <w:p w14:paraId="1818E726" w14:textId="77777777">
            <w:pPr>
              <w:pStyle w:val="Image"/>
            </w:pPr>
            <w:r>
              <w:drawing>
                <wp:inline distT="0" distB="0" distL="0" distR="0" wp14:anchorId="278A3319" wp14:editId="7BD71D12">
                  <wp:extent cx="6120765" cy="1167130"/>
                  <wp:effectExtent l="0" t="0" r="0" b="0"/>
                  <wp:docPr id="7"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0765" cy="1167130"/>
                          </a:xfrm>
                          <a:prstGeom prst="rect">
                            <a:avLst/>
                          </a:prstGeom>
                          <a:noFill/>
                          <a:ln>
                            <a:noFill/>
                          </a:ln>
                        </pic:spPr>
                      </pic:pic>
                    </a:graphicData>
                  </a:graphic>
                </wp:inline>
              </w:drawing>
            </w:r>
          </w:p>
        </w:tc>
      </w:tr>
      <w:tr w14:paraId="2C90CA42" w14:textId="77777777">
        <w:tc>
          <w:tcPr>
            <w:tcW w:w="5000" w:type="pct"/>
          </w:tcPr>
          <w:p w14:paraId="5372251A" w14:textId="77777777">
            <w:pPr>
              <w:pStyle w:val="CodeParagraph"/>
              <w:rPr>
                <w:rStyle w:val="Code"/>
              </w:rPr>
            </w:pPr>
            <w:r>
              <w:rPr>
                <w:rStyle w:val="Code"/>
              </w:rPr>
              <w:t>&lt;p&gt;</w:t>
            </w:r>
          </w:p>
          <w:p w14:paraId="5D063FB8" w14:textId="77777777">
            <w:pPr>
              <w:pStyle w:val="CodeParagraph"/>
              <w:rPr>
                <w:rStyle w:val="Code"/>
              </w:rPr>
            </w:pPr>
            <w:r>
              <w:rPr>
                <w:rStyle w:val="Code"/>
              </w:rPr>
              <w:t xml:space="preserve">  ...</w:t>
            </w:r>
          </w:p>
          <w:p w14:paraId="53C7578D" w14:textId="77777777">
            <w:pPr>
              <w:pStyle w:val="CodeParagraph"/>
              <w:rPr>
                <w:rStyle w:val="Code"/>
              </w:rPr>
            </w:pPr>
            <w:r>
              <w:rPr>
                <w:rStyle w:val="Code"/>
              </w:rPr>
              <w:t xml:space="preserve">  &lt;lb </w:t>
            </w:r>
            <w:r>
              <w:rPr>
                <w:rStyle w:val="Codeattribute"/>
              </w:rPr>
              <w:t>n=</w:t>
            </w:r>
            <w:r>
              <w:rPr>
                <w:rStyle w:val="Codevalue"/>
              </w:rPr>
              <w:t>"60"</w:t>
            </w:r>
            <w:r>
              <w:rPr>
                <w:rStyle w:val="Code"/>
              </w:rPr>
              <w:t xml:space="preserve"> </w:t>
            </w:r>
            <w:r>
              <w:rPr>
                <w:rStyle w:val="Codeattribute"/>
              </w:rPr>
              <w:t>break=</w:t>
            </w:r>
            <w:r>
              <w:rPr>
                <w:rStyle w:val="Codevalue"/>
              </w:rPr>
              <w:t>"no"</w:t>
            </w:r>
            <w:r>
              <w:rPr>
                <w:rStyle w:val="Code"/>
              </w:rPr>
              <w:t>/&gt;āṉat=tuk=ku=M&lt;/p&gt;</w:t>
            </w:r>
          </w:p>
          <w:p w14:paraId="217690AB" w14:textId="77777777">
            <w:pPr>
              <w:pStyle w:val="CodeParagraph"/>
              <w:rPr>
                <w:rStyle w:val="Code"/>
              </w:rPr>
            </w:pPr>
            <w:r>
              <w:rPr>
                <w:rStyle w:val="Code"/>
              </w:rPr>
              <w:t>&lt;p&gt;civayōka-ṉāyaki A</w:t>
            </w:r>
          </w:p>
          <w:p w14:paraId="5C98BECB" w14:textId="77777777">
            <w:pPr>
              <w:pStyle w:val="CodeParagraph"/>
              <w:rPr>
                <w:rStyle w:val="Code"/>
              </w:rPr>
            </w:pPr>
            <w:r>
              <w:rPr>
                <w:rStyle w:val="Code"/>
              </w:rPr>
              <w:t xml:space="preserve">  &lt;lb </w:t>
            </w:r>
            <w:r>
              <w:rPr>
                <w:rStyle w:val="Codeattribute"/>
              </w:rPr>
              <w:t>n=</w:t>
            </w:r>
            <w:r>
              <w:rPr>
                <w:rStyle w:val="Codevalue"/>
              </w:rPr>
              <w:t>"61"</w:t>
            </w:r>
            <w:r>
              <w:rPr>
                <w:rStyle w:val="Code"/>
              </w:rPr>
              <w:t xml:space="preserve"> </w:t>
            </w:r>
            <w:r>
              <w:rPr>
                <w:rStyle w:val="Codeattribute"/>
              </w:rPr>
              <w:t>break=</w:t>
            </w:r>
            <w:r>
              <w:rPr>
                <w:rStyle w:val="Code"/>
              </w:rPr>
              <w:t>"</w:t>
            </w:r>
            <w:r>
              <w:rPr>
                <w:rStyle w:val="Codevalue"/>
              </w:rPr>
              <w:t>no"</w:t>
            </w:r>
            <w:r>
              <w:rPr>
                <w:rStyle w:val="Code"/>
              </w:rPr>
              <w:t>/&gt;mmaṉuk=ku=M Aṭap=pa-varicai Āparaṇat=tu=k=ku=M</w:t>
            </w:r>
          </w:p>
          <w:p w14:paraId="6ADC674E" w14:textId="77777777">
            <w:pPr>
              <w:pStyle w:val="CodeParagraph"/>
              <w:rPr>
                <w:rStyle w:val="Code"/>
              </w:rPr>
            </w:pPr>
            <w:r>
              <w:rPr>
                <w:rStyle w:val="Code"/>
              </w:rPr>
              <w:t xml:space="preserve">  ...</w:t>
            </w:r>
          </w:p>
          <w:p w14:paraId="24741B51" w14:textId="77777777">
            <w:pPr>
              <w:pStyle w:val="CodeParagraph"/>
              <w:rPr>
                <w:rStyle w:val="Code"/>
              </w:rPr>
            </w:pPr>
            <w:r>
              <w:rPr>
                <w:rStyle w:val="Code"/>
              </w:rPr>
              <w:t>&lt;/p&gt;</w:t>
            </w:r>
          </w:p>
          <w:p w14:paraId="1548AF32" w14:textId="77777777">
            <w:pPr>
              <w:pStyle w:val="CodeParagraph"/>
              <w:rPr>
                <w:rStyle w:val="Code"/>
              </w:rPr>
            </w:pPr>
            <w:r>
              <w:rPr>
                <w:rStyle w:val="Code"/>
              </w:rPr>
              <w:t>&lt;ab&gt;</w:t>
            </w:r>
          </w:p>
          <w:p w14:paraId="2075D08E" w14:textId="77777777">
            <w:pPr>
              <w:pStyle w:val="CodeParagraph"/>
              <w:rPr>
                <w:rStyle w:val="Code"/>
              </w:rPr>
            </w:pPr>
            <w:r>
              <w:rPr>
                <w:rStyle w:val="Code"/>
              </w:rPr>
              <w:t xml:space="preserve">  &lt;lb </w:t>
            </w:r>
            <w:r>
              <w:rPr>
                <w:rStyle w:val="Codeattribute"/>
              </w:rPr>
              <w:t>n=</w:t>
            </w:r>
            <w:r>
              <w:rPr>
                <w:rStyle w:val="Codevalue"/>
              </w:rPr>
              <w:t>"01"</w:t>
            </w:r>
            <w:r>
              <w:rPr>
                <w:rStyle w:val="Code"/>
              </w:rPr>
              <w:t xml:space="preserve">/&gt;&lt;seg </w:t>
            </w:r>
            <w:r>
              <w:rPr>
                <w:rStyle w:val="Codeattribute"/>
              </w:rPr>
              <w:t>rendition</w:t>
            </w:r>
            <w:r>
              <w:rPr>
                <w:rStyle w:val="Codetext"/>
              </w:rPr>
              <w:t>=</w:t>
            </w:r>
            <w:r>
              <w:rPr>
                <w:rStyle w:val="Codevalue"/>
              </w:rPr>
              <w:t>"class:36768 maturity:83213"</w:t>
            </w:r>
            <w:r>
              <w:rPr>
                <w:rStyle w:val="Code"/>
              </w:rPr>
              <w:t>&gt;śrī-śaṁkaran·&lt;/seg&gt; tuṇai</w:t>
            </w:r>
          </w:p>
          <w:p w14:paraId="62CEA4AF" w14:textId="77777777">
            <w:pPr>
              <w:pStyle w:val="CodeParagraph"/>
              <w:rPr>
                <w:rStyle w:val="Code"/>
              </w:rPr>
            </w:pPr>
            <w:r>
              <w:rPr>
                <w:rStyle w:val="Code"/>
              </w:rPr>
              <w:t>&lt;/ab&gt;</w:t>
            </w:r>
          </w:p>
        </w:tc>
      </w:tr>
      <w:tr w14:paraId="2BF0B859" w14:textId="77777777">
        <w:tc>
          <w:tcPr>
            <w:tcW w:w="5000" w:type="pct"/>
          </w:tcPr>
          <w:p w14:paraId="49AC030B" w14:textId="77777777">
            <w:pPr>
              <w:pStyle w:val="TableNote"/>
            </w:pPr>
            <w:r>
              <w:t>the text in the frame is a blessing that is not connected to the adjacent text</w:t>
            </w:r>
          </w:p>
          <w:p w14:paraId="66FD9842" w14:textId="77777777">
            <w:pPr>
              <w:pStyle w:val="TableNote"/>
            </w:pPr>
            <w:r>
              <w:t>the frame is located in the lower third of the verso of a copper plate</w:t>
            </w:r>
          </w:p>
          <w:p w14:paraId="29C6FEF5" w14:textId="77777777">
            <w:pPr>
              <w:pStyle w:val="TableNote"/>
            </w:pPr>
            <w:r>
              <w:t>the contents of the frame have been represented as a specially numbered explicit</w:t>
            </w:r>
          </w:p>
          <w:p w14:paraId="522FD4D2" w14:textId="77777777">
            <w:pPr>
              <w:pStyle w:val="TableNote"/>
            </w:pPr>
            <w:r>
              <w:t>in the edition, it is placed in logical sequence after the lines of the body</w:t>
            </w:r>
          </w:p>
          <w:p w14:paraId="100451A3" w14:textId="77777777">
            <w:pPr>
              <w:pStyle w:val="TableNote"/>
            </w:pPr>
            <w:r>
              <w:t>at the physical location of the inset, only the regular body lines are represented in the edition</w:t>
            </w:r>
          </w:p>
          <w:p w14:paraId="10BC896C" w14:textId="5995901B">
            <w:pPr>
              <w:pStyle w:val="TableNote"/>
            </w:pPr>
            <w:r>
              <w:t>the Grantha script used in part of the blessing is encoded as per §</w:t>
            </w:r>
            <w:r>
              <w:fldChar w:fldCharType="begin"/>
            </w:r>
            <w:r>
              <w:instrText xml:space="preserve"> REF _Ref232173895 \r \h </w:instrText>
            </w:r>
            <w:r>
              <w:fldChar w:fldCharType="separate"/>
            </w:r>
            <w:r>
              <w:t>8.2.3.4</w:t>
            </w:r>
            <w:r>
              <w:fldChar w:fldCharType="end"/>
            </w:r>
            <w:r>
              <w:t xml:space="preserve"> </w:t>
            </w:r>
          </w:p>
        </w:tc>
      </w:tr>
    </w:tbl>
    <w:p w14:paraId="51736C80" w14:textId="77777777">
      <w:pPr>
        <w:pStyle w:val="Cmsor3"/>
      </w:pPr>
      <w:bookmarkStart w:id="317" w:name="_l370o66akj7v" w:colFirst="0" w:colLast="0"/>
      <w:bookmarkStart w:id="318" w:name="_Ref43984607"/>
      <w:bookmarkStart w:id="319" w:name="_Toc243922631"/>
      <w:bookmarkEnd w:id="317"/>
      <w:r>
        <w:t>Pagination or foliation: “forme work”</w:t>
      </w:r>
      <w:bookmarkEnd w:id="318"/>
      <w:bookmarkEnd w:id="319"/>
    </w:p>
    <w:p w14:paraId="54163F2B" w14:textId="1A78B108">
      <w:r>
        <w:t>Copperplate sets sometimes bear numbers to indicate the reading order of folios. In principle, other inscriptions involving pagelike partitions (§</w:t>
      </w:r>
      <w:r>
        <w:fldChar w:fldCharType="begin"/>
      </w:r>
      <w:r>
        <w:instrText xml:space="preserve"> REF _Ref233982406 \r \h </w:instrText>
      </w:r>
      <w:r>
        <w:fldChar w:fldCharType="separate"/>
      </w:r>
      <w:r>
        <w:t>4.4</w:t>
      </w:r>
      <w:r>
        <w:fldChar w:fldCharType="end"/>
      </w:r>
      <w:r>
        <w:t xml:space="preserve">) might also include labels or numeration outside the principal field of one or more pages. The generic term for such items is </w:t>
      </w:r>
      <w:r>
        <w:rPr>
          <w:i/>
          <w:iCs/>
        </w:rPr>
        <w:t>forme work</w:t>
      </w:r>
      <w:r>
        <w:t xml:space="preserve">, borrowed from printing jargon, where </w:t>
      </w:r>
      <w:r>
        <w:rPr>
          <w:rStyle w:val="Foreign"/>
        </w:rPr>
        <w:t>forme</w:t>
      </w:r>
      <w:r>
        <w:t xml:space="preserve"> means the frame constructed to hold the blocks of movable type that constitute a page. In our encoding practice, the use of forme work shall be restricted to cases where very short, identical or similar pieces of text (typically for numeration) appear in conjunction with one or more pages of a document involving pagelike partitions. In other cases, consider whether the text item you are dealing with is rather an incipit (§</w:t>
      </w:r>
      <w:r>
        <w:fldChar w:fldCharType="begin"/>
      </w:r>
      <w:r>
        <w:instrText xml:space="preserve"> REF _Ref43978135 \r \h </w:instrText>
      </w:r>
      <w:r>
        <w:fldChar w:fldCharType="separate"/>
      </w:r>
      <w:r>
        <w:t>4.7.1.1</w:t>
      </w:r>
      <w:r>
        <w:fldChar w:fldCharType="end"/>
      </w:r>
      <w:r>
        <w:t>) or a colophon (§</w:t>
      </w:r>
      <w:r>
        <w:fldChar w:fldCharType="begin"/>
      </w:r>
      <w:r>
        <w:instrText xml:space="preserve"> REF _Ref182233273 \r \h </w:instrText>
      </w:r>
      <w:r>
        <w:fldChar w:fldCharType="separate"/>
      </w:r>
      <w:r>
        <w:t>4.7.1.2</w:t>
      </w:r>
      <w:r>
        <w:fldChar w:fldCharType="end"/>
      </w:r>
      <w:r>
        <w:t xml:space="preserve">). The encoding of forme work is illustrated in </w:t>
      </w:r>
      <w:r>
        <w:fldChar w:fldCharType="begin"/>
      </w:r>
      <w:r>
        <w:instrText xml:space="preserve"> REF _Ref182234393 \h </w:instrText>
      </w:r>
      <w:r>
        <w:fldChar w:fldCharType="separate"/>
      </w:r>
      <w:r>
        <w:t xml:space="preserve">Exhibit </w:t>
      </w:r>
      <w:r>
        <w:rPr>
          <w:noProof/>
        </w:rPr>
        <w:t>4.7</w:t>
      </w:r>
      <w:r>
        <w:t>.</w:t>
      </w:r>
      <w:r>
        <w:rPr>
          <w:noProof/>
        </w:rPr>
        <w:t>G</w:t>
      </w:r>
      <w:r>
        <w:fldChar w:fldCharType="end"/>
      </w:r>
      <w:r>
        <w:t>.</w:t>
      </w:r>
    </w:p>
    <w:p w14:paraId="74823833" w14:textId="77777777">
      <w:pPr>
        <w:pStyle w:val="Cmsor4"/>
      </w:pPr>
      <w:r>
        <w:lastRenderedPageBreak/>
        <w:t>Encoding forme work</w:t>
      </w:r>
    </w:p>
    <w:tbl>
      <w:tblPr>
        <w:tblStyle w:val="FigureTable"/>
        <w:tblpPr w:leftFromText="181" w:rightFromText="181" w:vertAnchor="text" w:horzAnchor="margin" w:tblpXSpec="right" w:tblpY="92"/>
        <w:tblW w:w="4536" w:type="dxa"/>
        <w:jc w:val="right"/>
        <w:tblLook w:val="04A0" w:firstRow="1" w:lastRow="0" w:firstColumn="1" w:lastColumn="0" w:noHBand="0" w:noVBand="1"/>
      </w:tblPr>
      <w:tblGrid>
        <w:gridCol w:w="4536"/>
      </w:tblGrid>
      <w:tr w14:paraId="6423EB4E" w14:textId="77777777">
        <w:trPr>
          <w:cnfStyle w:val="100000000000" w:firstRow="1" w:lastRow="0" w:firstColumn="0" w:lastColumn="0" w:oddVBand="0" w:evenVBand="0" w:oddHBand="0" w:evenHBand="0" w:firstRowFirstColumn="0" w:firstRowLastColumn="0" w:lastRowFirstColumn="0" w:lastRowLastColumn="0"/>
          <w:jc w:val="right"/>
        </w:trPr>
        <w:tc>
          <w:tcPr>
            <w:tcW w:w="0" w:type="auto"/>
          </w:tcPr>
          <w:p w14:paraId="42B2E5BA" w14:textId="534A4F59">
            <w:pPr>
              <w:pStyle w:val="Kpalrs"/>
            </w:pPr>
            <w:bookmarkStart w:id="320" w:name="_Ref225777931"/>
            <w:r>
              <w:t xml:space="preserve">Exhibit </w:t>
            </w:r>
            <w:fldSimple w:instr=" STYLEREF 2 \s ">
              <w:r>
                <w:rPr>
                  <w:noProof/>
                </w:rPr>
                <w:t>4.7</w:t>
              </w:r>
            </w:fldSimple>
            <w:r>
              <w:t>.</w:t>
            </w:r>
            <w:fldSimple w:instr=" SEQ Exhibit \* ALPHABETIC \s 2 ">
              <w:r>
                <w:rPr>
                  <w:noProof/>
                </w:rPr>
                <w:t>F</w:t>
              </w:r>
            </w:fldSimple>
            <w:bookmarkEnd w:id="320"/>
            <w:r>
              <w:t>. Location of forme work with respect to the principal field</w:t>
            </w:r>
          </w:p>
        </w:tc>
      </w:tr>
      <w:tr w14:paraId="1EE88DCD" w14:textId="77777777">
        <w:trPr>
          <w:jc w:val="right"/>
        </w:trPr>
        <w:tc>
          <w:tcPr>
            <w:tcW w:w="0" w:type="auto"/>
          </w:tcPr>
          <w:tbl>
            <w:tblPr>
              <w:tblStyle w:val="77"/>
              <w:tblW w:w="4253"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75"/>
              <w:gridCol w:w="1524"/>
              <w:gridCol w:w="1454"/>
            </w:tblGrid>
            <w:tr w14:paraId="7E2105D8" w14:textId="77777777">
              <w:trPr>
                <w:jc w:val="center"/>
              </w:trPr>
              <w:tc>
                <w:tcPr>
                  <w:tcW w:w="0" w:type="auto"/>
                  <w:tcBorders>
                    <w:top w:val="single" w:sz="8" w:space="0" w:color="auto"/>
                  </w:tcBorders>
                  <w:tcMar>
                    <w:top w:w="100" w:type="dxa"/>
                    <w:left w:w="100" w:type="dxa"/>
                    <w:bottom w:w="100" w:type="dxa"/>
                    <w:right w:w="100" w:type="dxa"/>
                  </w:tcMar>
                </w:tcPr>
                <w:p w14:paraId="51070E44" w14:textId="77777777">
                  <w:pPr>
                    <w:pStyle w:val="Tabletext"/>
                    <w:keepNext/>
                    <w:keepLines/>
                    <w:framePr w:hSpace="181" w:wrap="around" w:vAnchor="text" w:hAnchor="margin" w:xAlign="right" w:y="92"/>
                    <w:jc w:val="right"/>
                  </w:pPr>
                  <w:r>
                    <w:t>top-left</w:t>
                  </w:r>
                </w:p>
              </w:tc>
              <w:tc>
                <w:tcPr>
                  <w:tcW w:w="0" w:type="auto"/>
                  <w:tcBorders>
                    <w:top w:val="single" w:sz="8" w:space="0" w:color="auto"/>
                  </w:tcBorders>
                  <w:tcMar>
                    <w:top w:w="100" w:type="dxa"/>
                    <w:left w:w="100" w:type="dxa"/>
                    <w:bottom w:w="100" w:type="dxa"/>
                    <w:right w:w="100" w:type="dxa"/>
                  </w:tcMar>
                </w:tcPr>
                <w:p w14:paraId="16BB1502" w14:textId="77777777">
                  <w:pPr>
                    <w:pStyle w:val="Tabletext"/>
                    <w:keepNext/>
                    <w:keepLines/>
                    <w:framePr w:hSpace="181" w:wrap="around" w:vAnchor="text" w:hAnchor="margin" w:xAlign="right" w:y="92"/>
                    <w:jc w:val="center"/>
                  </w:pPr>
                  <w:r>
                    <w:t>top</w:t>
                  </w:r>
                </w:p>
              </w:tc>
              <w:tc>
                <w:tcPr>
                  <w:tcW w:w="0" w:type="auto"/>
                  <w:tcBorders>
                    <w:top w:val="single" w:sz="8" w:space="0" w:color="auto"/>
                  </w:tcBorders>
                  <w:tcMar>
                    <w:top w:w="100" w:type="dxa"/>
                    <w:left w:w="100" w:type="dxa"/>
                    <w:bottom w:w="100" w:type="dxa"/>
                    <w:right w:w="100" w:type="dxa"/>
                  </w:tcMar>
                </w:tcPr>
                <w:p w14:paraId="22219A16" w14:textId="77777777">
                  <w:pPr>
                    <w:pStyle w:val="Tabletext"/>
                    <w:keepNext/>
                    <w:keepLines/>
                    <w:framePr w:hSpace="181" w:wrap="around" w:vAnchor="text" w:hAnchor="margin" w:xAlign="right" w:y="92"/>
                  </w:pPr>
                  <w:r>
                    <w:t>top-right</w:t>
                  </w:r>
                </w:p>
              </w:tc>
            </w:tr>
            <w:tr w14:paraId="5BE39A52" w14:textId="77777777">
              <w:trPr>
                <w:jc w:val="center"/>
              </w:trPr>
              <w:tc>
                <w:tcPr>
                  <w:tcW w:w="0" w:type="auto"/>
                  <w:tcMar>
                    <w:top w:w="100" w:type="dxa"/>
                    <w:left w:w="100" w:type="dxa"/>
                    <w:bottom w:w="100" w:type="dxa"/>
                    <w:right w:w="100" w:type="dxa"/>
                  </w:tcMar>
                  <w:vAlign w:val="center"/>
                </w:tcPr>
                <w:p w14:paraId="53EA3717" w14:textId="77777777">
                  <w:pPr>
                    <w:pStyle w:val="Tabletext"/>
                    <w:keepNext/>
                    <w:keepLines/>
                    <w:framePr w:hSpace="181" w:wrap="around" w:vAnchor="text" w:hAnchor="margin" w:xAlign="right" w:y="92"/>
                    <w:jc w:val="center"/>
                  </w:pPr>
                </w:p>
                <w:p w14:paraId="5B503E80" w14:textId="77777777">
                  <w:pPr>
                    <w:pStyle w:val="Tabletext"/>
                    <w:keepNext/>
                    <w:keepLines/>
                    <w:framePr w:hSpace="181" w:wrap="around" w:vAnchor="text" w:hAnchor="margin" w:xAlign="right" w:y="92"/>
                    <w:jc w:val="center"/>
                  </w:pPr>
                  <w:r>
                    <w:t>left</w:t>
                  </w:r>
                </w:p>
              </w:tc>
              <w:tc>
                <w:tcPr>
                  <w:tcW w:w="0" w:type="auto"/>
                  <w:shd w:val="clear" w:color="auto" w:fill="D0E0E3"/>
                  <w:tcMar>
                    <w:top w:w="100" w:type="dxa"/>
                    <w:left w:w="100" w:type="dxa"/>
                    <w:bottom w:w="100" w:type="dxa"/>
                    <w:right w:w="100" w:type="dxa"/>
                  </w:tcMar>
                  <w:vAlign w:val="center"/>
                </w:tcPr>
                <w:p w14:paraId="307AA9D7" w14:textId="77777777">
                  <w:pPr>
                    <w:pStyle w:val="Tabletext"/>
                    <w:keepNext/>
                    <w:keepLines/>
                    <w:framePr w:hSpace="181" w:wrap="around" w:vAnchor="text" w:hAnchor="margin" w:xAlign="right" w:y="92"/>
                    <w:jc w:val="center"/>
                    <w:rPr>
                      <w:rFonts w:ascii="Gentium" w:hAnsi="Gentium" w:cs="Gentium"/>
                    </w:rPr>
                  </w:pPr>
                  <w:r>
                    <w:rPr>
                      <w:rFonts w:ascii="Gentium" w:hAnsi="Gentium" w:cs="Gentium"/>
                    </w:rPr>
                    <w:t>principal</w:t>
                  </w:r>
                </w:p>
                <w:p w14:paraId="6CD261D0" w14:textId="77777777">
                  <w:pPr>
                    <w:pStyle w:val="Tabletext"/>
                    <w:keepNext/>
                    <w:keepLines/>
                    <w:framePr w:hSpace="181" w:wrap="around" w:vAnchor="text" w:hAnchor="margin" w:xAlign="right" w:y="92"/>
                    <w:jc w:val="center"/>
                    <w:rPr>
                      <w:rFonts w:ascii="Gentium" w:hAnsi="Gentium" w:cs="Gentium"/>
                    </w:rPr>
                  </w:pPr>
                </w:p>
                <w:p w14:paraId="5DFF580E" w14:textId="77777777">
                  <w:pPr>
                    <w:pStyle w:val="Tabletext"/>
                    <w:keepNext/>
                    <w:keepLines/>
                    <w:framePr w:hSpace="181" w:wrap="around" w:vAnchor="text" w:hAnchor="margin" w:xAlign="right" w:y="92"/>
                    <w:jc w:val="center"/>
                    <w:rPr>
                      <w:rFonts w:ascii="Gentium" w:hAnsi="Gentium" w:cs="Gentium"/>
                    </w:rPr>
                  </w:pPr>
                  <w:r>
                    <w:rPr>
                      <w:rFonts w:ascii="Gentium" w:hAnsi="Gentium" w:cs="Gentium"/>
                    </w:rPr>
                    <w:t>inscribed</w:t>
                  </w:r>
                </w:p>
                <w:p w14:paraId="27E1F5B7" w14:textId="77777777">
                  <w:pPr>
                    <w:pStyle w:val="Tabletext"/>
                    <w:keepNext/>
                    <w:keepLines/>
                    <w:framePr w:hSpace="181" w:wrap="around" w:vAnchor="text" w:hAnchor="margin" w:xAlign="right" w:y="92"/>
                    <w:jc w:val="center"/>
                    <w:rPr>
                      <w:rFonts w:ascii="Gentium" w:hAnsi="Gentium" w:cs="Gentium"/>
                    </w:rPr>
                  </w:pPr>
                </w:p>
                <w:p w14:paraId="229C4526" w14:textId="77777777">
                  <w:pPr>
                    <w:pStyle w:val="Tabletext"/>
                    <w:keepNext/>
                    <w:keepLines/>
                    <w:framePr w:hSpace="181" w:wrap="around" w:vAnchor="text" w:hAnchor="margin" w:xAlign="right" w:y="92"/>
                    <w:jc w:val="center"/>
                  </w:pPr>
                  <w:r>
                    <w:rPr>
                      <w:rFonts w:ascii="Gentium" w:hAnsi="Gentium" w:cs="Gentium"/>
                    </w:rPr>
                    <w:t>field</w:t>
                  </w:r>
                </w:p>
              </w:tc>
              <w:tc>
                <w:tcPr>
                  <w:tcW w:w="0" w:type="auto"/>
                  <w:tcMar>
                    <w:top w:w="100" w:type="dxa"/>
                    <w:left w:w="100" w:type="dxa"/>
                    <w:bottom w:w="100" w:type="dxa"/>
                    <w:right w:w="100" w:type="dxa"/>
                  </w:tcMar>
                  <w:vAlign w:val="center"/>
                </w:tcPr>
                <w:p w14:paraId="60158A36" w14:textId="77777777">
                  <w:pPr>
                    <w:pStyle w:val="Tabletext"/>
                    <w:keepNext/>
                    <w:keepLines/>
                    <w:framePr w:hSpace="181" w:wrap="around" w:vAnchor="text" w:hAnchor="margin" w:xAlign="right" w:y="92"/>
                    <w:jc w:val="center"/>
                  </w:pPr>
                </w:p>
                <w:p w14:paraId="3564176E" w14:textId="77777777">
                  <w:pPr>
                    <w:pStyle w:val="Tabletext"/>
                    <w:keepNext/>
                    <w:keepLines/>
                    <w:framePr w:hSpace="181" w:wrap="around" w:vAnchor="text" w:hAnchor="margin" w:xAlign="right" w:y="92"/>
                    <w:jc w:val="center"/>
                  </w:pPr>
                  <w:r>
                    <w:t>right</w:t>
                  </w:r>
                </w:p>
              </w:tc>
            </w:tr>
            <w:tr w14:paraId="34FDBE5D" w14:textId="77777777">
              <w:trPr>
                <w:jc w:val="center"/>
              </w:trPr>
              <w:tc>
                <w:tcPr>
                  <w:tcW w:w="0" w:type="auto"/>
                  <w:tcMar>
                    <w:top w:w="100" w:type="dxa"/>
                    <w:left w:w="100" w:type="dxa"/>
                    <w:bottom w:w="100" w:type="dxa"/>
                    <w:right w:w="100" w:type="dxa"/>
                  </w:tcMar>
                </w:tcPr>
                <w:p w14:paraId="45A420F1" w14:textId="77777777">
                  <w:pPr>
                    <w:pStyle w:val="Tabletext"/>
                    <w:keepNext/>
                    <w:keepLines/>
                    <w:framePr w:hSpace="181" w:wrap="around" w:vAnchor="text" w:hAnchor="margin" w:xAlign="right" w:y="92"/>
                    <w:jc w:val="right"/>
                  </w:pPr>
                  <w:r>
                    <w:t>bot-left</w:t>
                  </w:r>
                </w:p>
              </w:tc>
              <w:tc>
                <w:tcPr>
                  <w:tcW w:w="0" w:type="auto"/>
                  <w:tcMar>
                    <w:top w:w="100" w:type="dxa"/>
                    <w:left w:w="100" w:type="dxa"/>
                    <w:bottom w:w="100" w:type="dxa"/>
                    <w:right w:w="100" w:type="dxa"/>
                  </w:tcMar>
                </w:tcPr>
                <w:p w14:paraId="44909FA2" w14:textId="77777777">
                  <w:pPr>
                    <w:pStyle w:val="Tabletext"/>
                    <w:keepNext/>
                    <w:keepLines/>
                    <w:framePr w:hSpace="181" w:wrap="around" w:vAnchor="text" w:hAnchor="margin" w:xAlign="right" w:y="92"/>
                    <w:jc w:val="center"/>
                  </w:pPr>
                  <w:r>
                    <w:t>bottom</w:t>
                  </w:r>
                </w:p>
              </w:tc>
              <w:tc>
                <w:tcPr>
                  <w:tcW w:w="0" w:type="auto"/>
                  <w:tcMar>
                    <w:top w:w="100" w:type="dxa"/>
                    <w:left w:w="100" w:type="dxa"/>
                    <w:bottom w:w="100" w:type="dxa"/>
                    <w:right w:w="100" w:type="dxa"/>
                  </w:tcMar>
                </w:tcPr>
                <w:p w14:paraId="7B48DAC5" w14:textId="77777777">
                  <w:pPr>
                    <w:pStyle w:val="Tabletext"/>
                    <w:keepNext/>
                    <w:keepLines/>
                    <w:framePr w:hSpace="181" w:wrap="around" w:vAnchor="text" w:hAnchor="margin" w:xAlign="right" w:y="92"/>
                  </w:pPr>
                  <w:r>
                    <w:t>bot-right</w:t>
                  </w:r>
                </w:p>
              </w:tc>
            </w:tr>
          </w:tbl>
          <w:p w14:paraId="057CC6F0" w14:textId="77777777">
            <w:pPr>
              <w:keepLines/>
            </w:pPr>
          </w:p>
        </w:tc>
      </w:tr>
    </w:tbl>
    <w:p w14:paraId="5A94B62E" w14:textId="77777777">
      <w:pPr>
        <w:pStyle w:val="Lista"/>
      </w:pPr>
      <w:r>
        <w:t xml:space="preserve">forme work items shall be wrapped in the element </w:t>
      </w:r>
      <w:r>
        <w:rPr>
          <w:rStyle w:val="Code"/>
        </w:rPr>
        <w:t>&lt;fw&gt;</w:t>
      </w:r>
      <w:r>
        <w:t>, with the following attributes</w:t>
      </w:r>
    </w:p>
    <w:p w14:paraId="161DF235" w14:textId="77777777">
      <w:pPr>
        <w:pStyle w:val="Lista2"/>
      </w:pPr>
      <w:r>
        <w:t xml:space="preserve">mandatorily, </w:t>
      </w:r>
      <w:r>
        <w:rPr>
          <w:rStyle w:val="Codeattribute"/>
        </w:rPr>
        <w:t>@n</w:t>
      </w:r>
      <w:r>
        <w:t xml:space="preserve"> </w:t>
      </w:r>
      <w:r>
        <w:rPr>
          <w:noProof/>
        </w:rPr>
        <w:t>(</w:t>
      </w:r>
      <w:r>
        <w:t>even if there is only one forme work item in your document)</w:t>
      </w:r>
    </w:p>
    <w:p w14:paraId="15E19986" w14:textId="77777777">
      <w:pPr>
        <w:pStyle w:val="Lista3"/>
      </w:pPr>
      <w:r>
        <w:t xml:space="preserve">the value of </w:t>
      </w:r>
      <w:r>
        <w:rPr>
          <w:rStyle w:val="Codeattribute"/>
        </w:rPr>
        <w:t>@n</w:t>
      </w:r>
      <w:r>
        <w:t xml:space="preserve"> shall be the same as the </w:t>
      </w:r>
      <w:r>
        <w:rPr>
          <w:rStyle w:val="Codeattribute"/>
        </w:rPr>
        <w:t>@n</w:t>
      </w:r>
      <w:r>
        <w:t xml:space="preserve"> of the </w:t>
      </w:r>
      <w:r>
        <w:rPr>
          <w:rStyle w:val="Code"/>
        </w:rPr>
        <w:t>&lt;pb&gt;</w:t>
      </w:r>
      <w:r>
        <w:t xml:space="preserve"> (or </w:t>
      </w:r>
      <w:r>
        <w:rPr>
          <w:rStyle w:val="Code"/>
        </w:rPr>
        <w:t>&lt;milestone/&gt;</w:t>
      </w:r>
      <w:r>
        <w:t>) element marking the beginning of the page on which the forme work item appears, e.g. “1v”, “2v”, etc.</w:t>
      </w:r>
    </w:p>
    <w:p w14:paraId="0ACB5AFC" w14:textId="6781398D">
      <w:pPr>
        <w:pStyle w:val="Lista2"/>
      </w:pPr>
      <w:r>
        <w:t xml:space="preserve">mandatorily, </w:t>
      </w:r>
      <w:r>
        <w:rPr>
          <w:rStyle w:val="Codeattribute"/>
        </w:rPr>
        <w:t>@place</w:t>
      </w:r>
      <w:r>
        <w:t xml:space="preserve"> relative to the principal inscribed field, with values as shown in </w:t>
      </w:r>
      <w:r>
        <w:fldChar w:fldCharType="begin"/>
      </w:r>
      <w:r>
        <w:instrText xml:space="preserve"> REF _Ref225777931 \h </w:instrText>
      </w:r>
      <w:r>
        <w:fldChar w:fldCharType="separate"/>
      </w:r>
      <w:r>
        <w:t xml:space="preserve">Exhibit </w:t>
      </w:r>
      <w:r>
        <w:rPr>
          <w:noProof/>
        </w:rPr>
        <w:t>4.7</w:t>
      </w:r>
      <w:r>
        <w:t>.</w:t>
      </w:r>
      <w:r>
        <w:rPr>
          <w:noProof/>
        </w:rPr>
        <w:t>F</w:t>
      </w:r>
      <w:r>
        <w:fldChar w:fldCharType="end"/>
      </w:r>
    </w:p>
    <w:p w14:paraId="366E3CF4" w14:textId="77777777">
      <w:pPr>
        <w:pStyle w:val="Lista3"/>
      </w:pPr>
      <w:r>
        <w:t>should forme work be partly or wholly inside the principal field, use the value that best describes its location relative to the centre of the inscribed field</w:t>
      </w:r>
    </w:p>
    <w:p w14:paraId="3E253A74" w14:textId="77777777">
      <w:pPr>
        <w:pStyle w:val="Lista"/>
      </w:pPr>
      <w:r>
        <w:t xml:space="preserve">details of presentation </w:t>
      </w:r>
      <w:r>
        <w:rPr>
          <w:noProof/>
        </w:rPr>
        <w:t>(</w:t>
      </w:r>
      <w:r>
        <w:t xml:space="preserve">e.g. precise location, interference with the regular lines) shall be recorded for human readers in your metadata </w:t>
      </w:r>
      <w:r>
        <w:rPr>
          <w:noProof/>
        </w:rPr>
        <w:t>(</w:t>
      </w:r>
      <w:r>
        <w:t>layout description), but not encoded explicitly</w:t>
      </w:r>
    </w:p>
    <w:tbl>
      <w:tblPr>
        <w:tblStyle w:val="CodeSampleTable"/>
        <w:tblW w:w="5000" w:type="pct"/>
        <w:tblLook w:val="04A0" w:firstRow="1" w:lastRow="0" w:firstColumn="1" w:lastColumn="0" w:noHBand="0" w:noVBand="1"/>
      </w:tblPr>
      <w:tblGrid>
        <w:gridCol w:w="2763"/>
        <w:gridCol w:w="6865"/>
      </w:tblGrid>
      <w:tr w14:paraId="7B9E0EA6"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35403781" w14:textId="66CFB915">
            <w:pPr>
              <w:pStyle w:val="Kpalrs"/>
              <w:keepLines/>
            </w:pPr>
            <w:bookmarkStart w:id="321" w:name="_Ref182234393"/>
            <w:bookmarkStart w:id="322" w:name="_Ref182234390"/>
            <w:r>
              <w:t xml:space="preserve">Exhibit </w:t>
            </w:r>
            <w:fldSimple w:instr=" STYLEREF 2 \s ">
              <w:r>
                <w:rPr>
                  <w:noProof/>
                </w:rPr>
                <w:t>4.7</w:t>
              </w:r>
            </w:fldSimple>
            <w:r>
              <w:t>.</w:t>
            </w:r>
            <w:fldSimple w:instr=" SEQ Exhibit \* ALPHABETIC \s 2 ">
              <w:r>
                <w:rPr>
                  <w:noProof/>
                </w:rPr>
                <w:t>G</w:t>
              </w:r>
            </w:fldSimple>
            <w:bookmarkEnd w:id="321"/>
            <w:r>
              <w:t>: foliation in the right margin</w:t>
            </w:r>
            <w:bookmarkEnd w:id="322"/>
          </w:p>
        </w:tc>
      </w:tr>
      <w:tr w14:paraId="5B1F2183" w14:textId="77777777">
        <w:tc>
          <w:tcPr>
            <w:tcW w:w="1435" w:type="pct"/>
          </w:tcPr>
          <w:p w14:paraId="79A4FEBF" w14:textId="77777777">
            <w:pPr>
              <w:pStyle w:val="CodeParagraph"/>
              <w:rPr>
                <w:rStyle w:val="Code"/>
              </w:rPr>
            </w:pPr>
            <w:r>
              <w:rPr>
                <w:rStyle w:val="Code"/>
              </w:rPr>
              <w:t>&lt;p&gt;</w:t>
            </w:r>
            <w:r>
              <w:rPr>
                <w:rStyle w:val="Codetext"/>
              </w:rPr>
              <w:br/>
            </w:r>
            <w:r>
              <w:rPr>
                <w:rStyle w:val="Code"/>
              </w:rPr>
              <w:t xml:space="preserve">&lt;pb </w:t>
            </w:r>
            <w:r>
              <w:rPr>
                <w:rStyle w:val="Codeattribute"/>
              </w:rPr>
              <w:t>n</w:t>
            </w:r>
            <w:r>
              <w:rPr>
                <w:rStyle w:val="Code"/>
              </w:rPr>
              <w:t>=</w:t>
            </w:r>
            <w:r>
              <w:rPr>
                <w:rStyle w:val="Codevalue"/>
              </w:rPr>
              <w:t>"1r"</w:t>
            </w:r>
            <w:r>
              <w:rPr>
                <w:rStyle w:val="Code"/>
              </w:rPr>
              <w:t>/&gt;</w:t>
            </w:r>
            <w:r>
              <w:rPr>
                <w:rStyle w:val="Codetext"/>
              </w:rPr>
              <w:br/>
            </w:r>
            <w:r>
              <w:rPr>
                <w:rStyle w:val="Code"/>
              </w:rPr>
              <w:t>&lt;fw</w:t>
            </w:r>
            <w:r>
              <w:rPr>
                <w:rStyle w:val="Codeattribute"/>
              </w:rPr>
              <w:t xml:space="preserve"> n</w:t>
            </w:r>
            <w:r>
              <w:rPr>
                <w:rStyle w:val="Code"/>
              </w:rPr>
              <w:t>=</w:t>
            </w:r>
            <w:r>
              <w:rPr>
                <w:rStyle w:val="Codevalue"/>
              </w:rPr>
              <w:t>"1r"</w:t>
            </w:r>
            <w:r>
              <w:rPr>
                <w:rStyle w:val="Code"/>
              </w:rPr>
              <w:t xml:space="preserve"> </w:t>
            </w:r>
            <w:r>
              <w:rPr>
                <w:rStyle w:val="Codeattribute"/>
              </w:rPr>
              <w:t>place</w:t>
            </w:r>
            <w:r>
              <w:rPr>
                <w:rStyle w:val="Code"/>
              </w:rPr>
              <w:t>=</w:t>
            </w:r>
            <w:r>
              <w:rPr>
                <w:rStyle w:val="Codevalue"/>
              </w:rPr>
              <w:t>"right"</w:t>
            </w:r>
            <w:r>
              <w:rPr>
                <w:rStyle w:val="Code"/>
              </w:rPr>
              <w:t>&gt;</w:t>
            </w:r>
          </w:p>
          <w:p w14:paraId="49CDDCBF" w14:textId="77777777">
            <w:pPr>
              <w:pStyle w:val="CodeParagraph"/>
              <w:rPr>
                <w:rStyle w:val="Code"/>
              </w:rPr>
            </w:pPr>
            <w:r>
              <w:rPr>
                <w:rStyle w:val="Code"/>
              </w:rPr>
              <w:t xml:space="preserve">  &lt;num </w:t>
            </w:r>
            <w:r>
              <w:rPr>
                <w:rStyle w:val="Codeattribute"/>
              </w:rPr>
              <w:t>value</w:t>
            </w:r>
            <w:r>
              <w:rPr>
                <w:rStyle w:val="Code"/>
              </w:rPr>
              <w:t>=</w:t>
            </w:r>
            <w:r>
              <w:rPr>
                <w:rStyle w:val="Codevalue"/>
              </w:rPr>
              <w:t>"1"</w:t>
            </w:r>
            <w:r>
              <w:rPr>
                <w:rStyle w:val="Code"/>
              </w:rPr>
              <w:t>&gt;</w:t>
            </w:r>
            <w:r>
              <w:rPr>
                <w:rStyle w:val="Codetext"/>
              </w:rPr>
              <w:t>1</w:t>
            </w:r>
            <w:r>
              <w:rPr>
                <w:rStyle w:val="Code"/>
              </w:rPr>
              <w:t>&lt;/num&gt;</w:t>
            </w:r>
          </w:p>
          <w:p w14:paraId="799A72DC" w14:textId="77777777">
            <w:pPr>
              <w:pStyle w:val="CodeParagraph"/>
            </w:pPr>
            <w:r>
              <w:rPr>
                <w:rStyle w:val="Code"/>
              </w:rPr>
              <w:t>&lt;/fw&gt;</w:t>
            </w:r>
            <w:r>
              <w:rPr>
                <w:rStyle w:val="Codetext"/>
              </w:rPr>
              <w:br/>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w:t>
            </w:r>
            <w:r>
              <w:rPr>
                <w:rStyle w:val="Codetext"/>
              </w:rPr>
              <w:br/>
            </w:r>
            <w:r>
              <w:rPr>
                <w:rStyle w:val="Code"/>
              </w:rPr>
              <w:t xml:space="preserve">&lt;lb </w:t>
            </w:r>
            <w:r>
              <w:rPr>
                <w:rStyle w:val="Codeattribute"/>
              </w:rPr>
              <w:t>n</w:t>
            </w:r>
            <w:r>
              <w:rPr>
                <w:rStyle w:val="Code"/>
              </w:rPr>
              <w:t>=</w:t>
            </w:r>
            <w:r>
              <w:rPr>
                <w:rStyle w:val="Codevalue"/>
              </w:rPr>
              <w:t>"2"</w:t>
            </w:r>
            <w:r>
              <w:rPr>
                <w:rStyle w:val="Code"/>
              </w:rPr>
              <w:t>/&gt;</w:t>
            </w:r>
            <w:r>
              <w:rPr>
                <w:rStyle w:val="Codetext"/>
              </w:rPr>
              <w:t>nasty, dirty...</w:t>
            </w:r>
            <w:r>
              <w:rPr>
                <w:rStyle w:val="Codetext"/>
              </w:rPr>
              <w:br/>
              <w:t>...</w:t>
            </w:r>
            <w:r>
              <w:rPr>
                <w:rStyle w:val="Codetext"/>
              </w:rPr>
              <w:br/>
            </w:r>
            <w:r>
              <w:rPr>
                <w:rStyle w:val="Code"/>
              </w:rPr>
              <w:t>&lt;/p&gt;</w:t>
            </w:r>
          </w:p>
        </w:tc>
        <w:tc>
          <w:tcPr>
            <w:tcW w:w="3565" w:type="pct"/>
            <w:vAlign w:val="center"/>
          </w:tcPr>
          <w:p w14:paraId="35355C35" w14:textId="77777777">
            <w:pPr>
              <w:pStyle w:val="Image"/>
            </w:pPr>
            <w:r>
              <w:drawing>
                <wp:inline distT="114300" distB="114300" distL="114300" distR="114300" wp14:anchorId="06833753" wp14:editId="72EE2153">
                  <wp:extent cx="4064400" cy="1206000"/>
                  <wp:effectExtent l="0" t="0" r="0" b="0"/>
                  <wp:docPr id="11"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10.png"/>
                          <pic:cNvPicPr/>
                        </pic:nvPicPr>
                        <pic:blipFill>
                          <a:blip r:embed="rId26"/>
                          <a:stretch>
                            <a:fillRect/>
                          </a:stretch>
                        </pic:blipFill>
                        <pic:spPr>
                          <a:xfrm>
                            <a:off x="0" y="0"/>
                            <a:ext cx="4064400" cy="1206000"/>
                          </a:xfrm>
                          <a:prstGeom prst="rect">
                            <a:avLst/>
                          </a:prstGeom>
                          <a:ln/>
                        </pic:spPr>
                      </pic:pic>
                    </a:graphicData>
                  </a:graphic>
                </wp:inline>
              </w:drawing>
            </w:r>
          </w:p>
        </w:tc>
      </w:tr>
      <w:tr w14:paraId="70B46634" w14:textId="77777777">
        <w:tc>
          <w:tcPr>
            <w:tcW w:w="5000" w:type="pct"/>
            <w:gridSpan w:val="2"/>
          </w:tcPr>
          <w:p w14:paraId="54558AA3" w14:textId="392D8E32">
            <w:pPr>
              <w:pStyle w:val="TableNote"/>
            </w:pPr>
            <w:r>
              <w:t xml:space="preserve">for a complete encoded example see the Case Study in </w:t>
            </w:r>
            <w:r>
              <w:fldChar w:fldCharType="begin"/>
            </w:r>
            <w:r>
              <w:instrText xml:space="preserve"> REF _Ref239844274 \r \h </w:instrText>
            </w:r>
            <w:r>
              <w:fldChar w:fldCharType="separate"/>
            </w:r>
            <w:r>
              <w:t>Appendix A.2</w:t>
            </w:r>
            <w:r>
              <w:fldChar w:fldCharType="end"/>
            </w:r>
            <w:r>
              <w:t xml:space="preserve"> </w:t>
            </w:r>
          </w:p>
        </w:tc>
      </w:tr>
    </w:tbl>
    <w:p w14:paraId="53C1D4AC" w14:textId="77777777">
      <w:pPr>
        <w:pStyle w:val="Cmsor4"/>
      </w:pPr>
      <w:r>
        <w:t>The position of forme work in the encoded edition</w:t>
      </w:r>
    </w:p>
    <w:p w14:paraId="4E08A705" w14:textId="6BA8F5BC">
      <w:pPr>
        <w:pStyle w:val="Lista"/>
      </w:pPr>
      <w:r>
        <w:t xml:space="preserve">as in the case of boxlike partitions </w:t>
      </w:r>
      <w:r>
        <w:rPr>
          <w:noProof/>
        </w:rPr>
        <w:t>(</w:t>
      </w:r>
      <w:r>
        <w:t>§</w:t>
      </w:r>
      <w:r>
        <w:fldChar w:fldCharType="begin"/>
      </w:r>
      <w:r>
        <w:instrText xml:space="preserve"> REF _Ref225778181 \r \h </w:instrText>
      </w:r>
      <w:r>
        <w:fldChar w:fldCharType="separate"/>
      </w:r>
      <w:r>
        <w:t>4.2</w:t>
      </w:r>
      <w:r>
        <w:fldChar w:fldCharType="end"/>
      </w:r>
      <w:r>
        <w:t xml:space="preserve">), the content of forme work is a complete and meaningful unit in itself, but unlike a textpart division, forme work is a supplement to </w:t>
      </w:r>
      <w:r>
        <w:rPr>
          <w:noProof/>
        </w:rPr>
        <w:t>(</w:t>
      </w:r>
      <w:r>
        <w:t>rather than a subunit of) the principal text of an inscription and is associated with a specific page</w:t>
      </w:r>
    </w:p>
    <w:p w14:paraId="3CFC512B" w14:textId="77777777">
      <w:pPr>
        <w:pStyle w:val="Lista2"/>
      </w:pPr>
      <w:r>
        <w:t xml:space="preserve">the </w:t>
      </w:r>
      <w:r>
        <w:rPr>
          <w:rStyle w:val="Code"/>
        </w:rPr>
        <w:t>&lt;fw&gt;</w:t>
      </w:r>
      <w:r>
        <w:t xml:space="preserve"> element shall be placed immediately after the </w:t>
      </w:r>
      <w:r>
        <w:rPr>
          <w:rStyle w:val="Code"/>
        </w:rPr>
        <w:t>&lt;pb/&gt;</w:t>
      </w:r>
      <w:r>
        <w:t xml:space="preserve">  (or </w:t>
      </w:r>
      <w:r>
        <w:rPr>
          <w:rStyle w:val="Code"/>
        </w:rPr>
        <w:t>&lt;milestone/&gt;</w:t>
      </w:r>
      <w:r>
        <w:t>) element marking the start of the page on which the forme work item is found, therefore</w:t>
      </w:r>
    </w:p>
    <w:p w14:paraId="36C2BD1B" w14:textId="77777777">
      <w:pPr>
        <w:pStyle w:val="Lista3"/>
      </w:pPr>
      <w:r>
        <w:t xml:space="preserve">it must come before the first </w:t>
      </w:r>
      <w:r>
        <w:rPr>
          <w:rStyle w:val="Code"/>
        </w:rPr>
        <w:t>&lt;lb/&gt;</w:t>
      </w:r>
      <w:r>
        <w:t xml:space="preserve">  element on that page</w:t>
      </w:r>
    </w:p>
    <w:p w14:paraId="67DD9085" w14:textId="24F57B86">
      <w:pPr>
        <w:pStyle w:val="Lista3"/>
      </w:pPr>
      <w:r>
        <w:t xml:space="preserve">it will normally appear inside block-level containers for intrinsic structure </w:t>
      </w:r>
      <w:r>
        <w:rPr>
          <w:noProof/>
        </w:rPr>
        <w:t>(</w:t>
      </w:r>
      <w:r>
        <w:t>§</w:t>
      </w:r>
      <w:r>
        <w:fldChar w:fldCharType="begin"/>
      </w:r>
      <w:r>
        <w:instrText xml:space="preserve"> REF _Ref43978632 \w \h  \* MERGEFORMAT </w:instrText>
      </w:r>
      <w:r>
        <w:fldChar w:fldCharType="separate"/>
      </w:r>
      <w:r>
        <w:t>3</w:t>
      </w:r>
      <w:r>
        <w:fldChar w:fldCharType="end"/>
      </w:r>
      <w:r>
        <w:t>), often interrupting the course of the text within such containers</w:t>
      </w:r>
    </w:p>
    <w:p w14:paraId="39FE24BE" w14:textId="77777777">
      <w:pPr>
        <w:pStyle w:val="Lista4"/>
      </w:pPr>
      <w:r>
        <w:t>the occurrence of such an interruption is encoded on the page and line beginnings and does not affect the markup for forme work</w:t>
      </w:r>
    </w:p>
    <w:p w14:paraId="65D47279" w14:textId="503231B4">
      <w:pPr>
        <w:pStyle w:val="Lista3"/>
      </w:pPr>
      <w:r>
        <w:t xml:space="preserve">the </w:t>
      </w:r>
      <w:r>
        <w:rPr>
          <w:rStyle w:val="Code"/>
        </w:rPr>
        <w:t>&lt;fw&gt;</w:t>
      </w:r>
      <w:r>
        <w:t xml:space="preserve"> element may be outside block-level containers when forme work is present on a page whose </w:t>
      </w:r>
      <w:r>
        <w:rPr>
          <w:rStyle w:val="Code"/>
        </w:rPr>
        <w:t>&lt;pb/&gt;</w:t>
      </w:r>
      <w:r>
        <w:t xml:space="preserve"> element is outside block-level containers, i.e. in the rare but potentially possible cases where a page bears forme work, but the rest of the page is blank </w:t>
      </w:r>
      <w:r>
        <w:rPr>
          <w:noProof/>
        </w:rPr>
        <w:t>(</w:t>
      </w:r>
      <w:r>
        <w:t>§</w:t>
      </w:r>
      <w:r>
        <w:fldChar w:fldCharType="begin"/>
      </w:r>
      <w:r>
        <w:instrText xml:space="preserve"> REF _Ref182318940 \r \h </w:instrText>
      </w:r>
      <w:r>
        <w:fldChar w:fldCharType="separate"/>
      </w:r>
      <w:r>
        <w:t>4.4.2.2</w:t>
      </w:r>
      <w:r>
        <w:fldChar w:fldCharType="end"/>
      </w:r>
      <w:r>
        <w:t xml:space="preserve">) or lacunose </w:t>
      </w:r>
      <w:r>
        <w:rPr>
          <w:noProof/>
        </w:rPr>
        <w:t>(</w:t>
      </w:r>
      <w:r>
        <w:t>§</w:t>
      </w:r>
      <w:r>
        <w:fldChar w:fldCharType="begin"/>
      </w:r>
      <w:r>
        <w:instrText xml:space="preserve"> REF _Ref43981711 \w \h  \* MERGEFORMAT </w:instrText>
      </w:r>
      <w:r>
        <w:fldChar w:fldCharType="separate"/>
      </w:r>
      <w:r>
        <w:t>6.5.4</w:t>
      </w:r>
      <w:r>
        <w:fldChar w:fldCharType="end"/>
      </w:r>
      <w:r>
        <w:t>)</w:t>
      </w:r>
    </w:p>
    <w:p w14:paraId="223889EA" w14:textId="77777777">
      <w:pPr>
        <w:pStyle w:val="Lista"/>
      </w:pPr>
      <w:r>
        <w:t xml:space="preserve">should your inscription have two </w:t>
      </w:r>
      <w:r>
        <w:rPr>
          <w:noProof/>
        </w:rPr>
        <w:t>(</w:t>
      </w:r>
      <w:r>
        <w:t xml:space="preserve">or more) foliation marks on a single page, encode two </w:t>
      </w:r>
      <w:r>
        <w:rPr>
          <w:noProof/>
        </w:rPr>
        <w:t>(</w:t>
      </w:r>
      <w:r>
        <w:t xml:space="preserve">or more) </w:t>
      </w:r>
      <w:r>
        <w:rPr>
          <w:rStyle w:val="Code"/>
        </w:rPr>
        <w:t>&lt;fw&gt;</w:t>
      </w:r>
      <w:r>
        <w:t xml:space="preserve"> elements one after the other, in an order that seems most logical</w:t>
      </w:r>
    </w:p>
    <w:p w14:paraId="6E0F9672" w14:textId="77777777">
      <w:pPr>
        <w:pStyle w:val="Lista2"/>
      </w:pPr>
      <w:r>
        <w:t xml:space="preserve">in this case, add trailing numbers to the number generated from the page number, e.g. </w:t>
      </w:r>
      <w:r>
        <w:rPr>
          <w:rStyle w:val="Code"/>
        </w:rPr>
        <w:t>&lt;fw</w:t>
      </w:r>
      <w:r>
        <w:rPr>
          <w:rStyle w:val="Codeattribute"/>
        </w:rPr>
        <w:t xml:space="preserve"> n</w:t>
      </w:r>
      <w:r>
        <w:rPr>
          <w:rStyle w:val="Code"/>
        </w:rPr>
        <w:t>=</w:t>
      </w:r>
      <w:r>
        <w:rPr>
          <w:rStyle w:val="Codevalue"/>
        </w:rPr>
        <w:t>"2v1"</w:t>
      </w:r>
      <w:r>
        <w:rPr>
          <w:rStyle w:val="Code"/>
        </w:rPr>
        <w:t>&gt;</w:t>
      </w:r>
      <w:r>
        <w:t xml:space="preserve">, </w:t>
      </w:r>
      <w:r>
        <w:rPr>
          <w:rStyle w:val="Code"/>
        </w:rPr>
        <w:t>&lt;fw</w:t>
      </w:r>
      <w:r>
        <w:rPr>
          <w:rStyle w:val="Codeattribute"/>
        </w:rPr>
        <w:t xml:space="preserve"> n</w:t>
      </w:r>
      <w:r>
        <w:rPr>
          <w:rStyle w:val="Code"/>
        </w:rPr>
        <w:t>=</w:t>
      </w:r>
      <w:r>
        <w:rPr>
          <w:rStyle w:val="Codevalue"/>
        </w:rPr>
        <w:t>"2v2"</w:t>
      </w:r>
      <w:r>
        <w:rPr>
          <w:rStyle w:val="Code"/>
        </w:rPr>
        <w:t>&gt;</w:t>
      </w:r>
      <w:r>
        <w:t>, etc.</w:t>
      </w:r>
    </w:p>
    <w:p w14:paraId="670B7558" w14:textId="77777777">
      <w:pPr>
        <w:pStyle w:val="Cmsor4"/>
      </w:pPr>
      <w:r>
        <w:t>The content of forme work</w:t>
      </w:r>
    </w:p>
    <w:p w14:paraId="3DA19A65" w14:textId="77777777">
      <w:pPr>
        <w:pStyle w:val="Lista"/>
      </w:pPr>
      <w:r>
        <w:t xml:space="preserve">the </w:t>
      </w:r>
      <w:r>
        <w:rPr>
          <w:rStyle w:val="Code"/>
        </w:rPr>
        <w:t>&lt;fw&gt;</w:t>
      </w:r>
      <w:r>
        <w:t xml:space="preserve"> element shall by default be the direct parent of the text of the forme work, without an additional text container such as </w:t>
      </w:r>
      <w:r>
        <w:rPr>
          <w:rStyle w:val="Code"/>
        </w:rPr>
        <w:t>&lt;ab&gt;</w:t>
      </w:r>
    </w:p>
    <w:p w14:paraId="7BACDDF8" w14:textId="77777777">
      <w:pPr>
        <w:pStyle w:val="Lista"/>
      </w:pPr>
      <w:r>
        <w:lastRenderedPageBreak/>
        <w:t>as a rule, line beginnings  shall not be marked up within forme work, with the following exceptions</w:t>
      </w:r>
    </w:p>
    <w:p w14:paraId="31CC65A9" w14:textId="7771BDB9">
      <w:pPr>
        <w:pStyle w:val="Lista2"/>
      </w:pPr>
      <w:r>
        <w:t xml:space="preserve">should you encounter forme work written in two or more distinct lines, use an </w:t>
      </w:r>
      <w:r>
        <w:rPr>
          <w:rStyle w:val="Code"/>
        </w:rPr>
        <w:t>&lt;lb/&gt;</w:t>
      </w:r>
      <w:r>
        <w:t xml:space="preserve"> element (§</w:t>
      </w:r>
      <w:r>
        <w:fldChar w:fldCharType="begin"/>
      </w:r>
      <w:r>
        <w:instrText xml:space="preserve"> REF _Ref224720139 \r \h </w:instrText>
      </w:r>
      <w:r>
        <w:fldChar w:fldCharType="separate"/>
      </w:r>
      <w:r>
        <w:t>4.5</w:t>
      </w:r>
      <w:r>
        <w:fldChar w:fldCharType="end"/>
      </w:r>
      <w:r>
        <w:t>) to encode each line beginning</w:t>
      </w:r>
    </w:p>
    <w:p w14:paraId="0964D3E6" w14:textId="77777777">
      <w:pPr>
        <w:pStyle w:val="Lista3"/>
      </w:pPr>
      <w:r>
        <w:t xml:space="preserve">in this case we recommend using line numbers prefixed with the number of the </w:t>
      </w:r>
      <w:r>
        <w:rPr>
          <w:rStyle w:val="Code"/>
        </w:rPr>
        <w:t>&lt;fw&gt;</w:t>
      </w:r>
      <w:r>
        <w:t xml:space="preserve"> element, e.g. “1r-1”, “1r-2”, etc.</w:t>
      </w:r>
    </w:p>
    <w:p w14:paraId="7C21C750" w14:textId="458806AC">
      <w:pPr>
        <w:pStyle w:val="Lista2"/>
      </w:pPr>
      <w:r>
        <w:t xml:space="preserve">if the orientation of the forme work is different from that of the principal field, then this can be encoded optionally, but only on </w:t>
      </w:r>
      <w:r>
        <w:rPr>
          <w:rStyle w:val="Code"/>
        </w:rPr>
        <w:t>&lt;lb/&gt;</w:t>
      </w:r>
      <w:r>
        <w:t xml:space="preserve"> elements, therefore if you wish to avail of the option, create a line beginning within the forme work and encode orientation on this </w:t>
      </w:r>
      <w:r>
        <w:rPr>
          <w:rStyle w:val="Code"/>
        </w:rPr>
        <w:t>&lt;lb/&gt;</w:t>
      </w:r>
      <w:r>
        <w:t xml:space="preserve"> element as per §</w:t>
      </w:r>
      <w:r>
        <w:fldChar w:fldCharType="begin"/>
      </w:r>
      <w:r>
        <w:instrText xml:space="preserve"> REF _Ref43984782 \r \h </w:instrText>
      </w:r>
      <w:r>
        <w:fldChar w:fldCharType="separate"/>
      </w:r>
      <w:r>
        <w:t>8.5.2</w:t>
      </w:r>
      <w:r>
        <w:fldChar w:fldCharType="end"/>
      </w:r>
    </w:p>
    <w:p w14:paraId="36E84113" w14:textId="77777777">
      <w:pPr>
        <w:pStyle w:val="Lista"/>
      </w:pPr>
      <w:r>
        <w:t>numeral signs used in foliation/pagination must be marked up as usual</w:t>
      </w:r>
    </w:p>
    <w:p w14:paraId="071536DE" w14:textId="30980949">
      <w:pPr>
        <w:pStyle w:val="Lista2"/>
      </w:pPr>
      <w:r>
        <w:t>for numeric glyphs other than decimal digits (§</w:t>
      </w:r>
      <w:r>
        <w:fldChar w:fldCharType="begin"/>
      </w:r>
      <w:r>
        <w:instrText xml:space="preserve"> REF _Ref225950738 \r \h </w:instrText>
      </w:r>
      <w:r>
        <w:fldChar w:fldCharType="separate"/>
      </w:r>
      <w:r>
        <w:t>5.2.1</w:t>
      </w:r>
      <w:r>
        <w:fldChar w:fldCharType="end"/>
      </w:r>
      <w:r>
        <w:t>)</w:t>
      </w:r>
    </w:p>
    <w:p w14:paraId="53E6A8A1" w14:textId="14D0CFDA">
      <w:pPr>
        <w:pStyle w:val="Lista2"/>
      </w:pPr>
      <w:r>
        <w:t>for the number denoted by the signs (§</w:t>
      </w:r>
      <w:r>
        <w:fldChar w:fldCharType="begin"/>
      </w:r>
      <w:r>
        <w:instrText xml:space="preserve"> REF _Ref43980607 \r \h  \* MERGEFORMAT </w:instrText>
      </w:r>
      <w:r>
        <w:fldChar w:fldCharType="separate"/>
      </w:r>
      <w:r>
        <w:t>9.1</w:t>
      </w:r>
      <w:r>
        <w:fldChar w:fldCharType="end"/>
      </w:r>
      <w:r>
        <w:t>)</w:t>
      </w:r>
    </w:p>
    <w:p w14:paraId="52E01B5A" w14:textId="77777777">
      <w:pPr>
        <w:pStyle w:val="Cmsor3"/>
      </w:pPr>
      <w:bookmarkStart w:id="323" w:name="_Ref225759775"/>
      <w:bookmarkStart w:id="324" w:name="_Toc243922632"/>
      <w:r>
        <w:t>When to use textpart divisions</w:t>
      </w:r>
      <w:bookmarkEnd w:id="323"/>
      <w:bookmarkEnd w:id="324"/>
    </w:p>
    <w:p w14:paraId="7A8636FD" w14:textId="77777777">
      <w:r>
        <w:t xml:space="preserve">Since most of the texts for which we create documentary editions are not long enough to warrant division into chapters on a purely semantic basis, in DHARMA encoding practice we strive to keep complexity down by restricting the use of textpart divisions to well-warranted situations where a major semantic division coincides with a conspicuous break in extrinsic structure. To continue our book analogy for structural elements, we prefer to create textpart divisions for units whose semantic independence is not merely like that of chapters in any book, but more like that of short stories in an anthology or scholarly articles in a compiled volume. This section identifies the specific situations for which we consider textpart divisions ideal or acceptable. </w:t>
      </w:r>
    </w:p>
    <w:p w14:paraId="09F88C50" w14:textId="2880A37A">
      <w:pPr>
        <w:pStyle w:val="Normlbehzs"/>
      </w:pPr>
      <w:r>
        <w:t>In any other case where you feel that textpart partitions may be relevant for a text partitioned into physical and semantic sections, consider carefully whether this encoding method is ideal, or if alternatives would be feasible (on which see also §</w:t>
      </w:r>
      <w:r>
        <w:fldChar w:fldCharType="begin"/>
      </w:r>
      <w:r>
        <w:instrText xml:space="preserve"> REF _Ref225781091 \r \h </w:instrText>
      </w:r>
      <w:r>
        <w:fldChar w:fldCharType="separate"/>
      </w:r>
      <w:r>
        <w:t>4.7.4.2</w:t>
      </w:r>
      <w:r>
        <w:fldChar w:fldCharType="end"/>
      </w:r>
      <w:r>
        <w:t>).</w:t>
      </w:r>
    </w:p>
    <w:p w14:paraId="1F2B8B0B" w14:textId="77777777">
      <w:pPr>
        <w:pStyle w:val="Cmsor4"/>
      </w:pPr>
      <w:r>
        <w:t>Copperplate sets with an inscribed seal</w:t>
      </w:r>
    </w:p>
    <w:p w14:paraId="6481DE64" w14:textId="066A9136">
      <w:r>
        <w:t xml:space="preserve">Since the seal text is not an integral part of the text of a copperplate charter, we always encode copperplate sets with inscribed seals as textpart divisions, as shown in </w:t>
      </w:r>
      <w:r>
        <w:fldChar w:fldCharType="begin"/>
      </w:r>
      <w:r>
        <w:instrText xml:space="preserve"> REF _Ref44078277 \h </w:instrText>
      </w:r>
      <w:r>
        <w:fldChar w:fldCharType="separate"/>
      </w:r>
      <w:r>
        <w:t xml:space="preserve">Exhibit </w:t>
      </w:r>
      <w:r>
        <w:rPr>
          <w:noProof/>
        </w:rPr>
        <w:t>4.7</w:t>
      </w:r>
      <w:r>
        <w:t>.</w:t>
      </w:r>
      <w:r>
        <w:rPr>
          <w:noProof/>
        </w:rPr>
        <w:t>H</w:t>
      </w:r>
      <w:r>
        <w:fldChar w:fldCharType="end"/>
      </w:r>
      <w:r>
        <w:t>.</w:t>
      </w:r>
    </w:p>
    <w:tbl>
      <w:tblPr>
        <w:tblStyle w:val="CodeSampleTable"/>
        <w:tblpPr w:leftFromText="180" w:rightFromText="180" w:vertAnchor="text" w:tblpXSpec="right" w:tblpY="1"/>
        <w:tblOverlap w:val="never"/>
        <w:tblW w:w="4536" w:type="dxa"/>
        <w:jc w:val="right"/>
        <w:tblLook w:val="04A0" w:firstRow="1" w:lastRow="0" w:firstColumn="1" w:lastColumn="0" w:noHBand="0" w:noVBand="1"/>
      </w:tblPr>
      <w:tblGrid>
        <w:gridCol w:w="4536"/>
      </w:tblGrid>
      <w:tr w14:paraId="039A863E" w14:textId="77777777">
        <w:trPr>
          <w:cnfStyle w:val="100000000000" w:firstRow="1" w:lastRow="0" w:firstColumn="0" w:lastColumn="0" w:oddVBand="0" w:evenVBand="0" w:oddHBand="0" w:evenHBand="0" w:firstRowFirstColumn="0" w:firstRowLastColumn="0" w:lastRowFirstColumn="0" w:lastRowLastColumn="0"/>
          <w:jc w:val="right"/>
        </w:trPr>
        <w:tc>
          <w:tcPr>
            <w:tcW w:w="5000" w:type="pct"/>
          </w:tcPr>
          <w:p w14:paraId="653D8169" w14:textId="03A61386">
            <w:pPr>
              <w:pStyle w:val="Kpalrs"/>
            </w:pPr>
            <w:bookmarkStart w:id="325" w:name="_Ref44078277"/>
            <w:r>
              <w:t xml:space="preserve">Exhibit </w:t>
            </w:r>
            <w:fldSimple w:instr=" STYLEREF 2 \s ">
              <w:r>
                <w:rPr>
                  <w:noProof/>
                </w:rPr>
                <w:t>4.7</w:t>
              </w:r>
            </w:fldSimple>
            <w:r>
              <w:t>.</w:t>
            </w:r>
            <w:fldSimple w:instr=" SEQ Exhibit \* ALPHABETIC \s 2 ">
              <w:r>
                <w:rPr>
                  <w:noProof/>
                </w:rPr>
                <w:t>H</w:t>
              </w:r>
            </w:fldSimple>
            <w:bookmarkEnd w:id="325"/>
            <w:r>
              <w:t>: copper plates with inscribed seal</w:t>
            </w:r>
          </w:p>
        </w:tc>
      </w:tr>
      <w:tr w14:paraId="1BB12EA3" w14:textId="77777777">
        <w:trPr>
          <w:jc w:val="right"/>
        </w:trPr>
        <w:tc>
          <w:tcPr>
            <w:tcW w:w="5000" w:type="pct"/>
          </w:tcPr>
          <w:p w14:paraId="5A1CBDFB" w14:textId="77777777">
            <w:pPr>
              <w:pStyle w:val="Image"/>
              <w:rPr>
                <w:rStyle w:val="Code"/>
              </w:rPr>
            </w:pPr>
            <w:r>
              <w:rPr>
                <w:rStyle w:val="Code"/>
              </w:rPr>
              <w:drawing>
                <wp:inline distT="0" distB="0" distL="0" distR="0" wp14:anchorId="34815381" wp14:editId="606D5A7F">
                  <wp:extent cx="2674800" cy="802800"/>
                  <wp:effectExtent l="0" t="0" r="0" b="0"/>
                  <wp:docPr id="7106047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74800" cy="802800"/>
                          </a:xfrm>
                          <a:prstGeom prst="rect">
                            <a:avLst/>
                          </a:prstGeom>
                          <a:noFill/>
                          <a:ln>
                            <a:noFill/>
                          </a:ln>
                        </pic:spPr>
                      </pic:pic>
                    </a:graphicData>
                  </a:graphic>
                </wp:inline>
              </w:drawing>
            </w:r>
          </w:p>
        </w:tc>
      </w:tr>
      <w:tr w14:paraId="3CE6A341" w14:textId="77777777">
        <w:trPr>
          <w:jc w:val="right"/>
        </w:trPr>
        <w:tc>
          <w:tcPr>
            <w:tcW w:w="5000" w:type="pct"/>
          </w:tcPr>
          <w:p w14:paraId="7756DEA1" w14:textId="77777777">
            <w:pPr>
              <w:pStyle w:val="CodeParagraph"/>
              <w:keepNext/>
              <w:rPr>
                <w:rStyle w:val="Code"/>
              </w:rPr>
            </w:pPr>
            <w:r>
              <w:rPr>
                <w:rStyle w:val="Code"/>
              </w:rPr>
              <w:t xml:space="preserve">&lt;div </w:t>
            </w:r>
            <w:r>
              <w:rPr>
                <w:rStyle w:val="Codeattribute"/>
              </w:rPr>
              <w:t>type</w:t>
            </w:r>
            <w:r>
              <w:rPr>
                <w:rStyle w:val="Code"/>
              </w:rPr>
              <w:t>=</w:t>
            </w:r>
            <w:r>
              <w:rPr>
                <w:rStyle w:val="Codevalue"/>
              </w:rPr>
              <w:t>"edition"</w:t>
            </w:r>
            <w:r>
              <w:rPr>
                <w:rStyle w:val="Code"/>
              </w:rPr>
              <w:t>&gt;</w:t>
            </w:r>
          </w:p>
          <w:p w14:paraId="5AA7C843" w14:textId="77777777">
            <w:pPr>
              <w:pStyle w:val="CodeParagraph"/>
              <w:keepNext/>
              <w:rPr>
                <w:rStyle w:val="Code"/>
              </w:rPr>
            </w:pPr>
            <w:r>
              <w:rPr>
                <w:rStyle w:val="Code"/>
              </w:rPr>
              <w:t xml:space="preserve">  &lt;div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&gt;</w:t>
            </w:r>
          </w:p>
          <w:p w14:paraId="71BAA341" w14:textId="77777777">
            <w:pPr>
              <w:pStyle w:val="CodeParagraph"/>
              <w:keepNext/>
              <w:rPr>
                <w:rStyle w:val="Code"/>
              </w:rPr>
            </w:pPr>
            <w:r>
              <w:rPr>
                <w:rStyle w:val="Code"/>
              </w:rPr>
              <w:t xml:space="preserve">    &lt;head </w:t>
            </w:r>
            <w:r>
              <w:rPr>
                <w:rStyle w:val="Codeattribute"/>
              </w:rPr>
              <w:t>xml:lang</w:t>
            </w:r>
            <w:r>
              <w:rPr>
                <w:rStyle w:val="Code"/>
              </w:rPr>
              <w:t>=</w:t>
            </w:r>
            <w:r>
              <w:rPr>
                <w:rStyle w:val="Codevalue"/>
              </w:rPr>
              <w:t>"eng"</w:t>
            </w:r>
            <w:r>
              <w:rPr>
                <w:rStyle w:val="Code"/>
              </w:rPr>
              <w:t>&gt;</w:t>
            </w:r>
            <w:r>
              <w:rPr>
                <w:rStyle w:val="Codetext"/>
              </w:rPr>
              <w:t>Seal</w:t>
            </w:r>
            <w:r>
              <w:rPr>
                <w:rStyle w:val="Code"/>
              </w:rPr>
              <w:t>&lt;/head&gt;</w:t>
            </w:r>
            <w:r>
              <w:rPr>
                <w:rStyle w:val="Codetext"/>
              </w:rPr>
              <w:br/>
              <w:t xml:space="preserve">    ...</w:t>
            </w:r>
            <w:r>
              <w:rPr>
                <w:rStyle w:val="Codetext"/>
              </w:rPr>
              <w:br/>
            </w:r>
            <w:r>
              <w:rPr>
                <w:rStyle w:val="Code"/>
              </w:rPr>
              <w:t xml:space="preserve">  &lt;/div&gt;</w:t>
            </w:r>
          </w:p>
          <w:p w14:paraId="2015EA8D" w14:textId="77777777">
            <w:pPr>
              <w:pStyle w:val="CodeParagraph"/>
              <w:keepNext/>
              <w:rPr>
                <w:rStyle w:val="Code"/>
              </w:rPr>
            </w:pPr>
            <w:r>
              <w:rPr>
                <w:rStyle w:val="Code"/>
              </w:rPr>
              <w:t xml:space="preserve">  &lt;div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"B"</w:t>
            </w:r>
            <w:r>
              <w:rPr>
                <w:rStyle w:val="Code"/>
              </w:rPr>
              <w:t>&gt;</w:t>
            </w:r>
          </w:p>
          <w:p w14:paraId="03D3F978" w14:textId="77777777">
            <w:pPr>
              <w:pStyle w:val="CodeParagraph"/>
              <w:keepNext/>
              <w:rPr>
                <w:rStyle w:val="Codetext"/>
              </w:rPr>
            </w:pPr>
            <w:r>
              <w:rPr>
                <w:rStyle w:val="Code"/>
              </w:rPr>
              <w:t xml:space="preserve">    &lt;head </w:t>
            </w:r>
            <w:r>
              <w:rPr>
                <w:rStyle w:val="Codeattribute"/>
              </w:rPr>
              <w:t>xml:lang</w:t>
            </w:r>
            <w:r>
              <w:rPr>
                <w:rStyle w:val="Code"/>
              </w:rPr>
              <w:t>=</w:t>
            </w:r>
            <w:r>
              <w:rPr>
                <w:rStyle w:val="Codevalue"/>
              </w:rPr>
              <w:t>"eng"</w:t>
            </w:r>
            <w:r>
              <w:rPr>
                <w:rStyle w:val="Code"/>
              </w:rPr>
              <w:t>&gt;</w:t>
            </w:r>
            <w:r>
              <w:rPr>
                <w:rStyle w:val="Codetext"/>
              </w:rPr>
              <w:t>Plates</w:t>
            </w:r>
            <w:r>
              <w:rPr>
                <w:rStyle w:val="Code"/>
              </w:rPr>
              <w:t>&lt;/head&gt;</w:t>
            </w:r>
            <w:r>
              <w:rPr>
                <w:rStyle w:val="Codetext"/>
              </w:rPr>
              <w:br/>
              <w:t xml:space="preserve">    ...</w:t>
            </w:r>
          </w:p>
          <w:p w14:paraId="761626B0" w14:textId="77777777">
            <w:pPr>
              <w:pStyle w:val="CodeParagraph"/>
              <w:keepNext/>
              <w:rPr>
                <w:rStyle w:val="Code"/>
              </w:rPr>
            </w:pPr>
            <w:r>
              <w:rPr>
                <w:rStyle w:val="Code"/>
              </w:rPr>
              <w:t xml:space="preserve">  &lt;/div&gt;</w:t>
            </w:r>
          </w:p>
          <w:p w14:paraId="4AD733AF" w14:textId="77777777">
            <w:pPr>
              <w:pStyle w:val="CodeParagraph"/>
              <w:keepNext/>
              <w:rPr>
                <w:rFonts w:ascii="Consolas" w:hAnsi="Consolas" w:cs="Consolas"/>
                <w:noProof/>
                <w:color w:val="002060"/>
                <w:shd w:val="clear" w:color="auto" w:fill="F2F2F2" w:themeFill="background1" w:themeFillShade="F2"/>
              </w:rPr>
            </w:pPr>
            <w:r>
              <w:rPr>
                <w:rStyle w:val="Code"/>
              </w:rPr>
              <w:t>&lt;/div&gt;</w:t>
            </w:r>
          </w:p>
        </w:tc>
      </w:tr>
      <w:tr w14:paraId="026EDB34" w14:textId="77777777">
        <w:trPr>
          <w:jc w:val="right"/>
        </w:trPr>
        <w:tc>
          <w:tcPr>
            <w:tcW w:w="5000" w:type="pct"/>
          </w:tcPr>
          <w:p w14:paraId="7711D6EB" w14:textId="6C95EC9B">
            <w:pPr>
              <w:pStyle w:val="TableNote"/>
              <w:rPr>
                <w:rStyle w:val="Code"/>
              </w:rPr>
            </w:pPr>
            <w:r>
              <w:t xml:space="preserve">complete encoded illustration: </w:t>
            </w:r>
            <w:r>
              <w:fldChar w:fldCharType="begin"/>
            </w:r>
            <w:r>
              <w:instrText xml:space="preserve"> REF _Ref239844290 \r \h </w:instrText>
            </w:r>
            <w:r>
              <w:fldChar w:fldCharType="separate"/>
            </w:r>
            <w:r>
              <w:t>Appendix A.2</w:t>
            </w:r>
            <w:r>
              <w:fldChar w:fldCharType="end"/>
            </w:r>
          </w:p>
        </w:tc>
      </w:tr>
    </w:tbl>
    <w:p w14:paraId="71DC07AB" w14:textId="77777777">
      <w:pPr>
        <w:pStyle w:val="Lista"/>
      </w:pPr>
      <w:r>
        <w:t>this applies to single or multiple plates provided with a seal inscription that is represented in the edition, regardless of whether the seal is soldered to a plate, attached with a ring to a set of plates, or currently detached</w:t>
      </w:r>
    </w:p>
    <w:p w14:paraId="211F2AA7" w14:textId="77777777">
      <w:pPr>
        <w:pStyle w:val="Lista2"/>
      </w:pPr>
      <w:r>
        <w:t>including seal inscriptions which are completely illegible and represented only as a lacuna</w:t>
      </w:r>
    </w:p>
    <w:p w14:paraId="43B41911" w14:textId="77777777">
      <w:pPr>
        <w:pStyle w:val="Lista2"/>
      </w:pPr>
      <w:r>
        <w:t>but excluding cases where no seal inscription is represented in the edition for any reason, such as</w:t>
      </w:r>
    </w:p>
    <w:p w14:paraId="6F327731" w14:textId="77777777">
      <w:pPr>
        <w:pStyle w:val="Lista3"/>
      </w:pPr>
      <w:r>
        <w:t>when the seal never bore an inscription</w:t>
      </w:r>
    </w:p>
    <w:p w14:paraId="7E1380B8" w14:textId="77777777">
      <w:pPr>
        <w:pStyle w:val="Lista3"/>
      </w:pPr>
      <w:r>
        <w:t>when the seal as a whole is lost</w:t>
      </w:r>
    </w:p>
    <w:p w14:paraId="4D3DFEAA" w14:textId="77777777">
      <w:pPr>
        <w:pStyle w:val="Lista"/>
      </w:pPr>
      <w:r>
        <w:t>for the sake of consistency throughout the corpus, the textpart for the seal text shall precede the textpart for the plates</w:t>
      </w:r>
    </w:p>
    <w:p w14:paraId="5E5FA848" w14:textId="77777777">
      <w:pPr>
        <w:pStyle w:val="Lista2"/>
      </w:pPr>
      <w:r>
        <w:t>unless the seal’s point of attachment is at the bottom of a single plate</w:t>
      </w:r>
    </w:p>
    <w:p w14:paraId="16C7BAE9" w14:textId="77777777">
      <w:pPr>
        <w:pStyle w:val="Lista"/>
      </w:pPr>
      <w:r>
        <w:t>should more than one inscribed seal be present, create separate textparts for each, in the sequence you deem most appropriate</w:t>
      </w:r>
    </w:p>
    <w:p w14:paraId="075A2D94" w14:textId="6DDDEF59">
      <w:pPr>
        <w:pStyle w:val="Lista"/>
      </w:pPr>
      <w:r>
        <w:t xml:space="preserve">the textparts shall be numbered normally, without </w:t>
      </w:r>
      <w:r>
        <w:rPr>
          <w:rStyle w:val="Codeattribute"/>
        </w:rPr>
        <w:t>@subtype</w:t>
      </w:r>
      <w:r>
        <w:t xml:space="preserve">, but with custom headings “Seal” and “Plates” as shown in </w:t>
      </w:r>
      <w:r>
        <w:fldChar w:fldCharType="begin"/>
      </w:r>
      <w:r>
        <w:instrText xml:space="preserve"> REF _Ref44078277 \h </w:instrText>
      </w:r>
      <w:r>
        <w:fldChar w:fldCharType="separate"/>
      </w:r>
      <w:r>
        <w:t xml:space="preserve">Exhibit </w:t>
      </w:r>
      <w:r>
        <w:rPr>
          <w:noProof/>
        </w:rPr>
        <w:t>4.7</w:t>
      </w:r>
      <w:r>
        <w:t>.</w:t>
      </w:r>
      <w:r>
        <w:rPr>
          <w:noProof/>
        </w:rPr>
        <w:t>H</w:t>
      </w:r>
      <w:r>
        <w:fldChar w:fldCharType="end"/>
      </w:r>
    </w:p>
    <w:p w14:paraId="29932B55" w14:textId="77777777">
      <w:pPr>
        <w:pStyle w:val="Lista2"/>
      </w:pPr>
      <w:r>
        <w:t>for more than one inscribed seal, use “First seal,” “Second seal,” etc. in the headings</w:t>
      </w:r>
    </w:p>
    <w:p w14:paraId="0DF227EF" w14:textId="77777777">
      <w:pPr>
        <w:pStyle w:val="Cmsor4"/>
      </w:pPr>
      <w:bookmarkStart w:id="326" w:name="_Ref225346692"/>
      <w:r>
        <w:lastRenderedPageBreak/>
        <w:t>Non-contiguous fragments</w:t>
      </w:r>
      <w:bookmarkEnd w:id="326"/>
    </w:p>
    <w:p w14:paraId="1DF2BD50" w14:textId="79DF1948">
      <w:pPr>
        <w:rPr>
          <w:lang w:eastAsia="en-US" w:bidi="ar-SA"/>
        </w:rPr>
      </w:pPr>
      <w:r>
        <w:rPr>
          <w:lang w:eastAsia="en-US" w:bidi="ar-SA"/>
        </w:rPr>
        <w:t xml:space="preserve">When an inscription survives in two or more fragments which were not physically contiguous on the unbroken support, it is usually not possible to reconstruct how many lines of text were lost between the two fragments. Sometimes, even the order in which the extant fragments were meant to be read may be doubtful. In such cases it is best to encode each fragment as a standalone textpart as in </w:t>
      </w:r>
      <w:r>
        <w:fldChar w:fldCharType="begin"/>
      </w:r>
      <w:r>
        <w:instrText xml:space="preserve"> REF _Ref44078070 \h </w:instrText>
      </w:r>
      <w:r>
        <w:fldChar w:fldCharType="separate"/>
      </w:r>
      <w:r>
        <w:t xml:space="preserve">Exhibit </w:t>
      </w:r>
      <w:r>
        <w:rPr>
          <w:noProof/>
        </w:rPr>
        <w:t>4.7</w:t>
      </w:r>
      <w:r>
        <w:t>.</w:t>
      </w:r>
      <w:r>
        <w:rPr>
          <w:noProof/>
        </w:rPr>
        <w:t>I</w:t>
      </w:r>
      <w:r>
        <w:fldChar w:fldCharType="end"/>
      </w:r>
      <w:r>
        <w:rPr>
          <w:lang w:eastAsia="en-US" w:bidi="ar-SA"/>
        </w:rPr>
        <w:t>, with the lines numbered separately in each.</w:t>
      </w:r>
    </w:p>
    <w:tbl>
      <w:tblPr>
        <w:tblStyle w:val="CodeSampleTable"/>
        <w:tblpPr w:leftFromText="180" w:rightFromText="180" w:vertAnchor="text" w:tblpXSpec="right" w:tblpY="1"/>
        <w:tblOverlap w:val="never"/>
        <w:tblW w:w="5103" w:type="dxa"/>
        <w:jc w:val="right"/>
        <w:tblLook w:val="04A0" w:firstRow="1" w:lastRow="0" w:firstColumn="1" w:lastColumn="0" w:noHBand="0" w:noVBand="1"/>
      </w:tblPr>
      <w:tblGrid>
        <w:gridCol w:w="5112"/>
      </w:tblGrid>
      <w:tr w14:paraId="5DAE62E2" w14:textId="77777777">
        <w:trPr>
          <w:cnfStyle w:val="100000000000" w:firstRow="1" w:lastRow="0" w:firstColumn="0" w:lastColumn="0" w:oddVBand="0" w:evenVBand="0" w:oddHBand="0" w:evenHBand="0" w:firstRowFirstColumn="0" w:firstRowLastColumn="0" w:lastRowFirstColumn="0" w:lastRowLastColumn="0"/>
          <w:jc w:val="right"/>
        </w:trPr>
        <w:tc>
          <w:tcPr>
            <w:tcW w:w="5000" w:type="pct"/>
          </w:tcPr>
          <w:p w14:paraId="04557677" w14:textId="4B881F92">
            <w:pPr>
              <w:pStyle w:val="Kpalrs"/>
              <w:keepLines/>
            </w:pPr>
            <w:bookmarkStart w:id="327" w:name="_Ref44078070"/>
            <w:r>
              <w:t xml:space="preserve">Exhibit </w:t>
            </w:r>
            <w:fldSimple w:instr=" STYLEREF 2 \s ">
              <w:r>
                <w:rPr>
                  <w:noProof/>
                </w:rPr>
                <w:t>4.7</w:t>
              </w:r>
            </w:fldSimple>
            <w:r>
              <w:t>.</w:t>
            </w:r>
            <w:fldSimple w:instr=" SEQ Exhibit \* ALPHABETIC \s 2 ">
              <w:r>
                <w:rPr>
                  <w:noProof/>
                </w:rPr>
                <w:t>I</w:t>
              </w:r>
            </w:fldSimple>
            <w:bookmarkEnd w:id="327"/>
            <w:r>
              <w:t>: non-contiguous fragments</w:t>
            </w:r>
          </w:p>
        </w:tc>
      </w:tr>
      <w:tr w14:paraId="579AB990" w14:textId="77777777">
        <w:trPr>
          <w:jc w:val="right"/>
        </w:trPr>
        <w:tc>
          <w:tcPr>
            <w:tcW w:w="5000" w:type="pct"/>
          </w:tcPr>
          <w:p w14:paraId="06146606" w14:textId="77777777">
            <w:pPr>
              <w:pStyle w:val="Image"/>
            </w:pPr>
            <w:r>
              <w:drawing>
                <wp:inline distT="0" distB="0" distL="0" distR="0" wp14:anchorId="5E35A3C9" wp14:editId="4AD93434">
                  <wp:extent cx="3240000" cy="2203200"/>
                  <wp:effectExtent l="0" t="0" r="0" b="6985"/>
                  <wp:docPr id="872493282"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40000" cy="2203200"/>
                          </a:xfrm>
                          <a:prstGeom prst="rect">
                            <a:avLst/>
                          </a:prstGeom>
                          <a:noFill/>
                          <a:ln>
                            <a:noFill/>
                          </a:ln>
                        </pic:spPr>
                      </pic:pic>
                    </a:graphicData>
                  </a:graphic>
                </wp:inline>
              </w:drawing>
            </w:r>
          </w:p>
        </w:tc>
      </w:tr>
      <w:tr w14:paraId="1671AF1C" w14:textId="77777777">
        <w:trPr>
          <w:jc w:val="right"/>
        </w:trPr>
        <w:tc>
          <w:tcPr>
            <w:tcW w:w="5000" w:type="pct"/>
          </w:tcPr>
          <w:p w14:paraId="65CDAACB" w14:textId="77777777">
            <w:pPr>
              <w:pStyle w:val="CodeParagraph"/>
              <w:keepLines/>
              <w:rPr>
                <w:rStyle w:val="Code"/>
              </w:rPr>
            </w:pPr>
            <w:r>
              <w:rPr>
                <w:rStyle w:val="Code"/>
              </w:rPr>
              <w:t xml:space="preserve">&lt;div </w:t>
            </w:r>
            <w:r>
              <w:rPr>
                <w:rStyle w:val="Codeattribute"/>
              </w:rPr>
              <w:t>type</w:t>
            </w:r>
            <w:r>
              <w:rPr>
                <w:rStyle w:val="Code"/>
              </w:rPr>
              <w:t>=</w:t>
            </w:r>
            <w:r>
              <w:rPr>
                <w:rStyle w:val="Codevalue"/>
              </w:rPr>
              <w:t>"edition"</w:t>
            </w:r>
            <w:r>
              <w:rPr>
                <w:rStyle w:val="Code"/>
              </w:rPr>
              <w:t>&gt;</w:t>
            </w:r>
          </w:p>
          <w:p w14:paraId="1E1E13A7" w14:textId="77777777">
            <w:pPr>
              <w:pStyle w:val="CodeParagraph"/>
              <w:keepLines/>
              <w:rPr>
                <w:rStyle w:val="Codetext"/>
              </w:rPr>
            </w:pPr>
            <w:r>
              <w:rPr>
                <w:rStyle w:val="Code"/>
              </w:rPr>
              <w:t xml:space="preserve">  &lt;div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br/>
              <w:t xml:space="preserve">    ...</w:t>
            </w:r>
          </w:p>
          <w:p w14:paraId="02E4A259" w14:textId="77777777">
            <w:pPr>
              <w:pStyle w:val="CodeParagraph"/>
              <w:keepLines/>
              <w:rPr>
                <w:rStyle w:val="Code"/>
              </w:rPr>
            </w:pPr>
            <w:r>
              <w:rPr>
                <w:rStyle w:val="Code"/>
              </w:rPr>
              <w:t xml:space="preserve">  &lt;/div&gt;</w:t>
            </w:r>
          </w:p>
          <w:p w14:paraId="1834D80C" w14:textId="77777777">
            <w:pPr>
              <w:pStyle w:val="CodeParagraph"/>
              <w:keepLines/>
              <w:rPr>
                <w:rStyle w:val="Codetext"/>
              </w:rPr>
            </w:pPr>
            <w:r>
              <w:rPr>
                <w:rStyle w:val="Code"/>
              </w:rPr>
              <w:t xml:space="preserve">  &lt;div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br/>
              <w:t xml:space="preserve">    ...</w:t>
            </w:r>
          </w:p>
          <w:p w14:paraId="3E51022E" w14:textId="77777777">
            <w:pPr>
              <w:pStyle w:val="CodeParagraph"/>
              <w:keepLines/>
              <w:rPr>
                <w:rStyle w:val="Code"/>
              </w:rPr>
            </w:pPr>
            <w:r>
              <w:rPr>
                <w:rStyle w:val="Code"/>
              </w:rPr>
              <w:t xml:space="preserve">  &lt;/div&gt;</w:t>
            </w:r>
          </w:p>
          <w:p w14:paraId="44CD6392" w14:textId="77777777">
            <w:pPr>
              <w:pStyle w:val="CodeParagraph"/>
              <w:keepLines/>
              <w:rPr>
                <w:rFonts w:ascii="Consolas" w:hAnsi="Consolas" w:cs="Consolas"/>
                <w:noProof/>
                <w:color w:val="002060"/>
                <w:shd w:val="clear" w:color="auto" w:fill="F2F2F2" w:themeFill="background1" w:themeFillShade="F2"/>
              </w:rPr>
            </w:pPr>
            <w:r>
              <w:rPr>
                <w:rStyle w:val="Code"/>
              </w:rPr>
              <w:t>&lt;/div&gt;</w:t>
            </w:r>
          </w:p>
        </w:tc>
      </w:tr>
      <w:tr w14:paraId="111E0595" w14:textId="77777777">
        <w:trPr>
          <w:jc w:val="right"/>
        </w:trPr>
        <w:tc>
          <w:tcPr>
            <w:tcW w:w="5000" w:type="pct"/>
          </w:tcPr>
          <w:p w14:paraId="22577B33" w14:textId="041903AD">
            <w:pPr>
              <w:pStyle w:val="TableNote"/>
              <w:rPr>
                <w:rStyle w:val="Code"/>
              </w:rPr>
            </w:pPr>
            <w:r>
              <w:t xml:space="preserve">complete encoded illustration: </w:t>
            </w:r>
            <w:r>
              <w:fldChar w:fldCharType="begin"/>
            </w:r>
            <w:r>
              <w:instrText xml:space="preserve"> REF _Ref239844299 \r \h </w:instrText>
            </w:r>
            <w:r>
              <w:fldChar w:fldCharType="separate"/>
            </w:r>
            <w:r>
              <w:t>Appendix A.1</w:t>
            </w:r>
            <w:r>
              <w:fldChar w:fldCharType="end"/>
            </w:r>
          </w:p>
        </w:tc>
      </w:tr>
    </w:tbl>
    <w:p w14:paraId="47C8E57E" w14:textId="77777777">
      <w:pPr>
        <w:pStyle w:val="Lista"/>
      </w:pPr>
      <w:r>
        <w:t>this applies whenever the text connecting the extant parts of the text is not represented at all in the edition</w:t>
      </w:r>
    </w:p>
    <w:p w14:paraId="0118EDBE" w14:textId="77777777">
      <w:pPr>
        <w:pStyle w:val="Lista2"/>
      </w:pPr>
      <w:r>
        <w:t>such a situation might also come about in an inscription that is not fragmented, but so thoroughly worn in the middle that its lines cannot even be counted, much less read</w:t>
      </w:r>
    </w:p>
    <w:p w14:paraId="346532C5" w14:textId="77777777">
      <w:pPr>
        <w:pStyle w:val="Lista2"/>
      </w:pPr>
      <w:r>
        <w:t>however, if the connecting text is represented, even if only so far as its basic structure (e.g. lines, copperplate pages), then the fragments need not and should not be encoded as textparts</w:t>
      </w:r>
    </w:p>
    <w:p w14:paraId="29597182" w14:textId="2198E75C">
      <w:pPr>
        <w:pStyle w:val="Lista2"/>
      </w:pPr>
      <w:r>
        <w:t>see also §</w:t>
      </w:r>
      <w:r>
        <w:fldChar w:fldCharType="begin"/>
      </w:r>
      <w:r>
        <w:instrText xml:space="preserve"> REF _Ref43981711 \w \h  \* MERGEFORMAT </w:instrText>
      </w:r>
      <w:r>
        <w:fldChar w:fldCharType="separate"/>
      </w:r>
      <w:r>
        <w:t>6.5.4</w:t>
      </w:r>
      <w:r>
        <w:fldChar w:fldCharType="end"/>
      </w:r>
      <w:r>
        <w:t xml:space="preserve"> about encoding massive lacunae without resorting to textparts</w:t>
      </w:r>
    </w:p>
    <w:p w14:paraId="67644135" w14:textId="77777777">
      <w:pPr>
        <w:pStyle w:val="Lista"/>
      </w:pPr>
      <w:r>
        <w:t>the textparts shall be created in the sequence you deem most appropriate</w:t>
      </w:r>
    </w:p>
    <w:p w14:paraId="0C26808F" w14:textId="6380FD67">
      <w:pPr>
        <w:pStyle w:val="Lista"/>
        <w:rPr>
          <w:rStyle w:val="Codevalue"/>
          <w:rFonts w:ascii="Gentium" w:eastAsiaTheme="minorEastAsia" w:hAnsi="Gentium" w:cs="Tiro Devanagari Sanskrit"/>
          <w:noProof w:val="0"/>
          <w:color w:val="auto"/>
          <w:shd w:val="clear" w:color="auto" w:fill="auto"/>
        </w:rPr>
      </w:pPr>
      <w:r>
        <w:t xml:space="preserve">the textparts shall be numbered normally, with </w:t>
      </w:r>
      <w:r>
        <w:rPr>
          <w:rStyle w:val="Codeattribute"/>
        </w:rPr>
        <w:t>@subtype=</w:t>
      </w:r>
      <w:r>
        <w:rPr>
          <w:rStyle w:val="Codevalue"/>
        </w:rPr>
        <w:t>"fragment"</w:t>
      </w:r>
      <w:r>
        <w:t xml:space="preserve"> as shown in </w:t>
      </w:r>
      <w:r>
        <w:fldChar w:fldCharType="begin"/>
      </w:r>
      <w:r>
        <w:instrText xml:space="preserve"> REF _Ref44078070 \h </w:instrText>
      </w:r>
      <w:r>
        <w:fldChar w:fldCharType="separate"/>
      </w:r>
      <w:r>
        <w:t xml:space="preserve">Exhibit </w:t>
      </w:r>
      <w:r>
        <w:rPr>
          <w:noProof/>
        </w:rPr>
        <w:t>4.7</w:t>
      </w:r>
      <w:r>
        <w:t>.</w:t>
      </w:r>
      <w:r>
        <w:rPr>
          <w:noProof/>
        </w:rPr>
        <w:t>I</w:t>
      </w:r>
      <w:r>
        <w:fldChar w:fldCharType="end"/>
      </w:r>
    </w:p>
    <w:p w14:paraId="3C1EB821" w14:textId="77777777">
      <w:pPr>
        <w:pStyle w:val="Lista2"/>
      </w:pPr>
      <w:r>
        <w:t>resulting in auto-generated headings such as “Fragment A”</w:t>
      </w:r>
    </w:p>
    <w:p w14:paraId="018A9D17" w14:textId="094DE79F">
      <w:pPr>
        <w:pStyle w:val="Lista2"/>
      </w:pPr>
      <w:r>
        <w:t xml:space="preserve">alternatively, you may choose to use descriptive custom headings, for example as shown in </w:t>
      </w:r>
      <w:r>
        <w:fldChar w:fldCharType="begin"/>
      </w:r>
      <w:r>
        <w:instrText xml:space="preserve"> REF _Ref44078271 \h </w:instrText>
      </w:r>
      <w:r>
        <w:fldChar w:fldCharType="separate"/>
      </w:r>
      <w:r>
        <w:t xml:space="preserve">Exhibit </w:t>
      </w:r>
      <w:r>
        <w:rPr>
          <w:noProof/>
        </w:rPr>
        <w:t>4.2</w:t>
      </w:r>
      <w:r>
        <w:t>.</w:t>
      </w:r>
      <w:r>
        <w:rPr>
          <w:noProof/>
        </w:rPr>
        <w:t>B</w:t>
      </w:r>
      <w:r>
        <w:fldChar w:fldCharType="end"/>
      </w:r>
    </w:p>
    <w:p w14:paraId="3DB91954" w14:textId="0BF278AB">
      <w:pPr>
        <w:pStyle w:val="Lista"/>
      </w:pPr>
      <w:r>
        <w:t>incomplete block-level containers on any fragment shall be encoded as per §</w:t>
      </w:r>
      <w:r>
        <w:fldChar w:fldCharType="begin"/>
      </w:r>
      <w:r>
        <w:instrText xml:space="preserve"> REF _Ref228980509 \r \h </w:instrText>
      </w:r>
      <w:r>
        <w:fldChar w:fldCharType="separate"/>
      </w:r>
      <w:r>
        <w:t>3.2.3.1</w:t>
      </w:r>
      <w:r>
        <w:fldChar w:fldCharType="end"/>
      </w:r>
    </w:p>
    <w:p w14:paraId="010D782C" w14:textId="77777777">
      <w:pPr>
        <w:pStyle w:val="Cmsor4"/>
      </w:pPr>
      <w:bookmarkStart w:id="328" w:name="_Ref225178060"/>
      <w:r>
        <w:t>Trial engravings</w:t>
      </w:r>
      <w:bookmarkEnd w:id="328"/>
      <w:r>
        <w:t xml:space="preserve"> </w:t>
      </w:r>
    </w:p>
    <w:p w14:paraId="7CC7E7F4" w14:textId="77777777">
      <w:r>
        <w:t>Trial engravings are short, often unintelligible, pieces of text outside the campus of the main inscription, which were presumably created for testing purposes before engraving the actual inscriptions and were probably not visible when the finished inscription was displayed in its original setting. We always encode trial engravings as textpart divisions.</w:t>
      </w:r>
    </w:p>
    <w:p w14:paraId="1C1A6FC8" w14:textId="77777777">
      <w:pPr>
        <w:pStyle w:val="Lista"/>
      </w:pPr>
      <w:r>
        <w:t>textparts for trial engravings may be created before or after the textpart for the main inscription as you deem fit</w:t>
      </w:r>
    </w:p>
    <w:p w14:paraId="3D3F1F80" w14:textId="77777777">
      <w:pPr>
        <w:pStyle w:val="Lista"/>
      </w:pPr>
      <w:r>
        <w:t xml:space="preserve">the textparts shall be numbered normally, with </w:t>
      </w:r>
      <w:r>
        <w:rPr>
          <w:rStyle w:val="Codeattribute"/>
        </w:rPr>
        <w:t>@subtype=</w:t>
      </w:r>
      <w:r>
        <w:rPr>
          <w:rStyle w:val="Codevalue"/>
        </w:rPr>
        <w:t>"trial"</w:t>
      </w:r>
      <w:r>
        <w:t xml:space="preserve"> for the trial engravings and no </w:t>
      </w:r>
      <w:r>
        <w:rPr>
          <w:rStyle w:val="Codeattribute"/>
        </w:rPr>
        <w:t>@subtype</w:t>
      </w:r>
      <w:r>
        <w:t xml:space="preserve"> for the main inscription (unless one is warranted for some reason beyond the fact that it is accompanied by trial engravings)</w:t>
      </w:r>
    </w:p>
    <w:p w14:paraId="39A85528" w14:textId="77777777">
      <w:pPr>
        <w:pStyle w:val="Lista2"/>
      </w:pPr>
      <w:r>
        <w:t xml:space="preserve">this value of </w:t>
      </w:r>
      <w:r>
        <w:rPr>
          <w:rStyle w:val="Codeattribute"/>
        </w:rPr>
        <w:t>@subtype</w:t>
      </w:r>
      <w:r>
        <w:t xml:space="preserve"> is an exception to the general preference for classifying textparts purely on the basis of physical nature, in order to facilitate searching the corpus for trial engravings</w:t>
      </w:r>
    </w:p>
    <w:p w14:paraId="09D7A957" w14:textId="77777777">
      <w:pPr>
        <w:pStyle w:val="Lista"/>
      </w:pPr>
      <w:r>
        <w:t xml:space="preserve">a custom heading may be created at your discretion, but </w:t>
      </w:r>
      <w:r>
        <w:rPr>
          <w:rStyle w:val="Codeattribute"/>
        </w:rPr>
        <w:t>@subtype=</w:t>
      </w:r>
      <w:r>
        <w:rPr>
          <w:rStyle w:val="Codevalue"/>
        </w:rPr>
        <w:t>"trial"</w:t>
      </w:r>
      <w:r>
        <w:t xml:space="preserve"> must always be present on the trial textparts</w:t>
      </w:r>
    </w:p>
    <w:p w14:paraId="31881EDC" w14:textId="77777777">
      <w:pPr>
        <w:pStyle w:val="Cmsor4"/>
      </w:pPr>
      <w:bookmarkStart w:id="329" w:name="_gwyk1jzb0av6" w:colFirst="0" w:colLast="0"/>
      <w:bookmarkStart w:id="330" w:name="_Ref231898382"/>
      <w:bookmarkStart w:id="331" w:name="_Ref43990385"/>
      <w:bookmarkEnd w:id="329"/>
      <w:r>
        <w:t>Same message in different languages</w:t>
      </w:r>
      <w:bookmarkEnd w:id="330"/>
    </w:p>
    <w:p w14:paraId="4E14B6DC" w14:textId="77777777">
      <w:pPr>
        <w:rPr>
          <w:lang w:eastAsia="en-US" w:bidi="ar-SA"/>
        </w:rPr>
      </w:pPr>
      <w:r>
        <w:rPr>
          <w:lang w:eastAsia="en-US" w:bidi="ar-SA"/>
        </w:rPr>
        <w:t>When two inscriptions on the same support or on associated supports carry an identical (or closely related) message in two (or more) separate languages, these can be encoded as textpart divisions.</w:t>
      </w:r>
    </w:p>
    <w:p w14:paraId="0BB80711" w14:textId="77777777">
      <w:pPr>
        <w:pStyle w:val="Lista"/>
      </w:pPr>
      <w:r>
        <w:t>this applies whenever the two inscriptions are connected closely enough to be recognised as parts of a single epigraphic installation, but nonetheless separate in layout</w:t>
      </w:r>
    </w:p>
    <w:p w14:paraId="2DF3D54B" w14:textId="77777777">
      <w:pPr>
        <w:pStyle w:val="Lista2"/>
      </w:pPr>
      <w:r>
        <w:lastRenderedPageBreak/>
        <w:t>language change within a single integral inscription must not be encoded with textpart divisions</w:t>
      </w:r>
    </w:p>
    <w:p w14:paraId="7E4A67F9" w14:textId="1220F7DD">
      <w:pPr>
        <w:pStyle w:val="Lista2"/>
      </w:pPr>
      <w:r>
        <w:t>for further guidance on multilingual inscriptions, including the encoding of language, see §</w:t>
      </w:r>
      <w:r>
        <w:fldChar w:fldCharType="begin"/>
      </w:r>
      <w:r>
        <w:instrText xml:space="preserve"> REF _Ref232089615 \r \h </w:instrText>
      </w:r>
      <w:r>
        <w:fldChar w:fldCharType="separate"/>
      </w:r>
      <w:r>
        <w:t>8.1.2</w:t>
      </w:r>
      <w:r>
        <w:fldChar w:fldCharType="end"/>
      </w:r>
      <w:r>
        <w:t xml:space="preserve"> </w:t>
      </w:r>
    </w:p>
    <w:p w14:paraId="0783B179" w14:textId="77777777">
      <w:pPr>
        <w:pStyle w:val="Lista"/>
      </w:pPr>
      <w:r>
        <w:t>create the textparts in the order you deem most appropriate</w:t>
      </w:r>
    </w:p>
    <w:p w14:paraId="623C25BA" w14:textId="77777777">
      <w:pPr>
        <w:pStyle w:val="Lista"/>
      </w:pPr>
      <w:r>
        <w:t xml:space="preserve">the textparts shall be numbered normally, with </w:t>
      </w:r>
      <w:r>
        <w:rPr>
          <w:rStyle w:val="Codeattribute"/>
        </w:rPr>
        <w:t>@subtype</w:t>
      </w:r>
      <w:r>
        <w:t xml:space="preserve"> or custom headings at your discretion</w:t>
      </w:r>
    </w:p>
    <w:p w14:paraId="3880484E" w14:textId="77777777">
      <w:pPr>
        <w:pStyle w:val="Cmsor4"/>
      </w:pPr>
      <w:r>
        <w:t>No obvious reading order</w:t>
      </w:r>
    </w:p>
    <w:p w14:paraId="2C62BC38" w14:textId="77777777">
      <w:r>
        <w:t>When, for whatever reason, there is no obvious order in which physically and semantically distinct zones of text ought to be read, but there is nevertheless good reason for treating them as a single document rather than as separate inscriptions, you may choose to encode them as textpart divisions.</w:t>
      </w:r>
    </w:p>
    <w:p w14:paraId="62DB68B0" w14:textId="77777777">
      <w:pPr>
        <w:pStyle w:val="Lista"/>
      </w:pPr>
      <w:r>
        <w:t>this applies in particular to multiple short inscriptions engraved on various parts of a support such as a rock face, a monument or a sculpture</w:t>
      </w:r>
    </w:p>
    <w:p w14:paraId="164C188F" w14:textId="77777777">
      <w:pPr>
        <w:pStyle w:val="Lista2"/>
      </w:pPr>
      <w:r>
        <w:t>if there is reason to believe that the inscriptions do not constitute a semantic whole and/or that they were engraved on separate occasions (as for instance various graffiti on a monument), then it is preferable to encode each as a separate edition</w:t>
      </w:r>
    </w:p>
    <w:p w14:paraId="0056D9A7" w14:textId="3F3267FC">
      <w:pPr>
        <w:pStyle w:val="Lista"/>
      </w:pPr>
      <w:r>
        <w:t>create the textparts in the order you deem most appropriate</w:t>
      </w:r>
    </w:p>
    <w:p w14:paraId="1EE89BE2" w14:textId="77777777">
      <w:pPr>
        <w:pStyle w:val="Lista"/>
      </w:pPr>
      <w:r>
        <w:t xml:space="preserve">the textparts shall be numbered normally, with </w:t>
      </w:r>
      <w:r>
        <w:rPr>
          <w:rStyle w:val="Codeattribute"/>
        </w:rPr>
        <w:t>@subtype</w:t>
      </w:r>
      <w:r>
        <w:t xml:space="preserve"> or custom headings at your discretion</w:t>
      </w:r>
    </w:p>
    <w:p w14:paraId="5CB0FA21" w14:textId="77777777">
      <w:pPr>
        <w:pStyle w:val="Lista2"/>
      </w:pPr>
      <w:r>
        <w:t xml:space="preserve">custom headers such as “Head”, “Halo”, “Back” and “Pedestal” </w:t>
      </w:r>
      <w:r>
        <w:rPr>
          <w:noProof/>
        </w:rPr>
        <w:t>(</w:t>
      </w:r>
      <w:r>
        <w:t>etc.) are recommended for inscriptions on various parts of a statue</w:t>
      </w:r>
    </w:p>
    <w:p w14:paraId="0C78A1BA" w14:textId="77777777">
      <w:pPr>
        <w:pStyle w:val="Cmsor4"/>
      </w:pPr>
      <w:bookmarkStart w:id="332" w:name="_Ref225782390"/>
      <w:r>
        <w:t>Complex, hierarchical extrinsic structure</w:t>
      </w:r>
      <w:bookmarkEnd w:id="332"/>
    </w:p>
    <w:p w14:paraId="0AE118F7" w14:textId="248D5571">
      <w:r>
        <w:t>If an inscription is written in several distinct zones and one or more of these zones are further subdivided, this cannot be represented in our encoding because for practical reasons we have chosen not to employ more than one kind of pagelike partition in a division (§</w:t>
      </w:r>
      <w:r>
        <w:fldChar w:fldCharType="begin"/>
      </w:r>
      <w:r>
        <w:instrText xml:space="preserve"> REF _Ref182923075 \r \h </w:instrText>
      </w:r>
      <w:r>
        <w:fldChar w:fldCharType="separate"/>
      </w:r>
      <w:r>
        <w:t>4.1</w:t>
      </w:r>
      <w:r>
        <w:fldChar w:fldCharType="end"/>
      </w:r>
      <w:r>
        <w:t xml:space="preserve">). If you are certain that the hierarchical structure must be reflected in your encoded edition, you may choose to employ textpart divisions for the top level of such a hierarchical structure, and pagelike partitions within one or more of the divisions as applicable. Keep in mind, however, that there is no solid advantage to attempting to faithfully represent every detail of a structurally complex document in your encoding. Creating separate editions </w:t>
      </w:r>
      <w:r>
        <w:rPr>
          <w:noProof/>
        </w:rPr>
        <w:t>(</w:t>
      </w:r>
      <w:r>
        <w:t>in separate XML documents) is also a viable alternative to creating textparts in a single edition, especially if the parts concerned are integral in themselves, if they have little semantic connection, and especially if they were engraved on separate occasions or on separate objects.</w:t>
      </w:r>
    </w:p>
    <w:p w14:paraId="78877EA3" w14:textId="77777777">
      <w:pPr>
        <w:pStyle w:val="Cmsor3"/>
      </w:pPr>
      <w:bookmarkStart w:id="333" w:name="_Ref225759789"/>
      <w:bookmarkStart w:id="334" w:name="_Toc243922633"/>
      <w:bookmarkEnd w:id="331"/>
      <w:r>
        <w:t>When to use pagelike partitions</w:t>
      </w:r>
      <w:bookmarkEnd w:id="333"/>
      <w:bookmarkEnd w:id="334"/>
    </w:p>
    <w:p w14:paraId="01123B4A" w14:textId="77777777">
      <w:r>
        <w:t xml:space="preserve">The use of the </w:t>
      </w:r>
      <w:r>
        <w:rPr>
          <w:rStyle w:val="Code"/>
        </w:rPr>
        <w:t>&lt;pb/&gt;</w:t>
      </w:r>
      <w:r>
        <w:t xml:space="preserve"> element is restricted in DHARMA practice to genuine pages, i.e. the sides of effectively two-dimensional sheets of a thin material. Other pagelike partitions, encoded with </w:t>
      </w:r>
      <w:r>
        <w:rPr>
          <w:rStyle w:val="Code"/>
        </w:rPr>
        <w:t xml:space="preserve">&lt;milestone </w:t>
      </w:r>
      <w:r>
        <w:rPr>
          <w:rStyle w:val="Codeattribute"/>
        </w:rPr>
        <w:t>type=</w:t>
      </w:r>
      <w:r>
        <w:rPr>
          <w:rStyle w:val="Codevalue"/>
        </w:rPr>
        <w:t>"pagelike"</w:t>
      </w:r>
      <w:r>
        <w:rPr>
          <w:rStyle w:val="Code"/>
        </w:rPr>
        <w:t>&gt;</w:t>
      </w:r>
      <w:r>
        <w:t>, can also occur on stone and other supports. When deciding whether to encode a pagelike partition, the questions to ask yourself is whether the visual separation of the zones is strong enough to warrant a partition at all, and if yes, whether the semantic distinctness of the zones is strong enough to warrant a boxlike (rather than a pagelike) partition.</w:t>
      </w:r>
    </w:p>
    <w:p w14:paraId="337933F7" w14:textId="77777777">
      <w:pPr>
        <w:pStyle w:val="Cmsor4"/>
      </w:pPr>
      <w:bookmarkStart w:id="335" w:name="_Ref225781502"/>
      <w:r>
        <w:t>A pagelike partition is not always necessary</w:t>
      </w:r>
      <w:bookmarkEnd w:id="335"/>
    </w:p>
    <w:p w14:paraId="4BCB5968" w14:textId="554FAE2C">
      <w:r>
        <w:t xml:space="preserve">Sections of a reasonably coherent text are sometimes separated by vertical </w:t>
      </w:r>
      <w:r>
        <w:rPr>
          <w:noProof/>
        </w:rPr>
        <w:t>(</w:t>
      </w:r>
      <w:r>
        <w:t>interlinear) space in what is otherwise a fairly well-defined single zone. If the first or last line (or few lines) of an inscription are set apart visually from the rest, see §</w:t>
      </w:r>
      <w:r>
        <w:fldChar w:fldCharType="begin"/>
      </w:r>
      <w:r>
        <w:instrText xml:space="preserve"> REF _Ref225779703 \r \h </w:instrText>
      </w:r>
      <w:r>
        <w:fldChar w:fldCharType="separate"/>
      </w:r>
      <w:r>
        <w:t>4.7.1</w:t>
      </w:r>
      <w:r>
        <w:fldChar w:fldCharType="end"/>
      </w:r>
      <w:r>
        <w:t xml:space="preserve"> for the relevant encoding. Otherwise, choose one of the following options depending on your judgement of the degree to which the sections are semantically and physically distinct.</w:t>
      </w:r>
    </w:p>
    <w:p w14:paraId="5331C57B" w14:textId="2E67DE88">
      <w:pPr>
        <w:pStyle w:val="Lista"/>
      </w:pPr>
      <w:r>
        <w:t xml:space="preserve">if there is </w:t>
      </w:r>
      <w:r>
        <w:rPr>
          <w:b/>
          <w:bCs/>
        </w:rPr>
        <w:t>little to no</w:t>
      </w:r>
      <w:r>
        <w:t xml:space="preserve"> semantic discontinuity between the sections, and the physical separation is not very emphatic, as in </w:t>
      </w:r>
      <w:r>
        <w:fldChar w:fldCharType="begin"/>
      </w:r>
      <w:r>
        <w:instrText xml:space="preserve"> REF _Ref225779765 \h </w:instrText>
      </w:r>
      <w:r>
        <w:fldChar w:fldCharType="separate"/>
      </w:r>
      <w:r>
        <w:t xml:space="preserve">Exhibit </w:t>
      </w:r>
      <w:r>
        <w:rPr>
          <w:noProof/>
        </w:rPr>
        <w:t>4.7</w:t>
      </w:r>
      <w:r>
        <w:t>.</w:t>
      </w:r>
      <w:r>
        <w:rPr>
          <w:noProof/>
        </w:rPr>
        <w:t>J</w:t>
      </w:r>
      <w:r>
        <w:fldChar w:fldCharType="end"/>
      </w:r>
      <w:r>
        <w:t>, then encode the text as a single unit, ignoring the interlinear space in your edition and only describing it in your annotation</w:t>
      </w:r>
    </w:p>
    <w:p w14:paraId="3771E7FC" w14:textId="21A0CAA0">
      <w:pPr>
        <w:pStyle w:val="Lista2"/>
      </w:pPr>
      <w:r>
        <w:t>since epigraphic lines may appear in any visual arrangement (§</w:t>
      </w:r>
      <w:r>
        <w:fldChar w:fldCharType="begin"/>
      </w:r>
      <w:r>
        <w:instrText xml:space="preserve"> REF _Ref224720139 \r \h </w:instrText>
      </w:r>
      <w:r>
        <w:fldChar w:fldCharType="separate"/>
      </w:r>
      <w:r>
        <w:t>4.5</w:t>
      </w:r>
      <w:r>
        <w:fldChar w:fldCharType="end"/>
      </w:r>
      <w:r>
        <w:t>), encoding one line after another does not assert that the lines are equidistant</w:t>
      </w:r>
    </w:p>
    <w:p w14:paraId="27DD8265" w14:textId="3FE3864F">
      <w:pPr>
        <w:pStyle w:val="Lista"/>
      </w:pPr>
      <w:r>
        <w:t xml:space="preserve">if the sections are </w:t>
      </w:r>
      <w:r>
        <w:rPr>
          <w:b/>
          <w:bCs/>
        </w:rPr>
        <w:t>semantically separate</w:t>
      </w:r>
      <w:r>
        <w:t xml:space="preserve"> and/or the </w:t>
      </w:r>
      <w:r>
        <w:rPr>
          <w:b/>
          <w:bCs/>
        </w:rPr>
        <w:t>physical separation is emphasized</w:t>
      </w:r>
      <w:r>
        <w:t xml:space="preserve"> (for instance by a large space or by a carved feature), then encode pagelike partitions as per §</w:t>
      </w:r>
      <w:r>
        <w:fldChar w:fldCharType="begin"/>
      </w:r>
      <w:r>
        <w:instrText xml:space="preserve"> REF _Ref233982406 \r \h </w:instrText>
      </w:r>
      <w:r>
        <w:fldChar w:fldCharType="separate"/>
      </w:r>
      <w:r>
        <w:t>4.4</w:t>
      </w:r>
      <w:r>
        <w:fldChar w:fldCharType="end"/>
      </w:r>
    </w:p>
    <w:p w14:paraId="77E019FB" w14:textId="3BF3B87C">
      <w:pPr>
        <w:pStyle w:val="Lista"/>
      </w:pPr>
      <w:r>
        <w:lastRenderedPageBreak/>
        <w:t>if the sections are completely independent, then boxlike partitions may be applicable, but before encoding such a partition, consider the guidelines in §</w:t>
      </w:r>
      <w:r>
        <w:fldChar w:fldCharType="begin"/>
      </w:r>
      <w:r>
        <w:instrText xml:space="preserve"> REF _Ref225781091 \r \h </w:instrText>
      </w:r>
      <w:r>
        <w:fldChar w:fldCharType="separate"/>
      </w:r>
      <w:r>
        <w:t>4.7.4.2</w:t>
      </w:r>
      <w:r>
        <w:fldChar w:fldCharType="end"/>
      </w:r>
      <w:r>
        <w:t xml:space="preserve"> </w:t>
      </w:r>
    </w:p>
    <w:tbl>
      <w:tblPr>
        <w:tblStyle w:val="CodeSampleTable"/>
        <w:tblW w:w="5000" w:type="pct"/>
        <w:tblLook w:val="04A0" w:firstRow="1" w:lastRow="0" w:firstColumn="1" w:lastColumn="0" w:noHBand="0" w:noVBand="1"/>
      </w:tblPr>
      <w:tblGrid>
        <w:gridCol w:w="9628"/>
      </w:tblGrid>
      <w:tr w14:paraId="35CE2D6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B51A259" w14:textId="3CD950F1">
            <w:pPr>
              <w:pStyle w:val="Kpalrs"/>
              <w:keepLines/>
            </w:pPr>
            <w:bookmarkStart w:id="336" w:name="_Ref225779765"/>
            <w:r>
              <w:t xml:space="preserve">Exhibit </w:t>
            </w:r>
            <w:fldSimple w:instr=" STYLEREF 2 \s ">
              <w:r>
                <w:rPr>
                  <w:noProof/>
                </w:rPr>
                <w:t>4.7</w:t>
              </w:r>
            </w:fldSimple>
            <w:r>
              <w:t>.</w:t>
            </w:r>
            <w:fldSimple w:instr=" SEQ Exhibit \* ALPHABETIC \s 2 ">
              <w:r>
                <w:rPr>
                  <w:noProof/>
                </w:rPr>
                <w:t>J</w:t>
              </w:r>
            </w:fldSimple>
            <w:bookmarkEnd w:id="336"/>
            <w:r>
              <w:t>: a quasi-partition with interlinear space</w:t>
            </w:r>
          </w:p>
        </w:tc>
      </w:tr>
      <w:tr w14:paraId="1A3A4DE8" w14:textId="77777777">
        <w:tc>
          <w:tcPr>
            <w:tcW w:w="5000" w:type="pct"/>
            <w:vAlign w:val="center"/>
          </w:tcPr>
          <w:p w14:paraId="41B00EF3" w14:textId="77777777">
            <w:pPr>
              <w:pStyle w:val="Image"/>
              <w:keepLines/>
              <w:rPr>
                <w:rStyle w:val="Code"/>
              </w:rPr>
            </w:pPr>
            <w:r>
              <w:drawing>
                <wp:inline distT="0" distB="0" distL="0" distR="0" wp14:anchorId="09B49519" wp14:editId="6FC88A44">
                  <wp:extent cx="4497070" cy="2702560"/>
                  <wp:effectExtent l="0" t="0" r="0" b="2540"/>
                  <wp:docPr id="793827664"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97070" cy="2702560"/>
                          </a:xfrm>
                          <a:prstGeom prst="rect">
                            <a:avLst/>
                          </a:prstGeom>
                          <a:noFill/>
                          <a:ln>
                            <a:noFill/>
                          </a:ln>
                        </pic:spPr>
                      </pic:pic>
                    </a:graphicData>
                  </a:graphic>
                </wp:inline>
              </w:drawing>
            </w:r>
          </w:p>
        </w:tc>
      </w:tr>
      <w:tr w14:paraId="090315B7" w14:textId="77777777">
        <w:tc>
          <w:tcPr>
            <w:tcW w:w="5000" w:type="pct"/>
          </w:tcPr>
          <w:p w14:paraId="49CB77A6" w14:textId="77777777">
            <w:pPr>
              <w:pStyle w:val="CodeParagraph"/>
              <w:rPr>
                <w:rStyle w:val="Code"/>
              </w:rPr>
            </w:pPr>
            <w:r>
              <w:rPr>
                <w:rStyle w:val="Code"/>
              </w:rPr>
              <w:t>&lt;p&gt;</w:t>
            </w:r>
          </w:p>
          <w:p w14:paraId="1DBA0841" w14:textId="77777777">
            <w:pPr>
              <w:pStyle w:val="CodeParagraph"/>
              <w:rPr>
                <w:rStyle w:val="Codetext"/>
              </w:rPr>
            </w:pPr>
            <w:r>
              <w:rPr>
                <w:rStyle w:val="Code"/>
              </w:rPr>
              <w:t xml:space="preserve">  &lt;lb </w:t>
            </w:r>
            <w:r>
              <w:rPr>
                <w:rStyle w:val="Codeattribute"/>
              </w:rPr>
              <w:t>n</w:t>
            </w:r>
            <w:r>
              <w:rPr>
                <w:rStyle w:val="Code"/>
              </w:rPr>
              <w:t>=</w:t>
            </w:r>
            <w:r>
              <w:rPr>
                <w:rStyle w:val="Codevalue"/>
              </w:rPr>
              <w:t>"1"</w:t>
            </w:r>
            <w:r>
              <w:rPr>
                <w:rStyle w:val="Code"/>
              </w:rPr>
              <w:t>/&gt;</w:t>
            </w:r>
            <w:r>
              <w:rPr>
                <w:rStyle w:val="Codetext"/>
              </w:rPr>
              <w:t xml:space="preserve"> In a hole in the ground there lived a hobbit. Not a</w:t>
            </w:r>
          </w:p>
          <w:p w14:paraId="04DB5D24" w14:textId="77777777">
            <w:pPr>
              <w:pStyle w:val="CodeParagraph"/>
              <w:rPr>
                <w:rStyle w:val="Code"/>
              </w:rPr>
            </w:pPr>
            <w:r>
              <w:rPr>
                <w:rStyle w:val="Code"/>
              </w:rPr>
              <w:t xml:space="preserve">  ...</w:t>
            </w:r>
          </w:p>
          <w:p w14:paraId="6E90D20B" w14:textId="77777777">
            <w:pPr>
              <w:pStyle w:val="CodeParagraph"/>
              <w:rPr>
                <w:rStyle w:val="Codetext"/>
              </w:rPr>
            </w:pPr>
            <w:r>
              <w:rPr>
                <w:rStyle w:val="Code"/>
              </w:rPr>
              <w:t xml:space="preserve">  &lt;lb </w:t>
            </w:r>
            <w:r>
              <w:rPr>
                <w:rStyle w:val="Codeattribute"/>
              </w:rPr>
              <w:t>n</w:t>
            </w:r>
            <w:r>
              <w:rPr>
                <w:rStyle w:val="Code"/>
              </w:rPr>
              <w:t>=</w:t>
            </w:r>
            <w:r>
              <w:rPr>
                <w:rStyle w:val="Codevalue"/>
              </w:rPr>
              <w:t>"5"</w:t>
            </w:r>
            <w:r>
              <w:rPr>
                <w:rStyle w:val="Code"/>
              </w:rPr>
              <w:t>/&gt;&lt;p&gt;</w:t>
            </w:r>
            <w:r>
              <w:rPr>
                <w:rStyle w:val="Codetext"/>
              </w:rPr>
              <w:t>hobbit-hole, and that means comfort.</w:t>
            </w:r>
          </w:p>
          <w:p w14:paraId="44D6D107" w14:textId="77777777">
            <w:pPr>
              <w:pStyle w:val="CodeParagraph"/>
              <w:rPr>
                <w:rStyle w:val="Code"/>
              </w:rPr>
            </w:pPr>
            <w:r>
              <w:rPr>
                <w:rStyle w:val="Code"/>
              </w:rPr>
              <w:t>&lt;/p&gt;</w:t>
            </w:r>
          </w:p>
          <w:p w14:paraId="001DDC14" w14:textId="77777777">
            <w:pPr>
              <w:pStyle w:val="CodeParagraph"/>
              <w:rPr>
                <w:rStyle w:val="Code"/>
              </w:rPr>
            </w:pPr>
            <w:r>
              <w:rPr>
                <w:rStyle w:val="Code"/>
              </w:rPr>
              <w:t>&lt;p&gt;</w:t>
            </w:r>
          </w:p>
          <w:p w14:paraId="14909946" w14:textId="77777777">
            <w:pPr>
              <w:pStyle w:val="CodeParagraph"/>
              <w:rPr>
                <w:rStyle w:val="Codetext"/>
              </w:rPr>
            </w:pPr>
            <w:r>
              <w:rPr>
                <w:rStyle w:val="Code"/>
              </w:rPr>
              <w:t xml:space="preserve">  &lt;lb </w:t>
            </w:r>
            <w:r>
              <w:rPr>
                <w:rStyle w:val="Codeattribute"/>
              </w:rPr>
              <w:t>n</w:t>
            </w:r>
            <w:r>
              <w:rPr>
                <w:rStyle w:val="Code"/>
              </w:rPr>
              <w:t>=</w:t>
            </w:r>
            <w:r>
              <w:rPr>
                <w:rStyle w:val="Codevalue"/>
              </w:rPr>
              <w:t>"6"</w:t>
            </w:r>
            <w:r>
              <w:rPr>
                <w:rStyle w:val="Code"/>
              </w:rPr>
              <w:t>/&gt;</w:t>
            </w:r>
            <w:r>
              <w:rPr>
                <w:rStyle w:val="Codetext"/>
              </w:rPr>
              <w:t>It had a perfectly round door like a porthole, painted</w:t>
            </w:r>
          </w:p>
          <w:p w14:paraId="0A54DA24" w14:textId="77777777">
            <w:pPr>
              <w:pStyle w:val="CodeParagraph"/>
              <w:rPr>
                <w:rStyle w:val="Codetext"/>
              </w:rPr>
            </w:pPr>
            <w:r>
              <w:rPr>
                <w:rStyle w:val="Code"/>
              </w:rPr>
              <w:t xml:space="preserve">  ...</w:t>
            </w:r>
          </w:p>
          <w:p w14:paraId="74415266" w14:textId="77777777">
            <w:pPr>
              <w:pStyle w:val="CodeParagraph"/>
            </w:pPr>
            <w:r>
              <w:rPr>
                <w:rStyle w:val="Code"/>
              </w:rPr>
              <w:t>&lt;/p&gt;</w:t>
            </w:r>
          </w:p>
        </w:tc>
      </w:tr>
      <w:tr w14:paraId="2F09873F" w14:textId="77777777">
        <w:tc>
          <w:tcPr>
            <w:tcW w:w="5000" w:type="pct"/>
          </w:tcPr>
          <w:p w14:paraId="5664C081" w14:textId="77777777">
            <w:pPr>
              <w:pStyle w:val="TableNote"/>
            </w:pPr>
            <w:r>
              <w:t>this inscription can be perceived as a single inscribed field</w:t>
            </w:r>
          </w:p>
          <w:p w14:paraId="723A0973" w14:textId="77777777">
            <w:pPr>
              <w:pStyle w:val="TableNote"/>
            </w:pPr>
            <w:r>
              <w:t>the two blocks of writing are semantically cohesive and their visual separation is moderate</w:t>
            </w:r>
          </w:p>
          <w:p w14:paraId="378972E5" w14:textId="77777777">
            <w:pPr>
              <w:pStyle w:val="TableNote"/>
            </w:pPr>
            <w:r>
              <w:t>therefore the text has been encoded simply as a sequence of lines</w:t>
            </w:r>
          </w:p>
        </w:tc>
      </w:tr>
    </w:tbl>
    <w:p w14:paraId="6DBD5C45" w14:textId="77777777">
      <w:pPr>
        <w:pStyle w:val="Cmsor4"/>
      </w:pPr>
      <w:bookmarkStart w:id="337" w:name="_Ref225781091"/>
      <w:r>
        <w:t>Pagelike partitions are preferable to boxlike partitions</w:t>
      </w:r>
      <w:bookmarkEnd w:id="337"/>
    </w:p>
    <w:p w14:paraId="1489BF73" w14:textId="77777777">
      <w:pPr>
        <w:pStyle w:val="Lista"/>
      </w:pPr>
      <w:r>
        <w:t>pagelike partitions are normally applicable when the text of an inscription is laid out in two or more zones which are to be read consecutively and are not genuine pages on a thin, effectively two-dimensional support</w:t>
      </w:r>
    </w:p>
    <w:p w14:paraId="03826656" w14:textId="77777777">
      <w:pPr>
        <w:pStyle w:val="Lista"/>
      </w:pPr>
      <w:r>
        <w:t>pagelike zones may be presented in any arrangement on one or more surfaces, e.g.</w:t>
      </w:r>
    </w:p>
    <w:p w14:paraId="3C9CB6A0" w14:textId="64F26D1E">
      <w:pPr>
        <w:pStyle w:val="Lista2"/>
      </w:pPr>
      <w:r>
        <w:t xml:space="preserve">one below the other on a single surface, as in </w:t>
      </w:r>
      <w:r>
        <w:fldChar w:fldCharType="begin"/>
      </w:r>
      <w:r>
        <w:instrText xml:space="preserve"> REF _Ref225779765 \h </w:instrText>
      </w:r>
      <w:r>
        <w:fldChar w:fldCharType="separate"/>
      </w:r>
      <w:r>
        <w:t xml:space="preserve">Exhibit </w:t>
      </w:r>
      <w:r>
        <w:rPr>
          <w:noProof/>
        </w:rPr>
        <w:t>4.7</w:t>
      </w:r>
      <w:r>
        <w:t>.</w:t>
      </w:r>
      <w:r>
        <w:rPr>
          <w:noProof/>
        </w:rPr>
        <w:t>J</w:t>
      </w:r>
      <w:r>
        <w:fldChar w:fldCharType="end"/>
      </w:r>
    </w:p>
    <w:p w14:paraId="6316F99B" w14:textId="501E9A13">
      <w:pPr>
        <w:pStyle w:val="Lista2"/>
      </w:pPr>
      <w:r>
        <w:t xml:space="preserve">one beside the other on a single surface, as in </w:t>
      </w:r>
      <w:r>
        <w:fldChar w:fldCharType="begin"/>
      </w:r>
      <w:r>
        <w:instrText xml:space="preserve"> REF _Ref44078357 \h </w:instrText>
      </w:r>
      <w:r>
        <w:fldChar w:fldCharType="separate"/>
      </w:r>
      <w:r>
        <w:t xml:space="preserve">Exhibit </w:t>
      </w:r>
      <w:r>
        <w:rPr>
          <w:noProof/>
        </w:rPr>
        <w:t>4.7</w:t>
      </w:r>
      <w:r>
        <w:t>.</w:t>
      </w:r>
      <w:r>
        <w:rPr>
          <w:noProof/>
        </w:rPr>
        <w:t>K</w:t>
      </w:r>
      <w:r>
        <w:fldChar w:fldCharType="end"/>
      </w:r>
    </w:p>
    <w:p w14:paraId="03729537" w14:textId="5F984C51">
      <w:pPr>
        <w:pStyle w:val="Lista2"/>
      </w:pPr>
      <w:r>
        <w:t xml:space="preserve">on adjacent faces (or face-pairs) of a three-dimensional object </w:t>
      </w:r>
      <w:r>
        <w:rPr>
          <w:noProof/>
        </w:rPr>
        <w:t>(</w:t>
      </w:r>
      <w:r>
        <w:t xml:space="preserve">e.g. stele or pillar), as in </w:t>
      </w:r>
      <w:r>
        <w:fldChar w:fldCharType="begin"/>
      </w:r>
      <w:r>
        <w:instrText xml:space="preserve"> REF _Ref239844313 \r \h </w:instrText>
      </w:r>
      <w:r>
        <w:fldChar w:fldCharType="separate"/>
      </w:r>
      <w:r>
        <w:t>Appendix A.5</w:t>
      </w:r>
      <w:r>
        <w:fldChar w:fldCharType="end"/>
      </w:r>
      <w:r>
        <w:t xml:space="preserve"> and </w:t>
      </w:r>
      <w:r>
        <w:fldChar w:fldCharType="begin"/>
      </w:r>
      <w:r>
        <w:instrText xml:space="preserve"> REF _Ref239844315 \r \h </w:instrText>
      </w:r>
      <w:r>
        <w:fldChar w:fldCharType="separate"/>
      </w:r>
      <w:r>
        <w:t>Appendix A.6</w:t>
      </w:r>
      <w:r>
        <w:fldChar w:fldCharType="end"/>
      </w:r>
      <w:r>
        <w:t>)</w:t>
      </w:r>
    </w:p>
    <w:p w14:paraId="5DD313A7" w14:textId="6CF7FFAA">
      <w:pPr>
        <w:pStyle w:val="Lista2"/>
      </w:pPr>
      <w:r>
        <w:t xml:space="preserve">on multiple linked objects </w:t>
      </w:r>
      <w:r>
        <w:rPr>
          <w:noProof/>
        </w:rPr>
        <w:t>(</w:t>
      </w:r>
      <w:r>
        <w:t xml:space="preserve">e.g. two jambs of a doorway, as in </w:t>
      </w:r>
      <w:r>
        <w:fldChar w:fldCharType="begin"/>
      </w:r>
      <w:r>
        <w:instrText xml:space="preserve"> REF _Ref182924299 \h </w:instrText>
      </w:r>
      <w:r>
        <w:fldChar w:fldCharType="separate"/>
      </w:r>
      <w:r>
        <w:t xml:space="preserve">Exhibit </w:t>
      </w:r>
      <w:r>
        <w:rPr>
          <w:noProof/>
        </w:rPr>
        <w:t>4.7</w:t>
      </w:r>
      <w:r>
        <w:t>.</w:t>
      </w:r>
      <w:r>
        <w:rPr>
          <w:noProof/>
        </w:rPr>
        <w:t>L</w:t>
      </w:r>
      <w:r>
        <w:fldChar w:fldCharType="end"/>
      </w:r>
      <w:r>
        <w:t>)</w:t>
      </w:r>
    </w:p>
    <w:p w14:paraId="05A5E21C" w14:textId="1189C43E">
      <w:pPr>
        <w:pStyle w:val="Lista"/>
      </w:pPr>
      <w:r>
        <w:t>if you deem the zones to be visually distinct enough to warrant encoding a partition (cf. §</w:t>
      </w:r>
      <w:r>
        <w:fldChar w:fldCharType="begin"/>
      </w:r>
      <w:r>
        <w:instrText xml:space="preserve"> REF _Ref225781502 \r \h </w:instrText>
      </w:r>
      <w:r>
        <w:fldChar w:fldCharType="separate"/>
      </w:r>
      <w:r>
        <w:t>4.7.4.1</w:t>
      </w:r>
      <w:r>
        <w:fldChar w:fldCharType="end"/>
      </w:r>
      <w:r>
        <w:t>), then, regardless of their topology, the appropriate encoding must be selected on the basis of the zones’ semantic distinctness:</w:t>
      </w:r>
    </w:p>
    <w:p w14:paraId="47E009FD" w14:textId="6F35B6A0">
      <w:pPr>
        <w:pStyle w:val="Lista2"/>
      </w:pPr>
      <w:r>
        <w:t xml:space="preserve">if a unit of intrinsic structure begins at the end of one zone and continues in the next as in </w:t>
      </w:r>
      <w:r>
        <w:fldChar w:fldCharType="begin"/>
      </w:r>
      <w:r>
        <w:instrText xml:space="preserve"> REF _Ref44078357 \h </w:instrText>
      </w:r>
      <w:r>
        <w:fldChar w:fldCharType="separate"/>
      </w:r>
      <w:r>
        <w:t xml:space="preserve">Exhibit </w:t>
      </w:r>
      <w:r>
        <w:rPr>
          <w:noProof/>
        </w:rPr>
        <w:t>4.7</w:t>
      </w:r>
      <w:r>
        <w:t>.</w:t>
      </w:r>
      <w:r>
        <w:rPr>
          <w:noProof/>
        </w:rPr>
        <w:t>K</w:t>
      </w:r>
      <w:r>
        <w:fldChar w:fldCharType="end"/>
      </w:r>
      <w:r>
        <w:t>,</w:t>
      </w:r>
    </w:p>
    <w:p w14:paraId="78EC0320" w14:textId="77777777">
      <w:pPr>
        <w:pStyle w:val="Lista3"/>
      </w:pPr>
      <w:r>
        <w:t>a boxlike partition cannot be created, because its boundaries would overlap the boundaries of the intrinsic unit</w:t>
      </w:r>
    </w:p>
    <w:p w14:paraId="1140E920" w14:textId="77777777">
      <w:pPr>
        <w:pStyle w:val="Lista3"/>
      </w:pPr>
      <w:r>
        <w:t>the only suitable encoding for such a case is thus a pagelike partition</w:t>
      </w:r>
    </w:p>
    <w:p w14:paraId="023C25E7" w14:textId="272FF6E6">
      <w:pPr>
        <w:pStyle w:val="Lista3"/>
      </w:pPr>
      <w:r>
        <w:t xml:space="preserve">this applies regardless of how conspicuously the zones are separated in space, so the two doorjambs in </w:t>
      </w:r>
      <w:r>
        <w:fldChar w:fldCharType="begin"/>
      </w:r>
      <w:r>
        <w:instrText xml:space="preserve"> REF _Ref182924299 \h </w:instrText>
      </w:r>
      <w:r>
        <w:fldChar w:fldCharType="separate"/>
      </w:r>
      <w:r>
        <w:t xml:space="preserve">Exhibit </w:t>
      </w:r>
      <w:r>
        <w:rPr>
          <w:noProof/>
        </w:rPr>
        <w:t>4.7</w:t>
      </w:r>
      <w:r>
        <w:t>.</w:t>
      </w:r>
      <w:r>
        <w:rPr>
          <w:noProof/>
        </w:rPr>
        <w:t>L</w:t>
      </w:r>
      <w:r>
        <w:fldChar w:fldCharType="end"/>
      </w:r>
      <w:r>
        <w:t xml:space="preserve"> must be encoded along the same lines</w:t>
      </w:r>
    </w:p>
    <w:p w14:paraId="5886C803" w14:textId="76741393">
      <w:pPr>
        <w:pStyle w:val="Lista2"/>
      </w:pPr>
      <w:r>
        <w:t xml:space="preserve">if the extrinsic partition coincides with a semantic boundary as in </w:t>
      </w:r>
      <w:r>
        <w:fldChar w:fldCharType="begin"/>
      </w:r>
      <w:r>
        <w:instrText xml:space="preserve"> REF _Ref225781841 \h </w:instrText>
      </w:r>
      <w:r>
        <w:fldChar w:fldCharType="separate"/>
      </w:r>
      <w:r>
        <w:t xml:space="preserve">Exhibit </w:t>
      </w:r>
      <w:r>
        <w:rPr>
          <w:noProof/>
        </w:rPr>
        <w:t>4.7</w:t>
      </w:r>
      <w:r>
        <w:t>.</w:t>
      </w:r>
      <w:r>
        <w:rPr>
          <w:noProof/>
        </w:rPr>
        <w:t>M</w:t>
      </w:r>
      <w:r>
        <w:fldChar w:fldCharType="end"/>
      </w:r>
      <w:r>
        <w:t>,</w:t>
      </w:r>
    </w:p>
    <w:p w14:paraId="45B404AB" w14:textId="77777777">
      <w:pPr>
        <w:pStyle w:val="Lista3"/>
      </w:pPr>
      <w:r>
        <w:lastRenderedPageBreak/>
        <w:t>it is technically possible to encode a boxlike partition</w:t>
      </w:r>
    </w:p>
    <w:p w14:paraId="2623DBFB" w14:textId="0B75F206">
      <w:pPr>
        <w:pStyle w:val="Lista3"/>
      </w:pPr>
      <w:r>
        <w:t>but we nonetheless prefer to treat such a partition as pagelike and encode boxlike partitions only in well-warranted cases (§</w:t>
      </w:r>
      <w:r>
        <w:fldChar w:fldCharType="begin"/>
      </w:r>
      <w:r>
        <w:instrText xml:space="preserve"> REF _Ref225759775 \r \h </w:instrText>
      </w:r>
      <w:r>
        <w:fldChar w:fldCharType="separate"/>
      </w:r>
      <w:r>
        <w:t>4.7.3</w:t>
      </w:r>
      <w:r>
        <w:fldChar w:fldCharType="end"/>
      </w:r>
      <w:r>
        <w:t>)</w:t>
      </w:r>
    </w:p>
    <w:p w14:paraId="48BAE714" w14:textId="52495F38">
      <w:pPr>
        <w:pStyle w:val="Lista2"/>
      </w:pPr>
      <w:r>
        <w:t xml:space="preserve">however, if the text of the two zones is semantically independent, so the two are basically two separate (though related) texts, as in </w:t>
      </w:r>
      <w:r>
        <w:fldChar w:fldCharType="begin"/>
      </w:r>
      <w:r>
        <w:instrText xml:space="preserve"> REF _Ref242694905 \h </w:instrText>
      </w:r>
      <w:r>
        <w:fldChar w:fldCharType="separate"/>
      </w:r>
      <w:r>
        <w:t xml:space="preserve">Exhibit </w:t>
      </w:r>
      <w:r>
        <w:rPr>
          <w:noProof/>
        </w:rPr>
        <w:t>4.7</w:t>
      </w:r>
      <w:r>
        <w:t>.</w:t>
      </w:r>
      <w:r>
        <w:rPr>
          <w:noProof/>
        </w:rPr>
        <w:t>N</w:t>
      </w:r>
      <w:r>
        <w:fldChar w:fldCharType="end"/>
      </w:r>
      <w:r>
        <w:t>,</w:t>
      </w:r>
    </w:p>
    <w:p w14:paraId="453FBB43" w14:textId="4178D157">
      <w:pPr>
        <w:pStyle w:val="Lista3"/>
      </w:pPr>
      <w:r>
        <w:t>then the encoding of a boxlike partition is technically possible and permitted under §</w:t>
      </w:r>
      <w:r>
        <w:fldChar w:fldCharType="begin"/>
      </w:r>
      <w:r>
        <w:instrText xml:space="preserve"> REF _Ref225759775 \r \h </w:instrText>
      </w:r>
      <w:r>
        <w:fldChar w:fldCharType="separate"/>
      </w:r>
      <w:r>
        <w:t>4.7.3</w:t>
      </w:r>
      <w:r>
        <w:fldChar w:fldCharType="end"/>
      </w:r>
    </w:p>
    <w:p w14:paraId="38FFE0BE" w14:textId="77777777">
      <w:pPr>
        <w:pStyle w:val="Lista3"/>
      </w:pPr>
      <w:r>
        <w:t>encoding as a pagelike partition does, however, remain a viable alternative</w:t>
      </w:r>
    </w:p>
    <w:p w14:paraId="4B5DA5F9" w14:textId="77777777">
      <w:pPr>
        <w:pStyle w:val="Lista3"/>
      </w:pPr>
      <w:r>
        <w:t>a case-by-case judgement must be made at your discretion, based on the degree of semantic connection perceived between the zones</w:t>
      </w:r>
    </w:p>
    <w:p w14:paraId="5C070033" w14:textId="546916B2">
      <w:pPr>
        <w:pStyle w:val="Lista4"/>
        <w:rPr>
          <w:lang w:eastAsia="en-US" w:bidi="ar-SA"/>
        </w:rPr>
      </w:pPr>
      <w:r>
        <w:t>in a structurally complex inscription, the presence of subdivisions within one or more zones may also warrant the use of boxlike partitions (§</w:t>
      </w:r>
      <w:r>
        <w:fldChar w:fldCharType="begin"/>
      </w:r>
      <w:r>
        <w:instrText xml:space="preserve"> REF _Ref225782390 \r \h </w:instrText>
      </w:r>
      <w:r>
        <w:fldChar w:fldCharType="separate"/>
      </w:r>
      <w:r>
        <w:t>4.7.3.6</w:t>
      </w:r>
      <w:r>
        <w:fldChar w:fldCharType="end"/>
      </w:r>
      <w:r>
        <w:t>)</w:t>
      </w:r>
    </w:p>
    <w:tbl>
      <w:tblPr>
        <w:tblStyle w:val="CodeSampleTable"/>
        <w:tblW w:w="5000" w:type="pct"/>
        <w:tblLook w:val="04A0" w:firstRow="1" w:lastRow="0" w:firstColumn="1" w:lastColumn="0" w:noHBand="0" w:noVBand="1"/>
      </w:tblPr>
      <w:tblGrid>
        <w:gridCol w:w="9628"/>
      </w:tblGrid>
      <w:tr w14:paraId="68D98CA7"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39F7F0B" w14:textId="5957DE60">
            <w:pPr>
              <w:pStyle w:val="Kpalrs"/>
              <w:keepLines/>
            </w:pPr>
            <w:bookmarkStart w:id="338" w:name="_w6aiimbh4273" w:colFirst="0" w:colLast="0"/>
            <w:bookmarkStart w:id="339" w:name="_Ref44078357"/>
            <w:bookmarkEnd w:id="338"/>
            <w:r>
              <w:t xml:space="preserve">Exhibit </w:t>
            </w:r>
            <w:fldSimple w:instr=" STYLEREF 2 \s ">
              <w:r>
                <w:rPr>
                  <w:noProof/>
                </w:rPr>
                <w:t>4.7</w:t>
              </w:r>
            </w:fldSimple>
            <w:r>
              <w:t>.</w:t>
            </w:r>
            <w:fldSimple w:instr=" SEQ Exhibit \* ALPHABETIC \s 2 ">
              <w:r>
                <w:rPr>
                  <w:noProof/>
                </w:rPr>
                <w:t>K</w:t>
              </w:r>
            </w:fldSimple>
            <w:bookmarkEnd w:id="339"/>
            <w:r>
              <w:t>: two pagelike zones on a slab</w:t>
            </w:r>
          </w:p>
        </w:tc>
      </w:tr>
      <w:tr w14:paraId="002CF544" w14:textId="77777777">
        <w:tc>
          <w:tcPr>
            <w:tcW w:w="5000" w:type="pct"/>
          </w:tcPr>
          <w:p w14:paraId="7CF5E3B1" w14:textId="77777777">
            <w:pPr>
              <w:pStyle w:val="Image"/>
            </w:pPr>
            <w:r>
              <w:drawing>
                <wp:inline distT="0" distB="0" distL="0" distR="0" wp14:anchorId="7B6D36A7" wp14:editId="27D6B0DC">
                  <wp:extent cx="4500000" cy="2700000"/>
                  <wp:effectExtent l="0" t="0" r="0" b="5715"/>
                  <wp:docPr id="1707098164" name="image5.png"/>
                  <wp:cNvGraphicFramePr/>
                  <a:graphic xmlns:a="http://schemas.openxmlformats.org/drawingml/2006/main">
                    <a:graphicData uri="http://schemas.openxmlformats.org/drawingml/2006/picture">
                      <pic:pic xmlns:pic="http://schemas.openxmlformats.org/drawingml/2006/picture">
                        <pic:nvPicPr>
                          <pic:cNvPr id="1707098164" name="image5.png"/>
                          <pic:cNvPicPr preferRelativeResize="0"/>
                        </pic:nvPicPr>
                        <pic:blipFill>
                          <a:blip r:embed="rId30"/>
                          <a:stretch>
                            <a:fillRect/>
                          </a:stretch>
                        </pic:blipFill>
                        <pic:spPr>
                          <a:xfrm>
                            <a:off x="0" y="0"/>
                            <a:ext cx="4500000" cy="2700000"/>
                          </a:xfrm>
                          <a:prstGeom prst="rect">
                            <a:avLst/>
                          </a:prstGeom>
                          <a:ln/>
                        </pic:spPr>
                      </pic:pic>
                    </a:graphicData>
                  </a:graphic>
                </wp:inline>
              </w:drawing>
            </w:r>
          </w:p>
        </w:tc>
      </w:tr>
      <w:tr w14:paraId="1405D8E0" w14:textId="77777777">
        <w:tc>
          <w:tcPr>
            <w:tcW w:w="5000" w:type="pct"/>
          </w:tcPr>
          <w:p w14:paraId="57C9DDD6" w14:textId="77777777">
            <w:pPr>
              <w:pStyle w:val="CodeParagraph"/>
              <w:keepNext/>
              <w:rPr>
                <w:rStyle w:val="Codetext"/>
              </w:rPr>
            </w:pPr>
            <w:r>
              <w:rPr>
                <w:rStyle w:val="Code"/>
              </w:rPr>
              <w:t>&lt;p&gt;</w:t>
            </w:r>
            <w:r>
              <w:rPr>
                <w:rStyle w:val="Codetext"/>
              </w:rPr>
              <w:br/>
              <w:t xml:space="preserve">  </w:t>
            </w: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there lived a hobbit.</w:t>
            </w:r>
            <w:r>
              <w:rPr>
                <w:rStyle w:val="Codetext"/>
              </w:rPr>
              <w:br/>
              <w:t xml:space="preserve">  ...</w:t>
            </w:r>
          </w:p>
          <w:p w14:paraId="7650340E" w14:textId="77777777">
            <w:pPr>
              <w:pStyle w:val="CodeParagraph"/>
              <w:keepNext/>
              <w:rPr>
                <w:rStyle w:val="Code"/>
              </w:rPr>
            </w:pPr>
            <w:r>
              <w:rPr>
                <w:rStyle w:val="Codetext"/>
              </w:rPr>
              <w:t xml:space="preserve">  </w:t>
            </w:r>
            <w:r>
              <w:rPr>
                <w:rStyle w:val="Code"/>
              </w:rPr>
              <w:t xml:space="preserve">&lt;lb </w:t>
            </w:r>
            <w:r>
              <w:rPr>
                <w:rStyle w:val="Codeattribute"/>
              </w:rPr>
              <w:t>n</w:t>
            </w:r>
            <w:r>
              <w:rPr>
                <w:rStyle w:val="Code"/>
              </w:rPr>
              <w:t>=</w:t>
            </w:r>
            <w:r>
              <w:rPr>
                <w:rStyle w:val="Codevalue"/>
              </w:rPr>
              <w:t>"10"</w:t>
            </w:r>
            <w:r>
              <w:rPr>
                <w:rStyle w:val="Code"/>
              </w:rPr>
              <w:t>/&gt;</w:t>
            </w:r>
            <w:r>
              <w:rPr>
                <w:rStyle w:val="Codetext"/>
              </w:rPr>
              <w:t>a hobbit-hole, and that</w:t>
            </w:r>
            <w:r>
              <w:rPr>
                <w:rStyle w:val="Codetext"/>
              </w:rPr>
              <w:br/>
              <w:t xml:space="preserve">  </w:t>
            </w: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 xml:space="preserve">"column" </w:t>
            </w:r>
            <w:r>
              <w:rPr>
                <w:rStyle w:val="Codeattribute"/>
              </w:rPr>
              <w:t>n</w:t>
            </w:r>
            <w:r>
              <w:rPr>
                <w:rStyle w:val="Code"/>
              </w:rPr>
              <w:t>=</w:t>
            </w:r>
            <w:r>
              <w:rPr>
                <w:rStyle w:val="Codevalue"/>
              </w:rPr>
              <w:t>"B"</w:t>
            </w:r>
            <w:r>
              <w:rPr>
                <w:rStyle w:val="Code"/>
              </w:rPr>
              <w:t>/&gt;</w:t>
            </w:r>
          </w:p>
          <w:p w14:paraId="7DE9F917" w14:textId="77777777">
            <w:pPr>
              <w:pStyle w:val="CodeParagraph"/>
              <w:keepNext/>
            </w:pPr>
            <w:r>
              <w:rPr>
                <w:rStyle w:val="Code"/>
              </w:rPr>
              <w:t xml:space="preserve">  &lt;lb </w:t>
            </w:r>
            <w:r>
              <w:rPr>
                <w:rStyle w:val="Codeattribute"/>
              </w:rPr>
              <w:t>n</w:t>
            </w:r>
            <w:r>
              <w:rPr>
                <w:rStyle w:val="Code"/>
              </w:rPr>
              <w:t>=</w:t>
            </w:r>
            <w:r>
              <w:rPr>
                <w:rStyle w:val="Codevalue"/>
              </w:rPr>
              <w:t>"11"</w:t>
            </w:r>
            <w:r>
              <w:rPr>
                <w:rStyle w:val="Code"/>
              </w:rPr>
              <w:t>/&gt;</w:t>
            </w:r>
            <w:r>
              <w:rPr>
                <w:rStyle w:val="Codetext"/>
              </w:rPr>
              <w:t>means comfort. It had a</w:t>
            </w:r>
            <w:r>
              <w:rPr>
                <w:rStyle w:val="Codetext"/>
              </w:rPr>
              <w:br/>
              <w:t xml:space="preserve">  </w:t>
            </w:r>
            <w:r>
              <w:rPr>
                <w:rStyle w:val="Code"/>
              </w:rPr>
              <w:t xml:space="preserve">&lt;lb </w:t>
            </w:r>
            <w:r>
              <w:rPr>
                <w:rStyle w:val="Codeattribute"/>
              </w:rPr>
              <w:t>n</w:t>
            </w:r>
            <w:r>
              <w:rPr>
                <w:rStyle w:val="Code"/>
              </w:rPr>
              <w:t>=</w:t>
            </w:r>
            <w:r>
              <w:rPr>
                <w:rStyle w:val="Codevalue"/>
              </w:rPr>
              <w:t>"12"</w:t>
            </w:r>
            <w:r>
              <w:rPr>
                <w:rStyle w:val="Code"/>
              </w:rPr>
              <w:t>/&gt;</w:t>
            </w:r>
            <w:r>
              <w:rPr>
                <w:rStyle w:val="Codetext"/>
              </w:rPr>
              <w:t>perfectly round door like</w:t>
            </w:r>
            <w:r>
              <w:rPr>
                <w:rStyle w:val="Codetext"/>
              </w:rPr>
              <w:br/>
              <w:t xml:space="preserve">  ...</w:t>
            </w:r>
            <w:r>
              <w:rPr>
                <w:rStyle w:val="Codetext"/>
              </w:rPr>
              <w:br/>
              <w:t xml:space="preserve">  </w:t>
            </w:r>
            <w:r>
              <w:rPr>
                <w:rStyle w:val="Code"/>
              </w:rPr>
              <w:t xml:space="preserve">&lt;lb </w:t>
            </w:r>
            <w:r>
              <w:rPr>
                <w:rStyle w:val="Codeattribute"/>
              </w:rPr>
              <w:t>n</w:t>
            </w:r>
            <w:r>
              <w:rPr>
                <w:rStyle w:val="Code"/>
              </w:rPr>
              <w:t>=</w:t>
            </w:r>
            <w:r>
              <w:rPr>
                <w:rStyle w:val="Codevalue"/>
              </w:rPr>
              <w:t>"20"</w:t>
            </w:r>
            <w:r>
              <w:rPr>
                <w:rStyle w:val="Code"/>
              </w:rPr>
              <w:t>/&gt;</w:t>
            </w:r>
            <w:r>
              <w:rPr>
                <w:rStyle w:val="Codetext"/>
              </w:rPr>
              <w:t>without smoke.</w:t>
            </w:r>
            <w:r>
              <w:rPr>
                <w:rStyle w:val="Codetext"/>
              </w:rPr>
              <w:br/>
            </w:r>
            <w:r>
              <w:rPr>
                <w:rStyle w:val="Code"/>
              </w:rPr>
              <w:t>&lt;/p&gt;</w:t>
            </w:r>
          </w:p>
        </w:tc>
      </w:tr>
      <w:tr w14:paraId="6AD84F52" w14:textId="77777777">
        <w:tc>
          <w:tcPr>
            <w:tcW w:w="5000" w:type="pct"/>
          </w:tcPr>
          <w:p w14:paraId="3F5DC40B" w14:textId="77777777">
            <w:pPr>
              <w:pStyle w:val="TableNote"/>
            </w:pPr>
            <w:r>
              <w:t>the partition occurs within a sentence, and it is therefore technically impossible to encode a boxlike partition</w:t>
            </w:r>
          </w:p>
          <w:p w14:paraId="0B36BC75" w14:textId="77777777">
            <w:pPr>
              <w:pStyle w:val="TableNote"/>
            </w:pPr>
            <w:r>
              <w:t>therefore, pagelike milestones are used</w:t>
            </w:r>
          </w:p>
          <w:p w14:paraId="4DE87B8B" w14:textId="7DA66F42">
            <w:pPr>
              <w:pStyle w:val="TableNote"/>
            </w:pPr>
            <w:r>
              <w:t>line numbers continue in the second column; alternatively, complex line numbers (§</w:t>
            </w:r>
            <w:r>
              <w:fldChar w:fldCharType="begin"/>
            </w:r>
            <w:r>
              <w:instrText xml:space="preserve"> REF _Ref182228380 \r \h </w:instrText>
            </w:r>
            <w:r>
              <w:fldChar w:fldCharType="separate"/>
            </w:r>
            <w:r>
              <w:t>4.5.2.2</w:t>
            </w:r>
            <w:r>
              <w:fldChar w:fldCharType="end"/>
            </w:r>
            <w:r>
              <w:t xml:space="preserve">) could be used, as illustrated in the Case Study in </w:t>
            </w:r>
            <w:r>
              <w:fldChar w:fldCharType="begin"/>
            </w:r>
            <w:r>
              <w:instrText xml:space="preserve"> REF _Ref239844333 \r \h </w:instrText>
            </w:r>
            <w:r>
              <w:fldChar w:fldCharType="separate"/>
            </w:r>
            <w:r>
              <w:t>Appendix A.5</w:t>
            </w:r>
            <w:r>
              <w:fldChar w:fldCharType="end"/>
            </w:r>
            <w:r>
              <w:t xml:space="preserve"> </w:t>
            </w:r>
          </w:p>
        </w:tc>
      </w:tr>
    </w:tbl>
    <w:p w14:paraId="0767F61A" w14:textId="77777777">
      <w:pPr>
        <w:rPr>
          <w:lang w:eastAsia="en-US" w:bidi="ar-SA"/>
        </w:rPr>
      </w:pPr>
      <w:bookmarkStart w:id="340" w:name="_xbyjw7atziy5" w:colFirst="0" w:colLast="0"/>
      <w:bookmarkEnd w:id="340"/>
    </w:p>
    <w:tbl>
      <w:tblPr>
        <w:tblStyle w:val="CodeSampleTable"/>
        <w:tblW w:w="5000" w:type="pct"/>
        <w:tblLook w:val="04A0" w:firstRow="1" w:lastRow="0" w:firstColumn="1" w:lastColumn="0" w:noHBand="0" w:noVBand="1"/>
      </w:tblPr>
      <w:tblGrid>
        <w:gridCol w:w="9628"/>
      </w:tblGrid>
      <w:tr w14:paraId="0278883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A58F9EB" w14:textId="0443BECE">
            <w:pPr>
              <w:pStyle w:val="Kpalrs"/>
              <w:keepLines/>
            </w:pPr>
            <w:bookmarkStart w:id="341" w:name="_Ref182924299"/>
            <w:r>
              <w:lastRenderedPageBreak/>
              <w:t xml:space="preserve">Exhibit </w:t>
            </w:r>
            <w:fldSimple w:instr=" STYLEREF 2 \s ">
              <w:r>
                <w:rPr>
                  <w:noProof/>
                </w:rPr>
                <w:t>4.7</w:t>
              </w:r>
            </w:fldSimple>
            <w:r>
              <w:t>.</w:t>
            </w:r>
            <w:fldSimple w:instr=" SEQ Exhibit \* ALPHABETIC \s 2 ">
              <w:r>
                <w:rPr>
                  <w:noProof/>
                </w:rPr>
                <w:t>L</w:t>
              </w:r>
            </w:fldSimple>
            <w:bookmarkEnd w:id="341"/>
            <w:r>
              <w:t>: doorjambs as pagelike zones</w:t>
            </w:r>
          </w:p>
        </w:tc>
      </w:tr>
      <w:tr w14:paraId="1342F653" w14:textId="77777777">
        <w:tc>
          <w:tcPr>
            <w:tcW w:w="5000" w:type="pct"/>
          </w:tcPr>
          <w:p w14:paraId="650F33CC" w14:textId="77777777">
            <w:pPr>
              <w:pStyle w:val="Image"/>
              <w:keepLines/>
            </w:pPr>
            <w:r>
              <w:drawing>
                <wp:inline distT="0" distB="0" distL="0" distR="0" wp14:anchorId="724BBC10" wp14:editId="5E7AB157">
                  <wp:extent cx="5397500" cy="2852420"/>
                  <wp:effectExtent l="0" t="0" r="0" b="5080"/>
                  <wp:docPr id="166702892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7500" cy="2852420"/>
                          </a:xfrm>
                          <a:prstGeom prst="rect">
                            <a:avLst/>
                          </a:prstGeom>
                          <a:noFill/>
                          <a:ln>
                            <a:noFill/>
                          </a:ln>
                        </pic:spPr>
                      </pic:pic>
                    </a:graphicData>
                  </a:graphic>
                </wp:inline>
              </w:drawing>
            </w:r>
          </w:p>
        </w:tc>
      </w:tr>
      <w:tr w14:paraId="086675F1" w14:textId="77777777">
        <w:tc>
          <w:tcPr>
            <w:tcW w:w="5000" w:type="pct"/>
          </w:tcPr>
          <w:p w14:paraId="0AF09723" w14:textId="77777777">
            <w:pPr>
              <w:pStyle w:val="CodeParagraph"/>
              <w:keepNext/>
              <w:rPr>
                <w:rStyle w:val="Codetext"/>
              </w:rPr>
            </w:pPr>
            <w:r>
              <w:rPr>
                <w:rStyle w:val="Code"/>
              </w:rPr>
              <w:t>&lt;p&gt;</w:t>
            </w:r>
            <w:r>
              <w:rPr>
                <w:rStyle w:val="Codetext"/>
              </w:rPr>
              <w:br/>
              <w:t xml:space="preserve">  </w:t>
            </w: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"item"</w:t>
            </w:r>
            <w:r>
              <w:rPr>
                <w:rStyle w:val="Code"/>
              </w:rPr>
              <w:t xml:space="preserve"> </w:t>
            </w:r>
            <w:r>
              <w:rPr>
                <w:rStyle w:val="Codeattribute"/>
              </w:rPr>
              <w:t>n</w:t>
            </w:r>
            <w:r>
              <w:rPr>
                <w:rStyle w:val="Code"/>
              </w:rPr>
              <w:t>=</w:t>
            </w:r>
            <w:r>
              <w:rPr>
                <w:rStyle w:val="Codevalue"/>
              </w:rPr>
              <w:t>"A"</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there lived a hobbit.</w:t>
            </w:r>
          </w:p>
          <w:p w14:paraId="4AE2CA0B" w14:textId="77777777">
            <w:pPr>
              <w:pStyle w:val="CodeParagraph"/>
              <w:keepNext/>
              <w:rPr>
                <w:rStyle w:val="Codetext"/>
              </w:rPr>
            </w:pPr>
            <w:r>
              <w:rPr>
                <w:rStyle w:val="Codetext"/>
              </w:rPr>
              <w:t xml:space="preserve">  ...</w:t>
            </w:r>
            <w:r>
              <w:rPr>
                <w:rStyle w:val="Codetext"/>
              </w:rPr>
              <w:br/>
              <w:t xml:space="preserve">  </w:t>
            </w:r>
            <w:r>
              <w:rPr>
                <w:rStyle w:val="Code"/>
              </w:rPr>
              <w:t xml:space="preserve">&lt;lb </w:t>
            </w:r>
            <w:r>
              <w:rPr>
                <w:rStyle w:val="Codeattribute"/>
              </w:rPr>
              <w:t>n</w:t>
            </w:r>
            <w:r>
              <w:rPr>
                <w:rStyle w:val="Code"/>
              </w:rPr>
              <w:t>=</w:t>
            </w:r>
            <w:r>
              <w:rPr>
                <w:rStyle w:val="Codevalue"/>
              </w:rPr>
              <w:t>"10"</w:t>
            </w:r>
            <w:r>
              <w:rPr>
                <w:rStyle w:val="Code"/>
              </w:rPr>
              <w:t>/&gt;</w:t>
            </w:r>
            <w:r>
              <w:rPr>
                <w:rStyle w:val="Codetext"/>
              </w:rPr>
              <w:t>a hobbit-hole, and that</w:t>
            </w:r>
            <w:r>
              <w:rPr>
                <w:rStyle w:val="Codetext"/>
              </w:rPr>
              <w:br/>
              <w:t xml:space="preserve">  </w:t>
            </w: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 xml:space="preserve">"item" </w:t>
            </w:r>
            <w:r>
              <w:rPr>
                <w:rStyle w:val="Codeattribute"/>
              </w:rPr>
              <w:t>n</w:t>
            </w:r>
            <w:r>
              <w:rPr>
                <w:rStyle w:val="Code"/>
              </w:rPr>
              <w:t>=</w:t>
            </w:r>
            <w:r>
              <w:rPr>
                <w:rStyle w:val="Codevalue"/>
              </w:rPr>
              <w:t>"B"</w:t>
            </w:r>
            <w:r>
              <w:rPr>
                <w:rStyle w:val="Code"/>
              </w:rPr>
              <w:t>/&gt;</w:t>
            </w:r>
            <w:r>
              <w:rPr>
                <w:rStyle w:val="Codetext"/>
              </w:rPr>
              <w:br/>
            </w:r>
            <w:r>
              <w:rPr>
                <w:rStyle w:val="Code"/>
              </w:rPr>
              <w:t xml:space="preserve">  &lt;lb </w:t>
            </w:r>
            <w:r>
              <w:rPr>
                <w:rStyle w:val="Codeattribute"/>
              </w:rPr>
              <w:t>n</w:t>
            </w:r>
            <w:r>
              <w:rPr>
                <w:rStyle w:val="Code"/>
              </w:rPr>
              <w:t>=</w:t>
            </w:r>
            <w:r>
              <w:rPr>
                <w:rStyle w:val="Codevalue"/>
              </w:rPr>
              <w:t>"11"</w:t>
            </w:r>
            <w:r>
              <w:rPr>
                <w:rStyle w:val="Code"/>
              </w:rPr>
              <w:t>/&gt;</w:t>
            </w:r>
            <w:r>
              <w:rPr>
                <w:rStyle w:val="Codetext"/>
              </w:rPr>
              <w:t>means comfort. It had a</w:t>
            </w:r>
            <w:r>
              <w:rPr>
                <w:rStyle w:val="Codetext"/>
              </w:rPr>
              <w:br/>
              <w:t xml:space="preserve">  </w:t>
            </w:r>
            <w:r>
              <w:rPr>
                <w:rStyle w:val="Code"/>
              </w:rPr>
              <w:t xml:space="preserve">&lt;lb </w:t>
            </w:r>
            <w:r>
              <w:rPr>
                <w:rStyle w:val="Codeattribute"/>
              </w:rPr>
              <w:t>n</w:t>
            </w:r>
            <w:r>
              <w:rPr>
                <w:rStyle w:val="Code"/>
              </w:rPr>
              <w:t>=</w:t>
            </w:r>
            <w:r>
              <w:rPr>
                <w:rStyle w:val="Codevalue"/>
              </w:rPr>
              <w:t>"12"</w:t>
            </w:r>
            <w:r>
              <w:rPr>
                <w:rStyle w:val="Code"/>
              </w:rPr>
              <w:t>/&gt;</w:t>
            </w:r>
            <w:r>
              <w:rPr>
                <w:rStyle w:val="Codetext"/>
              </w:rPr>
              <w:t>perfectly round door like</w:t>
            </w:r>
            <w:r>
              <w:rPr>
                <w:rStyle w:val="Codetext"/>
              </w:rPr>
              <w:br/>
              <w:t xml:space="preserve">  ...</w:t>
            </w:r>
          </w:p>
          <w:p w14:paraId="796DE7E7" w14:textId="77777777">
            <w:pPr>
              <w:pStyle w:val="CodeParagraph"/>
              <w:keepNext/>
            </w:pPr>
            <w:r>
              <w:rPr>
                <w:rStyle w:val="Codetext"/>
              </w:rPr>
              <w:t xml:space="preserve">  </w:t>
            </w:r>
            <w:r>
              <w:rPr>
                <w:rStyle w:val="Code"/>
              </w:rPr>
              <w:t xml:space="preserve">&lt;lb </w:t>
            </w:r>
            <w:r>
              <w:rPr>
                <w:rStyle w:val="Codeattribute"/>
              </w:rPr>
              <w:t>n</w:t>
            </w:r>
            <w:r>
              <w:rPr>
                <w:rStyle w:val="Code"/>
              </w:rPr>
              <w:t>=</w:t>
            </w:r>
            <w:r>
              <w:rPr>
                <w:rStyle w:val="Codevalue"/>
              </w:rPr>
              <w:t>"20"</w:t>
            </w:r>
            <w:r>
              <w:rPr>
                <w:rStyle w:val="Code"/>
              </w:rPr>
              <w:t>/&gt;</w:t>
            </w:r>
            <w:r>
              <w:rPr>
                <w:rStyle w:val="Codetext"/>
              </w:rPr>
              <w:t>without smoke.</w:t>
            </w:r>
            <w:r>
              <w:rPr>
                <w:rStyle w:val="Codetext"/>
              </w:rPr>
              <w:br/>
            </w:r>
            <w:r>
              <w:rPr>
                <w:rStyle w:val="Code"/>
              </w:rPr>
              <w:t>&lt;/p&gt;</w:t>
            </w:r>
          </w:p>
        </w:tc>
      </w:tr>
      <w:tr w14:paraId="236B9A07" w14:textId="77777777">
        <w:tc>
          <w:tcPr>
            <w:tcW w:w="5000" w:type="pct"/>
          </w:tcPr>
          <w:p w14:paraId="5DC75D1D" w14:textId="3E72BE2B">
            <w:pPr>
              <w:pStyle w:val="TableNote"/>
            </w:pPr>
            <w:r>
              <w:t xml:space="preserve">the structure of this inscription is identical to that in </w:t>
            </w:r>
            <w:r>
              <w:fldChar w:fldCharType="begin"/>
            </w:r>
            <w:r>
              <w:instrText xml:space="preserve"> REF _Ref44078357 \h </w:instrText>
            </w:r>
            <w:r>
              <w:fldChar w:fldCharType="separate"/>
            </w:r>
            <w:r>
              <w:t xml:space="preserve">Exhibit </w:t>
            </w:r>
            <w:r>
              <w:rPr>
                <w:noProof/>
              </w:rPr>
              <w:t>4.7</w:t>
            </w:r>
            <w:r>
              <w:t>.</w:t>
            </w:r>
            <w:r>
              <w:rPr>
                <w:noProof/>
              </w:rPr>
              <w:t>K</w:t>
            </w:r>
            <w:r>
              <w:fldChar w:fldCharType="end"/>
            </w:r>
            <w:r>
              <w:t>, differing only in topology</w:t>
            </w:r>
          </w:p>
          <w:p w14:paraId="444C1513" w14:textId="77777777">
            <w:pPr>
              <w:pStyle w:val="TableNote"/>
            </w:pPr>
            <w:r>
              <w:t>the partition occurs within a sentence, and it is therefore technically impossible to encode a boxlike partition</w:t>
            </w:r>
          </w:p>
          <w:p w14:paraId="35D15730" w14:textId="77777777">
            <w:pPr>
              <w:pStyle w:val="TableNote"/>
            </w:pPr>
            <w:r>
              <w:t>therefore, pagelike milestones are used</w:t>
            </w:r>
          </w:p>
          <w:p w14:paraId="3B0AABBF" w14:textId="2758FC6B">
            <w:pPr>
              <w:pStyle w:val="TableNote"/>
              <w:rPr>
                <w:noProof/>
              </w:rPr>
            </w:pPr>
            <w:r>
              <w:t>line numbers continue in the second column; alternatively, complex line numbers (§</w:t>
            </w:r>
            <w:r>
              <w:fldChar w:fldCharType="begin"/>
            </w:r>
            <w:r>
              <w:instrText xml:space="preserve"> REF _Ref182228380 \r \h </w:instrText>
            </w:r>
            <w:r>
              <w:fldChar w:fldCharType="separate"/>
            </w:r>
            <w:r>
              <w:t>4.5.2.2</w:t>
            </w:r>
            <w:r>
              <w:fldChar w:fldCharType="end"/>
            </w:r>
            <w:r>
              <w:t xml:space="preserve">) could be used, as illustrated in the Case Study in </w:t>
            </w:r>
            <w:r>
              <w:fldChar w:fldCharType="begin"/>
            </w:r>
            <w:r>
              <w:instrText xml:space="preserve"> REF _Ref239844348 \r \h </w:instrText>
            </w:r>
            <w:r>
              <w:fldChar w:fldCharType="separate"/>
            </w:r>
            <w:r>
              <w:t>Appendix A.5</w:t>
            </w:r>
            <w:r>
              <w:fldChar w:fldCharType="end"/>
            </w:r>
            <w:r>
              <w:rPr>
                <w:noProof/>
              </w:rPr>
              <w:t xml:space="preserve"> </w:t>
            </w:r>
          </w:p>
        </w:tc>
      </w:tr>
    </w:tbl>
    <w:p w14:paraId="7200B7A3" w14:textId="77777777">
      <w:pPr>
        <w:rPr>
          <w:lang w:eastAsia="en-US" w:bidi="ar-SA"/>
        </w:rPr>
      </w:pPr>
    </w:p>
    <w:tbl>
      <w:tblPr>
        <w:tblStyle w:val="CodeSampleTable"/>
        <w:tblW w:w="5000" w:type="pct"/>
        <w:tblLook w:val="04A0" w:firstRow="1" w:lastRow="0" w:firstColumn="1" w:lastColumn="0" w:noHBand="0" w:noVBand="1"/>
      </w:tblPr>
      <w:tblGrid>
        <w:gridCol w:w="9628"/>
      </w:tblGrid>
      <w:tr w14:paraId="152A09A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091D1CB" w14:textId="3ED8E4E9">
            <w:pPr>
              <w:pStyle w:val="Kpalrs"/>
              <w:keepLines/>
            </w:pPr>
            <w:bookmarkStart w:id="342" w:name="_Ref225781841"/>
            <w:r>
              <w:lastRenderedPageBreak/>
              <w:t xml:space="preserve">Exhibit </w:t>
            </w:r>
            <w:fldSimple w:instr=" STYLEREF 2 \s ">
              <w:r>
                <w:rPr>
                  <w:noProof/>
                </w:rPr>
                <w:t>4.7</w:t>
              </w:r>
            </w:fldSimple>
            <w:r>
              <w:t>.</w:t>
            </w:r>
            <w:fldSimple w:instr=" SEQ Exhibit \* ALPHABETIC \s 2 ">
              <w:r>
                <w:rPr>
                  <w:noProof/>
                </w:rPr>
                <w:t>M</w:t>
              </w:r>
            </w:fldSimple>
            <w:bookmarkEnd w:id="342"/>
            <w:r>
              <w:t>: pagelike partition at semantic boundary</w:t>
            </w:r>
          </w:p>
        </w:tc>
      </w:tr>
      <w:tr w14:paraId="150B2A59" w14:textId="77777777">
        <w:tc>
          <w:tcPr>
            <w:tcW w:w="5000" w:type="pct"/>
          </w:tcPr>
          <w:p w14:paraId="08C1FCC8" w14:textId="77777777">
            <w:pPr>
              <w:pStyle w:val="Image"/>
              <w:keepLines/>
              <w:rPr>
                <w:rStyle w:val="Code"/>
                <w:rFonts w:ascii="Gentium" w:hAnsi="Gentium" w:cs="Tiro Devanagari Sanskrit"/>
                <w:color w:val="auto"/>
                <w:shd w:val="clear" w:color="auto" w:fill="auto"/>
              </w:rPr>
            </w:pPr>
            <w:r>
              <w:drawing>
                <wp:inline distT="0" distB="0" distL="0" distR="0" wp14:anchorId="23F23671" wp14:editId="1E1F4CBE">
                  <wp:extent cx="4492800" cy="2692800"/>
                  <wp:effectExtent l="0" t="0" r="3175" b="0"/>
                  <wp:docPr id="556124011"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92800" cy="2692800"/>
                          </a:xfrm>
                          <a:prstGeom prst="rect">
                            <a:avLst/>
                          </a:prstGeom>
                          <a:noFill/>
                          <a:ln>
                            <a:noFill/>
                          </a:ln>
                        </pic:spPr>
                      </pic:pic>
                    </a:graphicData>
                  </a:graphic>
                </wp:inline>
              </w:drawing>
            </w:r>
          </w:p>
        </w:tc>
      </w:tr>
      <w:tr w14:paraId="53B8048F" w14:textId="77777777">
        <w:tc>
          <w:tcPr>
            <w:tcW w:w="5000" w:type="pct"/>
          </w:tcPr>
          <w:p w14:paraId="686459D1" w14:textId="77777777">
            <w:pPr>
              <w:pStyle w:val="TableNote"/>
            </w:pPr>
            <w:r>
              <w:t>the partition occurs between sentences, where a new unit of intrinsic structure can be started</w:t>
            </w:r>
          </w:p>
          <w:p w14:paraId="6CD69DAF" w14:textId="77777777">
            <w:pPr>
              <w:pStyle w:val="TableNote"/>
            </w:pPr>
            <w:r>
              <w:t>encoding as a boxlike partition is technically possible, but not warranted</w:t>
            </w:r>
          </w:p>
          <w:p w14:paraId="006C3EF6" w14:textId="77777777">
            <w:pPr>
              <w:pStyle w:val="TableNote"/>
            </w:pPr>
            <w:r>
              <w:t>this inscription must be encoded with a pagelike partition</w:t>
            </w:r>
          </w:p>
        </w:tc>
      </w:tr>
    </w:tbl>
    <w:p w14:paraId="5593CDB2" w14:textId="77777777">
      <w:pPr>
        <w:rPr>
          <w:lang w:eastAsia="en-US" w:bidi="ar-SA"/>
        </w:rPr>
      </w:pPr>
    </w:p>
    <w:tbl>
      <w:tblPr>
        <w:tblStyle w:val="CodeSampleTable"/>
        <w:tblW w:w="5000" w:type="pct"/>
        <w:tblLook w:val="04A0" w:firstRow="1" w:lastRow="0" w:firstColumn="1" w:lastColumn="0" w:noHBand="0" w:noVBand="1"/>
      </w:tblPr>
      <w:tblGrid>
        <w:gridCol w:w="9628"/>
      </w:tblGrid>
      <w:tr w14:paraId="1BA1C88F"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247129D" w14:textId="645D17BD">
            <w:pPr>
              <w:pStyle w:val="Kpalrs"/>
              <w:keepLines/>
            </w:pPr>
            <w:bookmarkStart w:id="343" w:name="_Ref242694905"/>
            <w:r>
              <w:t xml:space="preserve">Exhibit </w:t>
            </w:r>
            <w:fldSimple w:instr=" STYLEREF 2 \s ">
              <w:r>
                <w:rPr>
                  <w:noProof/>
                </w:rPr>
                <w:t>4.7</w:t>
              </w:r>
            </w:fldSimple>
            <w:r>
              <w:t>.</w:t>
            </w:r>
            <w:fldSimple w:instr=" SEQ Exhibit \* ALPHABETIC \s 2 ">
              <w:r>
                <w:rPr>
                  <w:noProof/>
                </w:rPr>
                <w:t>N</w:t>
              </w:r>
            </w:fldSimple>
            <w:bookmarkEnd w:id="343"/>
            <w:r>
              <w:t>: pagelike or boxlike partition at major semantic discontinuity</w:t>
            </w:r>
          </w:p>
        </w:tc>
      </w:tr>
      <w:tr w14:paraId="6583E4D3" w14:textId="77777777">
        <w:tc>
          <w:tcPr>
            <w:tcW w:w="5000" w:type="pct"/>
          </w:tcPr>
          <w:p w14:paraId="2897E048" w14:textId="77777777">
            <w:pPr>
              <w:pStyle w:val="Image"/>
              <w:keepLines/>
              <w:rPr>
                <w:rStyle w:val="Code"/>
              </w:rPr>
            </w:pPr>
            <w:r>
              <w:drawing>
                <wp:inline distT="0" distB="0" distL="0" distR="0" wp14:anchorId="31CFD7A3" wp14:editId="0D904E0D">
                  <wp:extent cx="4492800" cy="2692800"/>
                  <wp:effectExtent l="0" t="0" r="3175" b="0"/>
                  <wp:docPr id="894074882"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92800" cy="2692800"/>
                          </a:xfrm>
                          <a:prstGeom prst="rect">
                            <a:avLst/>
                          </a:prstGeom>
                          <a:noFill/>
                          <a:ln>
                            <a:noFill/>
                          </a:ln>
                        </pic:spPr>
                      </pic:pic>
                    </a:graphicData>
                  </a:graphic>
                </wp:inline>
              </w:drawing>
            </w:r>
          </w:p>
        </w:tc>
      </w:tr>
      <w:tr w14:paraId="580B333B" w14:textId="77777777">
        <w:tc>
          <w:tcPr>
            <w:tcW w:w="5000" w:type="pct"/>
          </w:tcPr>
          <w:p w14:paraId="0FEE551D" w14:textId="77777777">
            <w:pPr>
              <w:pStyle w:val="TableNote"/>
            </w:pPr>
            <w:r>
              <w:rPr>
                <w:lang w:eastAsia="en-US" w:bidi="ar-SA"/>
              </w:rPr>
              <w:t>the partition coincides with a major semantic discontinuity</w:t>
            </w:r>
          </w:p>
          <w:p w14:paraId="4543E093" w14:textId="77777777">
            <w:pPr>
              <w:pStyle w:val="TableNote"/>
            </w:pPr>
            <w:r>
              <w:rPr>
                <w:lang w:eastAsia="en-US" w:bidi="ar-SA"/>
              </w:rPr>
              <w:t>encoding as a boxlike partition is technically possible and may be warranted, at your discretion</w:t>
            </w:r>
          </w:p>
        </w:tc>
      </w:tr>
    </w:tbl>
    <w:p w14:paraId="1BA83301" w14:textId="77777777">
      <w:pPr>
        <w:pStyle w:val="Cmsor3"/>
      </w:pPr>
      <w:bookmarkStart w:id="344" w:name="_Ref182322267"/>
      <w:bookmarkStart w:id="345" w:name="_Ref225759805"/>
      <w:bookmarkStart w:id="346" w:name="_Toc243922634"/>
      <w:r>
        <w:t>When to use gridlike partitions</w:t>
      </w:r>
      <w:bookmarkEnd w:id="344"/>
      <w:bookmarkEnd w:id="345"/>
      <w:bookmarkEnd w:id="346"/>
    </w:p>
    <w:p w14:paraId="1EB95BE5" w14:textId="56A3AA3D">
      <w:r>
        <w:t>The encoding of gridlike partitions with milestones is, as already noted in §</w:t>
      </w:r>
      <w:r>
        <w:fldChar w:fldCharType="begin"/>
      </w:r>
      <w:r>
        <w:instrText xml:space="preserve"> REF _Ref182923075 \r \h </w:instrText>
      </w:r>
      <w:r>
        <w:fldChar w:fldCharType="separate"/>
      </w:r>
      <w:r>
        <w:t>4.1</w:t>
      </w:r>
      <w:r>
        <w:fldChar w:fldCharType="end"/>
      </w:r>
      <w:r>
        <w:t xml:space="preserve">, not mandatory and should be applied on a case-by-case basis, judging the feasibility of encoding versus the anticipated usefulness of having the partitions represented in the edition. Representing such partitions in the encoding can be especially advantageous if some elements of description apply only to specific partitions </w:t>
      </w:r>
      <w:r>
        <w:rPr>
          <w:noProof/>
        </w:rPr>
        <w:t>(</w:t>
      </w:r>
      <w:r>
        <w:t xml:space="preserve">e.g. certain fragments are kept in a different place, or certain facets of the support are in a different state of preservation), because each partition can then be referred to unambiguously, and the edition will show which parts of the text correspond to which partition. If you opt not to encode gridlike milestones, treat the text straightforwardly as if it occupied a simple surface, and describe the layout in as much detail as you wish in your annotation. </w:t>
      </w:r>
    </w:p>
    <w:p w14:paraId="48073250" w14:textId="6A52A88B">
      <w:pPr>
        <w:pStyle w:val="Normlbehzs"/>
      </w:pPr>
      <w:r>
        <w:lastRenderedPageBreak/>
        <w:t>This section discusses neat gridlike structures that involve vertical or near-vertical grid lines. Guidance is provided separately in §</w:t>
      </w:r>
      <w:r>
        <w:fldChar w:fldCharType="begin"/>
      </w:r>
      <w:r>
        <w:instrText xml:space="preserve"> REF _Ref225759925 \r \h </w:instrText>
      </w:r>
      <w:r>
        <w:fldChar w:fldCharType="separate"/>
      </w:r>
      <w:r>
        <w:t>4.7.6</w:t>
      </w:r>
      <w:r>
        <w:fldChar w:fldCharType="end"/>
      </w:r>
      <w:r>
        <w:t xml:space="preserve"> for untidy structures, most often (but not always) generated by fragmentation, and also usually amenable to encoding as gridlike partitions.</w:t>
      </w:r>
    </w:p>
    <w:p w14:paraId="572203E6" w14:textId="77777777">
      <w:pPr>
        <w:pStyle w:val="Cmsor4"/>
      </w:pPr>
      <w:r>
        <w:t>Grids of architectural blocks</w:t>
      </w:r>
    </w:p>
    <w:p w14:paraId="4EFC6A6B" w14:textId="63D19AE7">
      <w:r>
        <w:t xml:space="preserve">A gridlike extrinsic structure may be the result of physically separate (or at least separable) objects constituting a complex support. This most commonly happens with blocks of masonry constituting part of a wall which bears an inscription, as in </w:t>
      </w:r>
      <w:r>
        <w:fldChar w:fldCharType="begin"/>
      </w:r>
      <w:r>
        <w:instrText xml:space="preserve"> REF _Ref44078533 \h  \* MERGEFORMAT </w:instrText>
      </w:r>
      <w:r>
        <w:fldChar w:fldCharType="separate"/>
      </w:r>
      <w:r>
        <w:t xml:space="preserve">Exhibit </w:t>
      </w:r>
      <w:r>
        <w:rPr>
          <w:noProof/>
        </w:rPr>
        <w:t>4.7.O</w:t>
      </w:r>
      <w:r>
        <w:fldChar w:fldCharType="end"/>
      </w:r>
      <w:r>
        <w:t xml:space="preserve">. </w:t>
      </w:r>
    </w:p>
    <w:p w14:paraId="448B58DF" w14:textId="77777777">
      <w:pPr>
        <w:pStyle w:val="Lista"/>
      </w:pPr>
      <w:r>
        <w:t>encoding gridlike partitions is recommended for</w:t>
      </w:r>
      <w:r>
        <w:rPr>
          <w:b/>
          <w:bCs/>
        </w:rPr>
        <w:t xml:space="preserve"> </w:t>
      </w:r>
      <w:r>
        <w:t>building blocks, especially if they are not currently integrated into a structure</w:t>
      </w:r>
    </w:p>
    <w:p w14:paraId="32F5A30C" w14:textId="0E1089BA">
      <w:pPr>
        <w:pStyle w:val="Lista2"/>
      </w:pPr>
      <w:r>
        <w:t xml:space="preserve">the milestones shall be encoded with </w:t>
      </w:r>
      <w:r>
        <w:rPr>
          <w:rStyle w:val="Codeattribute"/>
        </w:rPr>
        <w:t>@unit=</w:t>
      </w:r>
      <w:r>
        <w:rPr>
          <w:rStyle w:val="Codevalue"/>
        </w:rPr>
        <w:t>"block"</w:t>
      </w:r>
      <w:r>
        <w:t xml:space="preserve"> (§</w:t>
      </w:r>
      <w:r>
        <w:fldChar w:fldCharType="begin"/>
      </w:r>
      <w:r>
        <w:instrText xml:space="preserve"> REF _Ref182815315 \r \h </w:instrText>
      </w:r>
      <w:r>
        <w:fldChar w:fldCharType="separate"/>
      </w:r>
      <w:r>
        <w:t>4.3.1</w:t>
      </w:r>
      <w:r>
        <w:fldChar w:fldCharType="end"/>
      </w:r>
      <w:r>
        <w:t>)</w:t>
      </w:r>
    </w:p>
    <w:tbl>
      <w:tblPr>
        <w:tblStyle w:val="CodeSampleTable"/>
        <w:tblW w:w="5000" w:type="pct"/>
        <w:tblLook w:val="04A0" w:firstRow="1" w:lastRow="0" w:firstColumn="1" w:lastColumn="0" w:noHBand="0" w:noVBand="1"/>
      </w:tblPr>
      <w:tblGrid>
        <w:gridCol w:w="9628"/>
      </w:tblGrid>
      <w:tr w14:paraId="1621D4FC"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47CE31F" w14:textId="45929DC0">
            <w:pPr>
              <w:pStyle w:val="Kpalrs"/>
              <w:keepLines/>
            </w:pPr>
            <w:bookmarkStart w:id="347" w:name="_Ref44078533"/>
            <w:bookmarkStart w:id="348" w:name="_Ref225495068"/>
            <w:r>
              <w:t xml:space="preserve">Exhibit </w:t>
            </w:r>
            <w:fldSimple w:instr=" STYLEREF 2 \s ">
              <w:r>
                <w:rPr>
                  <w:noProof/>
                </w:rPr>
                <w:t>4.7</w:t>
              </w:r>
            </w:fldSimple>
            <w:r>
              <w:t>.</w:t>
            </w:r>
            <w:fldSimple w:instr=" SEQ Exhibit \* ALPHABETIC \s 2 ">
              <w:r>
                <w:rPr>
                  <w:noProof/>
                </w:rPr>
                <w:t>O</w:t>
              </w:r>
            </w:fldSimple>
            <w:bookmarkEnd w:id="347"/>
            <w:r>
              <w:t>: gridlike partitions for text inscribed across architectural blocks</w:t>
            </w:r>
            <w:bookmarkEnd w:id="348"/>
          </w:p>
        </w:tc>
      </w:tr>
      <w:tr w14:paraId="0303259E" w14:textId="77777777">
        <w:tc>
          <w:tcPr>
            <w:tcW w:w="5000" w:type="pct"/>
          </w:tcPr>
          <w:p w14:paraId="2AF48E48" w14:textId="77777777">
            <w:pPr>
              <w:pStyle w:val="Image"/>
              <w:keepLines/>
            </w:pPr>
            <w:r>
              <w:drawing>
                <wp:inline distT="0" distB="0" distL="0" distR="0" wp14:anchorId="740F0749" wp14:editId="7F976F0E">
                  <wp:extent cx="5404485" cy="1801495"/>
                  <wp:effectExtent l="0" t="0" r="5715" b="8255"/>
                  <wp:docPr id="1702477712"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4485" cy="1801495"/>
                          </a:xfrm>
                          <a:prstGeom prst="rect">
                            <a:avLst/>
                          </a:prstGeom>
                          <a:noFill/>
                          <a:ln>
                            <a:noFill/>
                          </a:ln>
                        </pic:spPr>
                      </pic:pic>
                    </a:graphicData>
                  </a:graphic>
                </wp:inline>
              </w:drawing>
            </w:r>
          </w:p>
        </w:tc>
      </w:tr>
      <w:tr w14:paraId="2A9ED6D5" w14:textId="77777777">
        <w:tc>
          <w:tcPr>
            <w:tcW w:w="5000" w:type="pct"/>
          </w:tcPr>
          <w:p w14:paraId="2AC6E07D" w14:textId="77777777">
            <w:pPr>
              <w:pStyle w:val="CodeParagraph"/>
              <w:keepNext/>
              <w:keepLines/>
              <w:spacing w:line="240" w:lineRule="auto"/>
              <w:rPr>
                <w:rStyle w:val="Code"/>
              </w:rPr>
            </w:pP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In a hole in the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"b"</w:t>
            </w:r>
            <w:r>
              <w:rPr>
                <w:rStyle w:val="Code"/>
              </w:rPr>
              <w:t>/&gt;</w:t>
            </w:r>
            <w:r>
              <w:rPr>
                <w:rStyle w:val="Codetext"/>
              </w:rPr>
              <w:t xml:space="preserve"> ground there lived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"c"</w:t>
            </w:r>
            <w:r>
              <w:rPr>
                <w:rStyle w:val="Code"/>
              </w:rPr>
              <w:t>/&gt;</w:t>
            </w:r>
            <w:r>
              <w:rPr>
                <w:rStyle w:val="Codetext"/>
              </w:rPr>
              <w:t>a hobbit. Not a</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 xml:space="preserve">/&gt;&lt;milestone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nasty, dirty, wet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"b"</w:t>
            </w:r>
            <w:r>
              <w:rPr>
                <w:rStyle w:val="Code"/>
              </w:rPr>
              <w:t>/&gt;</w:t>
            </w:r>
            <w:r>
              <w:rPr>
                <w:rStyle w:val="Codetext"/>
              </w:rPr>
              <w:t xml:space="preserve">hole, filled with the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"c"</w:t>
            </w:r>
            <w:r>
              <w:rPr>
                <w:rStyle w:val="Code"/>
              </w:rPr>
              <w:t>/&gt;</w:t>
            </w:r>
            <w:r>
              <w:rPr>
                <w:rStyle w:val="Codetext"/>
              </w:rPr>
              <w:t>ends of worms</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 xml:space="preserve">/&gt;&lt;milestone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"a"</w:t>
            </w:r>
            <w:r>
              <w:rPr>
                <w:rStyle w:val="Code"/>
              </w:rPr>
              <w:t>/&gt;</w:t>
            </w:r>
            <w:r>
              <w:rPr>
                <w:rStyle w:val="Codetext"/>
              </w:rPr>
              <w:t>and an oozy sm</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"b"</w:t>
            </w:r>
            <w:r>
              <w:rPr>
                <w:rStyle w:val="Code"/>
              </w:rPr>
              <w:t xml:space="preserve"> </w:t>
            </w:r>
            <w:r>
              <w:rPr>
                <w:rStyle w:val="Codeattribute"/>
              </w:rPr>
              <w:t>break</w:t>
            </w:r>
            <w:r>
              <w:rPr>
                <w:rStyle w:val="Code"/>
              </w:rPr>
              <w:t>=</w:t>
            </w:r>
            <w:r>
              <w:rPr>
                <w:rStyle w:val="Codevalue"/>
              </w:rPr>
              <w:t>"no"</w:t>
            </w:r>
            <w:r>
              <w:rPr>
                <w:rStyle w:val="Code"/>
              </w:rPr>
              <w:t>/&gt;</w:t>
            </w:r>
            <w:r>
              <w:rPr>
                <w:rStyle w:val="Codetext"/>
              </w:rPr>
              <w:t>ell, nor yet a dry, b</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"c"</w:t>
            </w:r>
            <w:r>
              <w:rPr>
                <w:rStyle w:val="Code"/>
              </w:rPr>
              <w:t xml:space="preserve"> </w:t>
            </w:r>
            <w:r>
              <w:rPr>
                <w:rStyle w:val="Codeattribute"/>
              </w:rPr>
              <w:t>break</w:t>
            </w:r>
            <w:r>
              <w:rPr>
                <w:rStyle w:val="Code"/>
              </w:rPr>
              <w:t>=</w:t>
            </w:r>
            <w:r>
              <w:rPr>
                <w:rStyle w:val="Codevalue"/>
              </w:rPr>
              <w:t>"no"</w:t>
            </w:r>
            <w:r>
              <w:rPr>
                <w:rStyle w:val="Code"/>
              </w:rPr>
              <w:t>/&gt;</w:t>
            </w:r>
            <w:r>
              <w:rPr>
                <w:rStyle w:val="Codetext"/>
              </w:rPr>
              <w:t>are, sandy hole</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 xml:space="preserve">/&gt;&lt;milestone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with nothing in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"b"</w:t>
            </w:r>
            <w:r>
              <w:rPr>
                <w:rStyle w:val="Code"/>
              </w:rPr>
              <w:t>/&gt;</w:t>
            </w:r>
            <w:r>
              <w:rPr>
                <w:rStyle w:val="Codetext"/>
              </w:rPr>
              <w:t xml:space="preserve">it to sit down on or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"c"</w:t>
            </w:r>
            <w:r>
              <w:rPr>
                <w:rStyle w:val="Code"/>
              </w:rPr>
              <w:t>/&gt;</w:t>
            </w:r>
            <w:r>
              <w:rPr>
                <w:rStyle w:val="Codetext"/>
              </w:rPr>
              <w:t>to eat: it was a</w:t>
            </w:r>
            <w:r>
              <w:rPr>
                <w:rStyle w:val="Codetext"/>
              </w:rPr>
              <w:br/>
              <w:t xml:space="preserve">  </w:t>
            </w:r>
            <w:r>
              <w:rPr>
                <w:rStyle w:val="Code"/>
              </w:rPr>
              <w:t xml:space="preserve">&lt;lb </w:t>
            </w:r>
            <w:r>
              <w:rPr>
                <w:rStyle w:val="Codeattribute"/>
              </w:rPr>
              <w:t>n</w:t>
            </w:r>
            <w:r>
              <w:rPr>
                <w:rStyle w:val="Code"/>
              </w:rPr>
              <w:t>=</w:t>
            </w:r>
            <w:r>
              <w:rPr>
                <w:rStyle w:val="Codevalue"/>
              </w:rPr>
              <w:t>"5"</w:t>
            </w:r>
            <w:r>
              <w:rPr>
                <w:rStyle w:val="Code"/>
              </w:rPr>
              <w:t xml:space="preserve">/&gt;&lt;milestone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hobbit-hole, and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"b"</w:t>
            </w:r>
            <w:r>
              <w:rPr>
                <w:rStyle w:val="Code"/>
              </w:rPr>
              <w:t>/&gt;</w:t>
            </w:r>
            <w:r>
              <w:rPr>
                <w:rStyle w:val="Codetext"/>
              </w:rPr>
              <w:t>that means comfort.</w:t>
            </w:r>
            <w:r>
              <w:rPr>
                <w:rStyle w:val="Codetext"/>
              </w:rPr>
              <w:br/>
            </w:r>
            <w:r>
              <w:rPr>
                <w:rStyle w:val="Code"/>
              </w:rPr>
              <w:t>&lt;/p&gt;</w:t>
            </w:r>
          </w:p>
        </w:tc>
      </w:tr>
      <w:tr w14:paraId="0239E4D1" w14:textId="77777777">
        <w:tc>
          <w:tcPr>
            <w:tcW w:w="5000" w:type="pct"/>
          </w:tcPr>
          <w:p w14:paraId="2AA4756F" w14:textId="7517DD87">
            <w:pPr>
              <w:pStyle w:val="TableNote"/>
            </w:pPr>
            <w:r>
              <w:t xml:space="preserve">notice the use of </w:t>
            </w:r>
            <w:r>
              <w:rPr>
                <w:rStyle w:val="Codeattribute"/>
              </w:rPr>
              <w:t>@break</w:t>
            </w:r>
            <w:r>
              <w:rPr>
                <w:rStyle w:val="Code"/>
              </w:rPr>
              <w:t>=</w:t>
            </w:r>
            <w:r>
              <w:rPr>
                <w:rStyle w:val="Codevalue"/>
              </w:rPr>
              <w:t>"no"</w:t>
            </w:r>
            <w:r>
              <w:t xml:space="preserve"> for the two milestones in line 3, which interrupt a word (§</w:t>
            </w:r>
            <w:r>
              <w:fldChar w:fldCharType="begin"/>
            </w:r>
            <w:r>
              <w:instrText xml:space="preserve"> REF _Ref225519777 \r \h </w:instrText>
            </w:r>
            <w:r>
              <w:fldChar w:fldCharType="separate"/>
            </w:r>
            <w:r>
              <w:t>4.3.2.1</w:t>
            </w:r>
            <w:r>
              <w:fldChar w:fldCharType="end"/>
            </w:r>
            <w:r>
              <w:t>)</w:t>
            </w:r>
          </w:p>
        </w:tc>
      </w:tr>
    </w:tbl>
    <w:p w14:paraId="020BCFF7" w14:textId="77777777">
      <w:pPr>
        <w:pStyle w:val="Cmsor4"/>
      </w:pPr>
      <w:r>
        <w:t>Grids of fragments</w:t>
      </w:r>
    </w:p>
    <w:p w14:paraId="1A35E664" w14:textId="65BD1519">
      <w:r>
        <w:t xml:space="preserve">The breakage of an inscription’s support can result in a gridlike partition, as in </w:t>
      </w:r>
      <w:r>
        <w:fldChar w:fldCharType="begin"/>
      </w:r>
      <w:r>
        <w:instrText xml:space="preserve"> REF _Ref225859267 \h </w:instrText>
      </w:r>
      <w:r>
        <w:fldChar w:fldCharType="separate"/>
      </w:r>
      <w:r>
        <w:t xml:space="preserve">Exhibit </w:t>
      </w:r>
      <w:r>
        <w:rPr>
          <w:noProof/>
        </w:rPr>
        <w:t>4.7</w:t>
      </w:r>
      <w:r>
        <w:t>.</w:t>
      </w:r>
      <w:r>
        <w:rPr>
          <w:noProof/>
        </w:rPr>
        <w:t>P</w:t>
      </w:r>
      <w:r>
        <w:fldChar w:fldCharType="end"/>
      </w:r>
      <w:r>
        <w:t>. Situations where fragmentation produces a more disorderly structure are discussed separately in §</w:t>
      </w:r>
      <w:r>
        <w:fldChar w:fldCharType="begin"/>
      </w:r>
      <w:r>
        <w:instrText xml:space="preserve"> REF _Ref225759925 \r \h </w:instrText>
      </w:r>
      <w:r>
        <w:fldChar w:fldCharType="separate"/>
      </w:r>
      <w:r>
        <w:t>4.7.6</w:t>
      </w:r>
      <w:r>
        <w:fldChar w:fldCharType="end"/>
      </w:r>
      <w:r>
        <w:t xml:space="preserve"> below.</w:t>
      </w:r>
    </w:p>
    <w:p w14:paraId="20D44286" w14:textId="77777777">
      <w:pPr>
        <w:pStyle w:val="Lista"/>
      </w:pPr>
      <w:r>
        <w:t>encoding gridlike partitions is recommended for</w:t>
      </w:r>
      <w:r>
        <w:rPr>
          <w:b/>
          <w:bCs/>
        </w:rPr>
        <w:t xml:space="preserve"> </w:t>
      </w:r>
      <w:r>
        <w:t>fragments, especially if the pieces have different proveniences, custodial histories or are preserved at different locations</w:t>
      </w:r>
    </w:p>
    <w:p w14:paraId="0D3C0016" w14:textId="0C9B3A74">
      <w:pPr>
        <w:pStyle w:val="Lista2"/>
      </w:pPr>
      <w:r>
        <w:t xml:space="preserve">the milestones shall be encoded with </w:t>
      </w:r>
      <w:r>
        <w:rPr>
          <w:rStyle w:val="Codeattribute"/>
        </w:rPr>
        <w:t>@unit=</w:t>
      </w:r>
      <w:r>
        <w:rPr>
          <w:rStyle w:val="Codevalue"/>
        </w:rPr>
        <w:t>"fragment"</w:t>
      </w:r>
      <w:r>
        <w:t xml:space="preserve"> (§</w:t>
      </w:r>
      <w:r>
        <w:fldChar w:fldCharType="begin"/>
      </w:r>
      <w:r>
        <w:instrText xml:space="preserve"> REF _Ref182815315 \r \h </w:instrText>
      </w:r>
      <w:r>
        <w:fldChar w:fldCharType="separate"/>
      </w:r>
      <w:r>
        <w:t>4.3.1</w:t>
      </w:r>
      <w:r>
        <w:fldChar w:fldCharType="end"/>
      </w:r>
      <w:r>
        <w:t>)</w:t>
      </w:r>
    </w:p>
    <w:tbl>
      <w:tblPr>
        <w:tblStyle w:val="CodeSampleTable"/>
        <w:tblW w:w="5000" w:type="pct"/>
        <w:tblLook w:val="04A0" w:firstRow="1" w:lastRow="0" w:firstColumn="1" w:lastColumn="0" w:noHBand="0" w:noVBand="1"/>
      </w:tblPr>
      <w:tblGrid>
        <w:gridCol w:w="9628"/>
      </w:tblGrid>
      <w:tr w14:paraId="0106C33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1DC0709" w14:textId="7DB9A416">
            <w:pPr>
              <w:pStyle w:val="Kpalrs"/>
              <w:keepLines/>
            </w:pPr>
            <w:bookmarkStart w:id="349" w:name="_Ref225859267"/>
            <w:r>
              <w:lastRenderedPageBreak/>
              <w:t xml:space="preserve">Exhibit </w:t>
            </w:r>
            <w:fldSimple w:instr=" STYLEREF 2 \s ">
              <w:r>
                <w:rPr>
                  <w:noProof/>
                </w:rPr>
                <w:t>4.7</w:t>
              </w:r>
            </w:fldSimple>
            <w:r>
              <w:t>.</w:t>
            </w:r>
            <w:fldSimple w:instr=" SEQ Exhibit \* ALPHABETIC \s 2 ">
              <w:r>
                <w:rPr>
                  <w:noProof/>
                </w:rPr>
                <w:t>P</w:t>
              </w:r>
            </w:fldSimple>
            <w:bookmarkEnd w:id="349"/>
            <w:r>
              <w:t>: gridlike partitions for text inscribed across contiguous fragments</w:t>
            </w:r>
          </w:p>
        </w:tc>
      </w:tr>
      <w:tr w14:paraId="4C129D6D" w14:textId="77777777">
        <w:tc>
          <w:tcPr>
            <w:tcW w:w="5000" w:type="pct"/>
          </w:tcPr>
          <w:p w14:paraId="7B7B810C" w14:textId="77777777">
            <w:pPr>
              <w:pStyle w:val="Image"/>
              <w:keepLines/>
            </w:pPr>
            <w:r>
              <w:drawing>
                <wp:inline distT="0" distB="0" distL="0" distR="0" wp14:anchorId="6F8C6FE2" wp14:editId="43C08BB7">
                  <wp:extent cx="5397500" cy="1480820"/>
                  <wp:effectExtent l="0" t="0" r="0" b="5080"/>
                  <wp:docPr id="128517437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7500" cy="1480820"/>
                          </a:xfrm>
                          <a:prstGeom prst="rect">
                            <a:avLst/>
                          </a:prstGeom>
                          <a:noFill/>
                          <a:ln>
                            <a:noFill/>
                          </a:ln>
                        </pic:spPr>
                      </pic:pic>
                    </a:graphicData>
                  </a:graphic>
                </wp:inline>
              </w:drawing>
            </w:r>
          </w:p>
        </w:tc>
      </w:tr>
      <w:tr w14:paraId="6349889A" w14:textId="77777777">
        <w:tc>
          <w:tcPr>
            <w:tcW w:w="5000" w:type="pct"/>
          </w:tcPr>
          <w:p w14:paraId="012E2B8E" w14:textId="77777777">
            <w:pPr>
              <w:pStyle w:val="CodeParagraph"/>
              <w:keepNext/>
              <w:keepLines/>
              <w:spacing w:line="240" w:lineRule="auto"/>
              <w:rPr>
                <w:rStyle w:val="Code"/>
              </w:rPr>
            </w:pP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In a hole in the ground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there lived a hobbit. Not a</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nasty, dirty, wet hole, fil</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 xml:space="preserve">"b" </w:t>
            </w:r>
            <w:r>
              <w:rPr>
                <w:rStyle w:val="Codeattribute"/>
              </w:rPr>
              <w:t>break</w:t>
            </w:r>
            <w:r>
              <w:rPr>
                <w:rStyle w:val="Code"/>
              </w:rPr>
              <w:t>=</w:t>
            </w:r>
            <w:r>
              <w:rPr>
                <w:rStyle w:val="Codevalue"/>
              </w:rPr>
              <w:t>"no"</w:t>
            </w:r>
            <w:r>
              <w:rPr>
                <w:rStyle w:val="Code"/>
              </w:rPr>
              <w:t>/&gt;</w:t>
            </w:r>
            <w:r>
              <w:rPr>
                <w:rStyle w:val="Codetext"/>
              </w:rPr>
              <w:t>led with the ends of worms</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and an oozy sm</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 xml:space="preserve"> </w:t>
            </w:r>
            <w:r>
              <w:rPr>
                <w:rStyle w:val="Codeattribute"/>
              </w:rPr>
              <w:t>break</w:t>
            </w:r>
            <w:r>
              <w:rPr>
                <w:rStyle w:val="Code"/>
              </w:rPr>
              <w:t>=</w:t>
            </w:r>
            <w:r>
              <w:rPr>
                <w:rStyle w:val="Codevalue"/>
              </w:rPr>
              <w:t>"no"</w:t>
            </w:r>
            <w:r>
              <w:rPr>
                <w:rStyle w:val="Code"/>
              </w:rPr>
              <w:t>/&gt;</w:t>
            </w:r>
            <w:r>
              <w:rPr>
                <w:rStyle w:val="Codetext"/>
              </w:rPr>
              <w:t xml:space="preserve">ell, nor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yet a dry, b</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"c"</w:t>
            </w:r>
            <w:r>
              <w:rPr>
                <w:rStyle w:val="Code"/>
              </w:rPr>
              <w:t xml:space="preserve"> </w:t>
            </w:r>
            <w:r>
              <w:rPr>
                <w:rStyle w:val="Codeattribute"/>
              </w:rPr>
              <w:t>break</w:t>
            </w:r>
            <w:r>
              <w:rPr>
                <w:rStyle w:val="Code"/>
              </w:rPr>
              <w:t>=</w:t>
            </w:r>
            <w:r>
              <w:rPr>
                <w:rStyle w:val="Codevalue"/>
              </w:rPr>
              <w:t>"no"</w:t>
            </w:r>
            <w:r>
              <w:rPr>
                <w:rStyle w:val="Code"/>
              </w:rPr>
              <w:t>/&gt;</w:t>
            </w:r>
            <w:r>
              <w:rPr>
                <w:rStyle w:val="Codetext"/>
              </w:rPr>
              <w:t>are, sandy hole</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with nothing in it to sit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down on or to eat: it was a</w:t>
            </w:r>
            <w:r>
              <w:rPr>
                <w:rStyle w:val="Codetext"/>
              </w:rPr>
              <w:br/>
              <w:t xml:space="preserve">  </w:t>
            </w:r>
            <w:r>
              <w:rPr>
                <w:rStyle w:val="Code"/>
              </w:rPr>
              <w:t xml:space="preserve">&lt;lb </w:t>
            </w:r>
            <w:r>
              <w:rPr>
                <w:rStyle w:val="Codeattribute"/>
              </w:rPr>
              <w:t>n</w:t>
            </w:r>
            <w:r>
              <w:rPr>
                <w:rStyle w:val="Code"/>
              </w:rPr>
              <w:t>=</w:t>
            </w:r>
            <w:r>
              <w:rPr>
                <w:rStyle w:val="Codevalue"/>
              </w:rPr>
              <w:t>"5"</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hobbit-hole, and that me</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 xml:space="preserve">"b" </w:t>
            </w:r>
            <w:r>
              <w:rPr>
                <w:rStyle w:val="Codeattribute"/>
              </w:rPr>
              <w:t>break</w:t>
            </w:r>
            <w:r>
              <w:rPr>
                <w:rStyle w:val="Code"/>
              </w:rPr>
              <w:t>=</w:t>
            </w:r>
            <w:r>
              <w:rPr>
                <w:rStyle w:val="Codevalue"/>
              </w:rPr>
              <w:t>"no"</w:t>
            </w:r>
            <w:r>
              <w:rPr>
                <w:rStyle w:val="Code"/>
              </w:rPr>
              <w:t>/&gt;</w:t>
            </w:r>
            <w:r>
              <w:rPr>
                <w:rStyle w:val="Codetext"/>
              </w:rPr>
              <w:t>ans comfort.</w:t>
            </w:r>
            <w:r>
              <w:rPr>
                <w:rStyle w:val="Codetext"/>
              </w:rPr>
              <w:br/>
            </w:r>
            <w:r>
              <w:rPr>
                <w:rStyle w:val="Code"/>
              </w:rPr>
              <w:t>&lt;/p&gt;</w:t>
            </w:r>
          </w:p>
        </w:tc>
      </w:tr>
      <w:tr w14:paraId="0535FE61" w14:textId="77777777">
        <w:tc>
          <w:tcPr>
            <w:tcW w:w="5000" w:type="pct"/>
          </w:tcPr>
          <w:p w14:paraId="170A679F" w14:textId="3041DCD3">
            <w:pPr>
              <w:pStyle w:val="TableNote"/>
            </w:pPr>
            <w:r>
              <w:t xml:space="preserve">notice the use of </w:t>
            </w:r>
            <w:r>
              <w:rPr>
                <w:rStyle w:val="Codeattribute"/>
              </w:rPr>
              <w:t>@break</w:t>
            </w:r>
            <w:r>
              <w:rPr>
                <w:rStyle w:val="Code"/>
              </w:rPr>
              <w:t>=</w:t>
            </w:r>
            <w:r>
              <w:rPr>
                <w:rStyle w:val="Codevalue"/>
              </w:rPr>
              <w:t>"no"</w:t>
            </w:r>
            <w:r>
              <w:t xml:space="preserve"> for milestones in lines 2 and 5, which interrupt a word (§</w:t>
            </w:r>
            <w:r>
              <w:fldChar w:fldCharType="begin"/>
            </w:r>
            <w:r>
              <w:instrText xml:space="preserve"> REF _Ref225519777 \r \h  \* MERGEFORMAT </w:instrText>
            </w:r>
            <w:r>
              <w:fldChar w:fldCharType="separate"/>
            </w:r>
            <w:r>
              <w:t>4.3.2.1</w:t>
            </w:r>
            <w:r>
              <w:fldChar w:fldCharType="end"/>
            </w:r>
            <w:r>
              <w:t>)</w:t>
            </w:r>
          </w:p>
        </w:tc>
      </w:tr>
    </w:tbl>
    <w:p w14:paraId="7618CA0E" w14:textId="77777777">
      <w:pPr>
        <w:pStyle w:val="Cmsor4"/>
      </w:pPr>
      <w:bookmarkStart w:id="350" w:name="_Ref225865506"/>
      <w:r>
        <w:t>Grids of quasi-columns</w:t>
      </w:r>
      <w:bookmarkEnd w:id="350"/>
    </w:p>
    <w:p w14:paraId="300C5FA4" w14:textId="3B363DD0">
      <w:r>
        <w:t>When an inscription on a single surface is divided into several zones, this usually produces a pagelike or, occasionally, a boxlike partition (§</w:t>
      </w:r>
      <w:r>
        <w:fldChar w:fldCharType="begin"/>
      </w:r>
      <w:r>
        <w:instrText xml:space="preserve"> REF _Ref225781091 \r \h </w:instrText>
      </w:r>
      <w:r>
        <w:fldChar w:fldCharType="separate"/>
      </w:r>
      <w:r>
        <w:t>4.7.4.2</w:t>
      </w:r>
      <w:r>
        <w:fldChar w:fldCharType="end"/>
      </w:r>
      <w:r>
        <w:t xml:space="preserve">). However, especially when an inscription consists of many stanzas of verse following an identical or similar metre, the text may be arranged in the form of quasi-columns with a horizontal space between them, as in </w:t>
      </w:r>
      <w:r>
        <w:fldChar w:fldCharType="begin"/>
      </w:r>
      <w:r>
        <w:instrText xml:space="preserve"> REF _Ref44078509 \h </w:instrText>
      </w:r>
      <w:r>
        <w:fldChar w:fldCharType="separate"/>
      </w:r>
      <w:r>
        <w:t xml:space="preserve">Exhibit </w:t>
      </w:r>
      <w:r>
        <w:rPr>
          <w:noProof/>
        </w:rPr>
        <w:t>4.7</w:t>
      </w:r>
      <w:r>
        <w:t>.</w:t>
      </w:r>
      <w:r>
        <w:rPr>
          <w:noProof/>
        </w:rPr>
        <w:t>Q</w:t>
      </w:r>
      <w:r>
        <w:fldChar w:fldCharType="end"/>
      </w:r>
      <w:r>
        <w:t>. We call these ‘quasi-columns’ because in true columns the reading sequence is from the top to the bottom of one column, then proceeding to the next (which is a pagelike partition, §</w:t>
      </w:r>
      <w:r>
        <w:fldChar w:fldCharType="begin"/>
      </w:r>
      <w:r>
        <w:instrText xml:space="preserve"> REF _Ref225781091 \r \h </w:instrText>
      </w:r>
      <w:r>
        <w:fldChar w:fldCharType="separate"/>
      </w:r>
      <w:r>
        <w:t>4.7.4.2</w:t>
      </w:r>
      <w:r>
        <w:fldChar w:fldCharType="end"/>
      </w:r>
      <w:r>
        <w:t>), while here each line crosses over into the next column before continuing with the next line of the first column.</w:t>
      </w:r>
    </w:p>
    <w:p w14:paraId="65BDE76C" w14:textId="0DAF774B">
      <w:pPr>
        <w:pStyle w:val="Normlbehzs"/>
      </w:pPr>
      <w:r>
        <w:t xml:space="preserve">The boundaries of stanzas and their subunits are often emphasised with spaces in inscriptions, but if the layout is not deliberately designed with quasi-columns, these spaces will be staggered throughout the lines instead of constituting a grid (illustrated in </w:t>
      </w:r>
      <w:r>
        <w:fldChar w:fldCharType="begin"/>
      </w:r>
      <w:r>
        <w:instrText xml:space="preserve"> REF _Ref182995673 \h </w:instrText>
      </w:r>
      <w:r>
        <w:fldChar w:fldCharType="separate"/>
      </w:r>
      <w:r>
        <w:t xml:space="preserve">Exhibit </w:t>
      </w:r>
      <w:r>
        <w:rPr>
          <w:noProof/>
        </w:rPr>
        <w:t>5.4</w:t>
      </w:r>
      <w:r>
        <w:t>.</w:t>
      </w:r>
      <w:r>
        <w:rPr>
          <w:noProof/>
        </w:rPr>
        <w:t>A</w:t>
      </w:r>
      <w:r>
        <w:fldChar w:fldCharType="end"/>
      </w:r>
      <w:r>
        <w:t>). In such a case, a gridlike partition is not present.</w:t>
      </w:r>
    </w:p>
    <w:p w14:paraId="41641A10" w14:textId="77777777">
      <w:pPr>
        <w:pStyle w:val="Lista"/>
      </w:pPr>
      <w:r>
        <w:t>encoding gridlike partitions is recommended for quasi-columns only if the columns are a neat and salient feature of the inscription’s layout</w:t>
      </w:r>
    </w:p>
    <w:p w14:paraId="3848AD02" w14:textId="151CB2BC">
      <w:pPr>
        <w:pStyle w:val="Lista2"/>
      </w:pPr>
      <w:r>
        <w:t xml:space="preserve">in this case, the milestones shall be encoded with </w:t>
      </w:r>
      <w:r>
        <w:rPr>
          <w:rStyle w:val="Codeattribute"/>
        </w:rPr>
        <w:t>@unit=</w:t>
      </w:r>
      <w:r>
        <w:rPr>
          <w:rStyle w:val="Codevalue"/>
        </w:rPr>
        <w:t>"column"</w:t>
      </w:r>
      <w:r>
        <w:t xml:space="preserve"> (§</w:t>
      </w:r>
      <w:r>
        <w:fldChar w:fldCharType="begin"/>
      </w:r>
      <w:r>
        <w:instrText xml:space="preserve"> REF _Ref182815315 \r \h </w:instrText>
      </w:r>
      <w:r>
        <w:fldChar w:fldCharType="separate"/>
      </w:r>
      <w:r>
        <w:t>4.3.1</w:t>
      </w:r>
      <w:r>
        <w:fldChar w:fldCharType="end"/>
      </w:r>
      <w:r>
        <w:t>)</w:t>
      </w:r>
    </w:p>
    <w:p w14:paraId="5721ED5B" w14:textId="4C57ED24">
      <w:pPr>
        <w:pStyle w:val="Lista2"/>
      </w:pPr>
      <w:r>
        <w:t>if quasi-columns are present only in a part of the inscribed field, then encode gridlike milestones only for the lines affected by the quasi-columns (cf. §</w:t>
      </w:r>
      <w:r>
        <w:fldChar w:fldCharType="begin"/>
      </w:r>
      <w:r>
        <w:instrText xml:space="preserve"> REF _Ref225860329 \r \h </w:instrText>
      </w:r>
      <w:r>
        <w:fldChar w:fldCharType="separate"/>
      </w:r>
      <w:r>
        <w:t>4.7.6.1</w:t>
      </w:r>
      <w:r>
        <w:fldChar w:fldCharType="end"/>
      </w:r>
      <w:r>
        <w:t>)</w:t>
      </w:r>
    </w:p>
    <w:p w14:paraId="4B9BAEC6" w14:textId="52BC12EA">
      <w:pPr>
        <w:pStyle w:val="Lista"/>
      </w:pPr>
      <w:r>
        <w:t>if quasi-columns are encoded with milestones, then the space between them shall not be represented as space (§</w:t>
      </w:r>
      <w:r>
        <w:fldChar w:fldCharType="begin"/>
      </w:r>
      <w:r>
        <w:instrText xml:space="preserve"> REF _Ref183011891 \r \h </w:instrText>
      </w:r>
      <w:r>
        <w:fldChar w:fldCharType="separate"/>
      </w:r>
      <w:r>
        <w:t>5.4.1</w:t>
      </w:r>
      <w:r>
        <w:fldChar w:fldCharType="end"/>
      </w:r>
      <w:r>
        <w:t>) in your edition</w:t>
      </w:r>
    </w:p>
    <w:p w14:paraId="68936028" w14:textId="573C83DF">
      <w:pPr>
        <w:pStyle w:val="Lista"/>
      </w:pPr>
      <w:r>
        <w:t>if you choose not to encode a gridlike partition for spaced verse (whether because you consider it unnecessary or because the spacing is irregular), the spaces shall be encoded as per §</w:t>
      </w:r>
      <w:r>
        <w:fldChar w:fldCharType="begin"/>
      </w:r>
      <w:r>
        <w:instrText xml:space="preserve"> REF _Ref183011891 \r \h </w:instrText>
      </w:r>
      <w:r>
        <w:fldChar w:fldCharType="separate"/>
      </w:r>
      <w:r>
        <w:t>5.4.1</w:t>
      </w:r>
      <w:r>
        <w:fldChar w:fldCharType="end"/>
      </w:r>
    </w:p>
    <w:tbl>
      <w:tblPr>
        <w:tblStyle w:val="CodeSampleTable"/>
        <w:tblW w:w="5000" w:type="pct"/>
        <w:tblLook w:val="04A0" w:firstRow="1" w:lastRow="0" w:firstColumn="1" w:lastColumn="0" w:noHBand="0" w:noVBand="1"/>
      </w:tblPr>
      <w:tblGrid>
        <w:gridCol w:w="9628"/>
      </w:tblGrid>
      <w:tr w14:paraId="4C0087FA"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8DCDC68" w14:textId="5501FAF1">
            <w:pPr>
              <w:pStyle w:val="Kpalrs"/>
              <w:keepLines/>
            </w:pPr>
            <w:bookmarkStart w:id="351" w:name="_Ref44078509"/>
            <w:r>
              <w:lastRenderedPageBreak/>
              <w:t xml:space="preserve">Exhibit </w:t>
            </w:r>
            <w:fldSimple w:instr=" STYLEREF 2 \s ">
              <w:r>
                <w:rPr>
                  <w:noProof/>
                </w:rPr>
                <w:t>4.7</w:t>
              </w:r>
            </w:fldSimple>
            <w:r>
              <w:t>.</w:t>
            </w:r>
            <w:fldSimple w:instr=" SEQ Exhibit \* ALPHABETIC \s 2 ">
              <w:r>
                <w:rPr>
                  <w:noProof/>
                </w:rPr>
                <w:t>Q</w:t>
              </w:r>
            </w:fldSimple>
            <w:bookmarkEnd w:id="351"/>
            <w:r>
              <w:t>: gridlike partitions for verse inscribed in quasi-columns</w:t>
            </w:r>
          </w:p>
        </w:tc>
      </w:tr>
      <w:tr w14:paraId="3F399EDB" w14:textId="77777777">
        <w:tc>
          <w:tcPr>
            <w:tcW w:w="5000" w:type="pct"/>
          </w:tcPr>
          <w:p w14:paraId="4B6D67F2" w14:textId="77777777">
            <w:pPr>
              <w:pStyle w:val="Image"/>
              <w:keepLines/>
            </w:pPr>
            <w:r>
              <w:drawing>
                <wp:inline distT="0" distB="0" distL="0" distR="0" wp14:anchorId="0174EFAD" wp14:editId="7E1B7C9C">
                  <wp:extent cx="5397500" cy="1487805"/>
                  <wp:effectExtent l="0" t="0" r="0" b="0"/>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7500" cy="1487805"/>
                          </a:xfrm>
                          <a:prstGeom prst="rect">
                            <a:avLst/>
                          </a:prstGeom>
                          <a:noFill/>
                          <a:ln>
                            <a:noFill/>
                          </a:ln>
                        </pic:spPr>
                      </pic:pic>
                    </a:graphicData>
                  </a:graphic>
                </wp:inline>
              </w:drawing>
            </w:r>
          </w:p>
        </w:tc>
      </w:tr>
      <w:tr w14:paraId="541A6F27" w14:textId="77777777">
        <w:tc>
          <w:tcPr>
            <w:tcW w:w="5000" w:type="pct"/>
          </w:tcPr>
          <w:p w14:paraId="20901FA3" w14:textId="77777777">
            <w:pPr>
              <w:pStyle w:val="CodeParagraph"/>
              <w:rPr>
                <w:rStyle w:val="Code"/>
              </w:rPr>
            </w:pPr>
            <w:r>
              <w:rPr>
                <w:rStyle w:val="Code"/>
              </w:rPr>
              <w:t xml:space="preserve">&lt;lg </w:t>
            </w:r>
            <w:r>
              <w:rPr>
                <w:rStyle w:val="Codeattribute"/>
              </w:rPr>
              <w:t>n</w:t>
            </w:r>
            <w:r>
              <w:rPr>
                <w:rStyle w:val="Code"/>
              </w:rPr>
              <w:t>=</w:t>
            </w:r>
            <w:r>
              <w:rPr>
                <w:rStyle w:val="Codevalue"/>
              </w:rPr>
              <w:t>"1"</w:t>
            </w:r>
            <w:r>
              <w:rPr>
                <w:rStyle w:val="Code"/>
              </w:rPr>
              <w:t>&gt;</w:t>
            </w:r>
            <w:r>
              <w:rPr>
                <w:rStyle w:val="Codetext"/>
              </w:rPr>
              <w:br/>
              <w:t xml:space="preserve">  </w:t>
            </w:r>
            <w:r>
              <w:rPr>
                <w:rStyle w:val="Code"/>
              </w:rPr>
              <w:t>&lt;l</w:t>
            </w:r>
            <w:r>
              <w:rPr>
                <w:rStyle w:val="Codeattribute"/>
              </w:rPr>
              <w:t xml:space="preserve"> n</w:t>
            </w:r>
            <w:r>
              <w:rPr>
                <w:rStyle w:val="Code"/>
              </w:rPr>
              <w:t>=</w:t>
            </w:r>
            <w:r>
              <w:rPr>
                <w:rStyle w:val="Codevalue"/>
              </w:rPr>
              <w:t>"a"</w:t>
            </w:r>
            <w:r>
              <w:rPr>
                <w:rStyle w:val="Code"/>
              </w:rPr>
              <w:t xml:space="preserve">&gt;&lt;lb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t xml:space="preserve"> </w:t>
            </w:r>
            <w:r>
              <w:rPr>
                <w:rStyle w:val="Codetext"/>
              </w:rPr>
              <w:t xml:space="preserve">Chip the glasses and </w:t>
            </w:r>
            <w:r>
              <w:rPr>
                <w:rStyle w:val="Code"/>
              </w:rPr>
              <w:t xml:space="preserve">&lt;milestone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crack the plates!</w:t>
            </w:r>
            <w:r>
              <w:rPr>
                <w:rStyle w:val="Code"/>
              </w:rPr>
              <w:t>&lt;/l&gt;</w:t>
            </w:r>
            <w:r>
              <w:rPr>
                <w:rStyle w:val="Codetext"/>
              </w:rPr>
              <w:br/>
              <w:t xml:space="preserve">  </w:t>
            </w:r>
            <w:r>
              <w:rPr>
                <w:rStyle w:val="Code"/>
              </w:rPr>
              <w:t>&lt;l</w:t>
            </w:r>
            <w:r>
              <w:rPr>
                <w:rStyle w:val="Codeattribute"/>
              </w:rPr>
              <w:t xml:space="preserve"> n</w:t>
            </w:r>
            <w:r>
              <w:rPr>
                <w:rStyle w:val="Code"/>
              </w:rPr>
              <w:t>=</w:t>
            </w:r>
            <w:r>
              <w:rPr>
                <w:rStyle w:val="Codevalue"/>
              </w:rPr>
              <w:t>"b"</w:t>
            </w:r>
            <w:r>
              <w:rPr>
                <w:rStyle w:val="Code"/>
              </w:rPr>
              <w:t xml:space="preserve">&gt;&lt;lb </w:t>
            </w:r>
            <w:r>
              <w:rPr>
                <w:rStyle w:val="Codeattribute"/>
              </w:rPr>
              <w:t>n</w:t>
            </w:r>
            <w:r>
              <w:rPr>
                <w:rStyle w:val="Code"/>
              </w:rPr>
              <w:t>=</w:t>
            </w:r>
            <w:r>
              <w:rPr>
                <w:rStyle w:val="Codevalue"/>
              </w:rPr>
              <w:t>"2"</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Blunt the knives and </w:t>
            </w:r>
            <w:r>
              <w:rPr>
                <w:rStyle w:val="Code"/>
              </w:rPr>
              <w:t xml:space="preserve">&lt;milestone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bend the forks!</w:t>
            </w:r>
            <w:r>
              <w:rPr>
                <w:rStyle w:val="Code"/>
              </w:rPr>
              <w:t>&lt;/l&gt;</w:t>
            </w:r>
            <w:r>
              <w:rPr>
                <w:rStyle w:val="Codetext"/>
              </w:rPr>
              <w:br/>
              <w:t xml:space="preserve">  </w:t>
            </w:r>
            <w:r>
              <w:rPr>
                <w:rStyle w:val="Code"/>
              </w:rPr>
              <w:t>&lt;l</w:t>
            </w:r>
            <w:r>
              <w:rPr>
                <w:rStyle w:val="Codeattribute"/>
              </w:rPr>
              <w:t xml:space="preserve"> n</w:t>
            </w:r>
            <w:r>
              <w:rPr>
                <w:rStyle w:val="Code"/>
              </w:rPr>
              <w:t>=</w:t>
            </w:r>
            <w:r>
              <w:rPr>
                <w:rStyle w:val="Codevalue"/>
              </w:rPr>
              <w:t>"c"</w:t>
            </w:r>
            <w:r>
              <w:rPr>
                <w:rStyle w:val="Code"/>
              </w:rPr>
              <w:t xml:space="preserve">&gt;&lt;lb </w:t>
            </w:r>
            <w:r>
              <w:rPr>
                <w:rStyle w:val="Codeattribute"/>
              </w:rPr>
              <w:t>n</w:t>
            </w:r>
            <w:r>
              <w:rPr>
                <w:rStyle w:val="Code"/>
              </w:rPr>
              <w:t>=</w:t>
            </w:r>
            <w:r>
              <w:rPr>
                <w:rStyle w:val="Codevalue"/>
              </w:rPr>
              <w:t>"3"</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That’s what Bilbo </w:t>
            </w:r>
            <w:r>
              <w:rPr>
                <w:rStyle w:val="Code"/>
              </w:rPr>
              <w:t xml:space="preserve">&lt;milestone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 xml:space="preserve"> Baggins hates—</w:t>
            </w:r>
            <w:r>
              <w:rPr>
                <w:rStyle w:val="Code"/>
              </w:rPr>
              <w:t>&lt;/l&gt;</w:t>
            </w:r>
            <w:r>
              <w:rPr>
                <w:rStyle w:val="Codetext"/>
              </w:rPr>
              <w:br/>
              <w:t xml:space="preserve">  </w:t>
            </w:r>
            <w:r>
              <w:rPr>
                <w:rStyle w:val="Code"/>
              </w:rPr>
              <w:t>&lt;l</w:t>
            </w:r>
            <w:r>
              <w:rPr>
                <w:rStyle w:val="Codeattribute"/>
              </w:rPr>
              <w:t xml:space="preserve"> n</w:t>
            </w:r>
            <w:r>
              <w:rPr>
                <w:rStyle w:val="Code"/>
              </w:rPr>
              <w:t>=</w:t>
            </w:r>
            <w:r>
              <w:rPr>
                <w:rStyle w:val="Codevalue"/>
              </w:rPr>
              <w:t>"d"</w:t>
            </w:r>
            <w:r>
              <w:rPr>
                <w:rStyle w:val="Code"/>
              </w:rPr>
              <w:t xml:space="preserve">&gt;&lt;lb </w:t>
            </w:r>
            <w:r>
              <w:rPr>
                <w:rStyle w:val="Codeattribute"/>
              </w:rPr>
              <w:t>n</w:t>
            </w:r>
            <w:r>
              <w:rPr>
                <w:rStyle w:val="Code"/>
              </w:rPr>
              <w:t>=</w:t>
            </w:r>
            <w:r>
              <w:rPr>
                <w:rStyle w:val="Codevalue"/>
              </w:rPr>
              <w:t>"4"</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Smash the bottles and </w:t>
            </w:r>
            <w:r>
              <w:rPr>
                <w:rStyle w:val="Code"/>
              </w:rPr>
              <w:t xml:space="preserve">&lt;milestone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burn the corks!</w:t>
            </w:r>
            <w:r>
              <w:rPr>
                <w:rStyle w:val="Code"/>
              </w:rPr>
              <w:t>&lt;/l&gt;</w:t>
            </w:r>
            <w:r>
              <w:rPr>
                <w:rStyle w:val="Codetext"/>
              </w:rPr>
              <w:br/>
            </w:r>
            <w:r>
              <w:rPr>
                <w:rStyle w:val="Code"/>
              </w:rPr>
              <w:t>&lt;/lg&gt;</w:t>
            </w:r>
          </w:p>
        </w:tc>
      </w:tr>
      <w:tr w14:paraId="136C388E" w14:textId="77777777">
        <w:tc>
          <w:tcPr>
            <w:tcW w:w="5000" w:type="pct"/>
          </w:tcPr>
          <w:p w14:paraId="15271B30" w14:textId="77777777">
            <w:pPr>
              <w:pStyle w:val="TableNote"/>
              <w:keepNext/>
              <w:keepLines/>
            </w:pPr>
            <w:r>
              <w:t>in this inscription, spacing at the caesura in each line arranges the text into neat columns</w:t>
            </w:r>
          </w:p>
          <w:p w14:paraId="184AC91F" w14:textId="77777777">
            <w:pPr>
              <w:pStyle w:val="TableNote"/>
              <w:keepNext/>
              <w:keepLines/>
            </w:pPr>
            <w:r>
              <w:t>the start of each column has been marked up with a gridlike milestone</w:t>
            </w:r>
          </w:p>
          <w:p w14:paraId="08126516" w14:textId="77777777">
            <w:pPr>
              <w:pStyle w:val="TableNote"/>
              <w:keepNext/>
              <w:keepLines/>
            </w:pPr>
            <w:r>
              <w:t>if some or all subsequent column beginnings coincide with the beginning of a verse line (rather than just a caesura within a line), then the milestone for the applicable column must be within the container for the new line</w:t>
            </w:r>
          </w:p>
          <w:p w14:paraId="44BCA0A8" w14:textId="1A8201D5">
            <w:pPr>
              <w:pStyle w:val="TableNote"/>
              <w:keepNext/>
              <w:keepLines/>
            </w:pPr>
            <w:r>
              <w:t xml:space="preserve">compare </w:t>
            </w:r>
            <w:r>
              <w:fldChar w:fldCharType="begin"/>
            </w:r>
            <w:r>
              <w:instrText xml:space="preserve"> REF _Ref182995673 \h </w:instrText>
            </w:r>
            <w:r>
              <w:fldChar w:fldCharType="separate"/>
            </w:r>
            <w:r>
              <w:t xml:space="preserve">Exhibit </w:t>
            </w:r>
            <w:r>
              <w:rPr>
                <w:noProof/>
              </w:rPr>
              <w:t>5.4</w:t>
            </w:r>
            <w:r>
              <w:t>.</w:t>
            </w:r>
            <w:r>
              <w:rPr>
                <w:noProof/>
              </w:rPr>
              <w:t>A</w:t>
            </w:r>
            <w:r>
              <w:fldChar w:fldCharType="end"/>
            </w:r>
            <w:r>
              <w:t xml:space="preserve"> where the same stanza’s spacing does not result in the text laid out in columns, so encoding with gridlike milestones is not applicable</w:t>
            </w:r>
          </w:p>
        </w:tc>
      </w:tr>
      <w:tr w14:paraId="3DCF25CF" w14:textId="77777777">
        <w:tc>
          <w:tcPr>
            <w:tcW w:w="5000" w:type="pct"/>
          </w:tcPr>
          <w:p w14:paraId="39C26C2A" w14:textId="77777777">
            <w:pPr>
              <w:pStyle w:val="TableNote"/>
            </w:pPr>
            <w:r>
              <w:t>alternative encoding without milestones:</w:t>
            </w:r>
          </w:p>
          <w:p w14:paraId="72BC5328" w14:textId="77777777">
            <w:pPr>
              <w:pStyle w:val="CodeParagraph"/>
              <w:rPr>
                <w:rFonts w:ascii="Consolas" w:hAnsi="Consolas" w:cs="Consolas"/>
                <w:noProof/>
                <w:color w:val="002060"/>
                <w:shd w:val="clear" w:color="auto" w:fill="F2F2F2" w:themeFill="background1" w:themeFillShade="F2"/>
              </w:rPr>
            </w:pPr>
            <w:r>
              <w:rPr>
                <w:rStyle w:val="Code"/>
              </w:rPr>
              <w:t xml:space="preserve">&lt;lg </w:t>
            </w:r>
            <w:r>
              <w:rPr>
                <w:rStyle w:val="Codeattribute"/>
              </w:rPr>
              <w:t>n</w:t>
            </w:r>
            <w:r>
              <w:rPr>
                <w:rStyle w:val="Code"/>
              </w:rPr>
              <w:t>=</w:t>
            </w:r>
            <w:r>
              <w:rPr>
                <w:rStyle w:val="Codevalue"/>
              </w:rPr>
              <w:t>"1"</w:t>
            </w:r>
            <w:r>
              <w:rPr>
                <w:rStyle w:val="Code"/>
              </w:rPr>
              <w:t>&gt;</w:t>
            </w:r>
            <w:r>
              <w:rPr>
                <w:rStyle w:val="Codetext"/>
              </w:rPr>
              <w:br/>
              <w:t xml:space="preserve">  </w:t>
            </w:r>
            <w:r>
              <w:rPr>
                <w:rStyle w:val="Code"/>
              </w:rPr>
              <w:t>&lt;l</w:t>
            </w:r>
            <w:r>
              <w:rPr>
                <w:rStyle w:val="Codeattribute"/>
              </w:rPr>
              <w:t xml:space="preserve"> n</w:t>
            </w:r>
            <w:r>
              <w:rPr>
                <w:rStyle w:val="Code"/>
              </w:rPr>
              <w:t>=</w:t>
            </w:r>
            <w:r>
              <w:rPr>
                <w:rStyle w:val="Codevalue"/>
              </w:rPr>
              <w:t>"a"</w:t>
            </w:r>
            <w:r>
              <w:rPr>
                <w:rStyle w:val="Code"/>
              </w:rPr>
              <w:t xml:space="preserve">&gt;&lt;lb </w:t>
            </w:r>
            <w:r>
              <w:rPr>
                <w:rStyle w:val="Codeattribute"/>
              </w:rPr>
              <w:t>n</w:t>
            </w:r>
            <w:r>
              <w:rPr>
                <w:rStyle w:val="Code"/>
              </w:rPr>
              <w:t>=</w:t>
            </w:r>
            <w:r>
              <w:rPr>
                <w:rStyle w:val="Codevalue"/>
              </w:rPr>
              <w:t>"1"</w:t>
            </w:r>
            <w:r>
              <w:rPr>
                <w:rStyle w:val="Code"/>
              </w:rPr>
              <w:t>/&gt;</w:t>
            </w:r>
            <w:r>
              <w:t xml:space="preserve"> </w:t>
            </w:r>
            <w:r>
              <w:rPr>
                <w:rStyle w:val="Codetext"/>
              </w:rPr>
              <w:t xml:space="preserve">Chip the glasses and </w:t>
            </w:r>
            <w:r>
              <w:rPr>
                <w:rStyle w:val="Code"/>
              </w:rPr>
              <w:t>&lt;space/&gt;</w:t>
            </w:r>
            <w:r>
              <w:rPr>
                <w:rStyle w:val="Codetext"/>
              </w:rPr>
              <w:t>crack the plates!</w:t>
            </w:r>
            <w:r>
              <w:rPr>
                <w:rStyle w:val="Code"/>
              </w:rPr>
              <w:t>&lt;/l&gt;</w:t>
            </w:r>
            <w:r>
              <w:rPr>
                <w:rStyle w:val="Codetext"/>
              </w:rPr>
              <w:br/>
              <w:t xml:space="preserve">  </w:t>
            </w:r>
            <w:r>
              <w:rPr>
                <w:rStyle w:val="Code"/>
              </w:rPr>
              <w:t>&lt;l</w:t>
            </w:r>
            <w:r>
              <w:rPr>
                <w:rStyle w:val="Codeattribute"/>
              </w:rPr>
              <w:t xml:space="preserve"> n</w:t>
            </w:r>
            <w:r>
              <w:rPr>
                <w:rStyle w:val="Code"/>
              </w:rPr>
              <w:t>=</w:t>
            </w:r>
            <w:r>
              <w:rPr>
                <w:rStyle w:val="Codevalue"/>
              </w:rPr>
              <w:t>"b"</w:t>
            </w:r>
            <w:r>
              <w:rPr>
                <w:rStyle w:val="Code"/>
              </w:rPr>
              <w:t xml:space="preserve">&gt;&lt;lb </w:t>
            </w:r>
            <w:r>
              <w:rPr>
                <w:rStyle w:val="Codeattribute"/>
              </w:rPr>
              <w:t>n</w:t>
            </w:r>
            <w:r>
              <w:rPr>
                <w:rStyle w:val="Code"/>
              </w:rPr>
              <w:t>=</w:t>
            </w:r>
            <w:r>
              <w:rPr>
                <w:rStyle w:val="Codevalue"/>
              </w:rPr>
              <w:t>"2"</w:t>
            </w:r>
            <w:r>
              <w:rPr>
                <w:rStyle w:val="Code"/>
              </w:rPr>
              <w:t>/&gt;</w:t>
            </w:r>
            <w:r>
              <w:rPr>
                <w:rStyle w:val="Codetext"/>
              </w:rPr>
              <w:t xml:space="preserve">Blunt the knives and </w:t>
            </w:r>
            <w:r>
              <w:rPr>
                <w:rStyle w:val="Code"/>
              </w:rPr>
              <w:t>&lt;space/&gt;</w:t>
            </w:r>
            <w:r>
              <w:rPr>
                <w:rStyle w:val="Codetext"/>
              </w:rPr>
              <w:t>bend the forks!</w:t>
            </w:r>
            <w:r>
              <w:rPr>
                <w:rStyle w:val="Code"/>
              </w:rPr>
              <w:t>&lt;/l&gt;</w:t>
            </w:r>
            <w:r>
              <w:rPr>
                <w:rStyle w:val="Codetext"/>
              </w:rPr>
              <w:br/>
              <w:t xml:space="preserve">  </w:t>
            </w:r>
            <w:r>
              <w:rPr>
                <w:rStyle w:val="Code"/>
              </w:rPr>
              <w:t>&lt;l</w:t>
            </w:r>
            <w:r>
              <w:rPr>
                <w:rStyle w:val="Codeattribute"/>
              </w:rPr>
              <w:t xml:space="preserve"> n</w:t>
            </w:r>
            <w:r>
              <w:rPr>
                <w:rStyle w:val="Code"/>
              </w:rPr>
              <w:t>=</w:t>
            </w:r>
            <w:r>
              <w:rPr>
                <w:rStyle w:val="Codevalue"/>
              </w:rPr>
              <w:t>"c"</w:t>
            </w:r>
            <w:r>
              <w:rPr>
                <w:rStyle w:val="Code"/>
              </w:rPr>
              <w:t xml:space="preserve">&gt;&lt;lb </w:t>
            </w:r>
            <w:r>
              <w:rPr>
                <w:rStyle w:val="Codeattribute"/>
              </w:rPr>
              <w:t>n</w:t>
            </w:r>
            <w:r>
              <w:rPr>
                <w:rStyle w:val="Code"/>
              </w:rPr>
              <w:t>=</w:t>
            </w:r>
            <w:r>
              <w:rPr>
                <w:rStyle w:val="Codevalue"/>
              </w:rPr>
              <w:t>"3"</w:t>
            </w:r>
            <w:r>
              <w:rPr>
                <w:rStyle w:val="Code"/>
              </w:rPr>
              <w:t>/&gt;</w:t>
            </w:r>
            <w:r>
              <w:rPr>
                <w:rStyle w:val="Codetext"/>
              </w:rPr>
              <w:t xml:space="preserve">That’s what Bilbo </w:t>
            </w:r>
            <w:r>
              <w:rPr>
                <w:rStyle w:val="Code"/>
              </w:rPr>
              <w:t>&lt;space/&gt;</w:t>
            </w:r>
            <w:r>
              <w:rPr>
                <w:rStyle w:val="Codetext"/>
              </w:rPr>
              <w:t>Baggins hates—</w:t>
            </w:r>
            <w:r>
              <w:rPr>
                <w:rStyle w:val="Code"/>
              </w:rPr>
              <w:t>&lt;/l&gt;</w:t>
            </w:r>
            <w:r>
              <w:rPr>
                <w:rStyle w:val="Codetext"/>
              </w:rPr>
              <w:br/>
              <w:t xml:space="preserve">  </w:t>
            </w:r>
            <w:r>
              <w:rPr>
                <w:rStyle w:val="Code"/>
              </w:rPr>
              <w:t>&lt;l</w:t>
            </w:r>
            <w:r>
              <w:rPr>
                <w:rStyle w:val="Codeattribute"/>
              </w:rPr>
              <w:t xml:space="preserve"> n</w:t>
            </w:r>
            <w:r>
              <w:rPr>
                <w:rStyle w:val="Code"/>
              </w:rPr>
              <w:t>=</w:t>
            </w:r>
            <w:r>
              <w:rPr>
                <w:rStyle w:val="Codevalue"/>
              </w:rPr>
              <w:t>"d"</w:t>
            </w:r>
            <w:r>
              <w:rPr>
                <w:rStyle w:val="Code"/>
              </w:rPr>
              <w:t xml:space="preserve">&gt;&lt;lb </w:t>
            </w:r>
            <w:r>
              <w:rPr>
                <w:rStyle w:val="Codeattribute"/>
              </w:rPr>
              <w:t>n</w:t>
            </w:r>
            <w:r>
              <w:rPr>
                <w:rStyle w:val="Code"/>
              </w:rPr>
              <w:t>=</w:t>
            </w:r>
            <w:r>
              <w:rPr>
                <w:rStyle w:val="Codevalue"/>
              </w:rPr>
              <w:t>"4"</w:t>
            </w:r>
            <w:r>
              <w:rPr>
                <w:rStyle w:val="Code"/>
              </w:rPr>
              <w:t>/&gt;</w:t>
            </w:r>
            <w:r>
              <w:rPr>
                <w:rStyle w:val="Codetext"/>
              </w:rPr>
              <w:t xml:space="preserve">Smash the bottles and </w:t>
            </w:r>
            <w:r>
              <w:rPr>
                <w:rStyle w:val="Code"/>
              </w:rPr>
              <w:t>&lt;space/&gt;</w:t>
            </w:r>
            <w:r>
              <w:rPr>
                <w:rStyle w:val="Codetext"/>
              </w:rPr>
              <w:t>burn the corks!</w:t>
            </w:r>
            <w:r>
              <w:rPr>
                <w:rStyle w:val="Code"/>
              </w:rPr>
              <w:t>&lt;/l&gt;</w:t>
            </w:r>
            <w:r>
              <w:rPr>
                <w:rStyle w:val="Codetext"/>
              </w:rPr>
              <w:br/>
            </w:r>
            <w:r>
              <w:rPr>
                <w:rStyle w:val="Code"/>
              </w:rPr>
              <w:t>&lt;/lg&gt;</w:t>
            </w:r>
          </w:p>
        </w:tc>
      </w:tr>
    </w:tbl>
    <w:p w14:paraId="0DDF6361" w14:textId="77777777">
      <w:pPr>
        <w:pStyle w:val="Cmsor4"/>
      </w:pPr>
      <w:r>
        <w:t>Grids of subsurfaces</w:t>
      </w:r>
    </w:p>
    <w:p w14:paraId="4DF42879" w14:textId="234E9C6A">
      <w:r>
        <w:t xml:space="preserve">Complex three-dimensional surfaces such as those of a polygonal pillar or a stele may be inscribed in such a way that each line runs across two or more subsurfaces, as in </w:t>
      </w:r>
      <w:r>
        <w:fldChar w:fldCharType="begin"/>
      </w:r>
      <w:r>
        <w:instrText xml:space="preserve"> REF _Ref182822234 \h </w:instrText>
      </w:r>
      <w:r>
        <w:fldChar w:fldCharType="separate"/>
      </w:r>
      <w:r>
        <w:t xml:space="preserve">Exhibit </w:t>
      </w:r>
      <w:r>
        <w:rPr>
          <w:noProof/>
        </w:rPr>
        <w:t>4.7</w:t>
      </w:r>
      <w:r>
        <w:t>.</w:t>
      </w:r>
      <w:r>
        <w:rPr>
          <w:noProof/>
        </w:rPr>
        <w:t>R</w:t>
      </w:r>
      <w:r>
        <w:fldChar w:fldCharType="end"/>
      </w:r>
      <w:r>
        <w:t xml:space="preserve"> and </w:t>
      </w:r>
      <w:r>
        <w:fldChar w:fldCharType="begin"/>
      </w:r>
      <w:r>
        <w:instrText xml:space="preserve"> REF _Ref239844365 \r \h </w:instrText>
      </w:r>
      <w:r>
        <w:fldChar w:fldCharType="separate"/>
      </w:r>
      <w:r>
        <w:t>Appendix A.5</w:t>
      </w:r>
      <w:r>
        <w:fldChar w:fldCharType="end"/>
      </w:r>
      <w:r>
        <w:t>.  The edges separating the faces constituting the surface produce a gridlike partition.</w:t>
      </w:r>
    </w:p>
    <w:p w14:paraId="2AC1988E" w14:textId="77777777">
      <w:pPr>
        <w:pStyle w:val="Lista"/>
      </w:pPr>
      <w:r>
        <w:t>encoding gridlike partitions is generally not recommended for complex surfaces, but may be applied if such encoding is deemed useful</w:t>
      </w:r>
    </w:p>
    <w:p w14:paraId="600636F5" w14:textId="589FD1D4">
      <w:pPr>
        <w:pStyle w:val="Lista2"/>
      </w:pPr>
      <w:r>
        <w:t xml:space="preserve">the milestones shall be encoded with </w:t>
      </w:r>
      <w:r>
        <w:rPr>
          <w:rStyle w:val="Codeattribute"/>
        </w:rPr>
        <w:t>@unit=</w:t>
      </w:r>
      <w:r>
        <w:rPr>
          <w:rStyle w:val="Codevalue"/>
        </w:rPr>
        <w:t>"face"</w:t>
      </w:r>
      <w:r>
        <w:t xml:space="preserve"> (§</w:t>
      </w:r>
      <w:r>
        <w:fldChar w:fldCharType="begin"/>
      </w:r>
      <w:r>
        <w:instrText xml:space="preserve"> REF _Ref182815315 \r \h </w:instrText>
      </w:r>
      <w:r>
        <w:fldChar w:fldCharType="separate"/>
      </w:r>
      <w:r>
        <w:t>4.3.1</w:t>
      </w:r>
      <w:r>
        <w:fldChar w:fldCharType="end"/>
      </w:r>
      <w:r>
        <w:t>)</w:t>
      </w:r>
    </w:p>
    <w:p w14:paraId="1DA2F6C1" w14:textId="1F735622">
      <w:pPr>
        <w:pStyle w:val="Lista"/>
      </w:pPr>
      <w:r>
        <w:t>if you choose not to encode a gridlike partition for a complex surface, and the lines contain conspicuous spaces around the transitions from one subsurface to another, these spaces shall be encoded as per §</w:t>
      </w:r>
      <w:r>
        <w:fldChar w:fldCharType="begin"/>
      </w:r>
      <w:r>
        <w:instrText xml:space="preserve"> REF _Ref183011891 \r \h </w:instrText>
      </w:r>
      <w:r>
        <w:fldChar w:fldCharType="separate"/>
      </w:r>
      <w:r>
        <w:t>5.4.1</w:t>
      </w:r>
      <w:r>
        <w:fldChar w:fldCharType="end"/>
      </w:r>
      <w:bookmarkStart w:id="352" w:name="_mtlzzef8q66a" w:colFirst="0" w:colLast="0"/>
      <w:bookmarkStart w:id="353" w:name="_r2vovj8fm87l" w:colFirst="0" w:colLast="0"/>
      <w:bookmarkStart w:id="354" w:name="_mssvwla5qx2o" w:colFirst="0" w:colLast="0"/>
      <w:bookmarkEnd w:id="352"/>
      <w:bookmarkEnd w:id="353"/>
      <w:bookmarkEnd w:id="354"/>
    </w:p>
    <w:tbl>
      <w:tblPr>
        <w:tblStyle w:val="CodeSampleTable"/>
        <w:tblW w:w="5000" w:type="pct"/>
        <w:tblLook w:val="04A0" w:firstRow="1" w:lastRow="0" w:firstColumn="1" w:lastColumn="0" w:noHBand="0" w:noVBand="1"/>
      </w:tblPr>
      <w:tblGrid>
        <w:gridCol w:w="9628"/>
      </w:tblGrid>
      <w:tr w14:paraId="469B2DF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FE10576" w14:textId="7C5B676C">
            <w:pPr>
              <w:pStyle w:val="Kpalrs"/>
              <w:keepLines/>
            </w:pPr>
            <w:bookmarkStart w:id="355" w:name="_Ref182822234"/>
            <w:r>
              <w:lastRenderedPageBreak/>
              <w:t xml:space="preserve">Exhibit </w:t>
            </w:r>
            <w:fldSimple w:instr=" STYLEREF 2 \s ">
              <w:r>
                <w:rPr>
                  <w:noProof/>
                </w:rPr>
                <w:t>4.7</w:t>
              </w:r>
            </w:fldSimple>
            <w:r>
              <w:t>.</w:t>
            </w:r>
            <w:fldSimple w:instr=" SEQ Exhibit \* ALPHABETIC \s 2 ">
              <w:r>
                <w:rPr>
                  <w:noProof/>
                </w:rPr>
                <w:t>R</w:t>
              </w:r>
            </w:fldSimple>
            <w:bookmarkEnd w:id="355"/>
            <w:r>
              <w:t>: gridlike partitions for adjacent faces of a polygonal pillar</w:t>
            </w:r>
          </w:p>
        </w:tc>
      </w:tr>
      <w:tr w14:paraId="5D720CD7" w14:textId="77777777">
        <w:tc>
          <w:tcPr>
            <w:tcW w:w="5000" w:type="pct"/>
          </w:tcPr>
          <w:p w14:paraId="4A3E91F4" w14:textId="77777777">
            <w:pPr>
              <w:pStyle w:val="Image"/>
              <w:keepLines/>
            </w:pPr>
            <w:r>
              <w:drawing>
                <wp:inline distT="0" distB="0" distL="0" distR="0" wp14:anchorId="7F8878C9" wp14:editId="563ED6BA">
                  <wp:extent cx="5397500" cy="3173095"/>
                  <wp:effectExtent l="0" t="0" r="0" b="8255"/>
                  <wp:docPr id="41" name="Kép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7500" cy="3173095"/>
                          </a:xfrm>
                          <a:prstGeom prst="rect">
                            <a:avLst/>
                          </a:prstGeom>
                          <a:noFill/>
                          <a:ln>
                            <a:noFill/>
                          </a:ln>
                        </pic:spPr>
                      </pic:pic>
                    </a:graphicData>
                  </a:graphic>
                </wp:inline>
              </w:drawing>
            </w:r>
          </w:p>
        </w:tc>
      </w:tr>
      <w:tr w14:paraId="30750EFA" w14:textId="77777777">
        <w:tc>
          <w:tcPr>
            <w:tcW w:w="5000" w:type="pct"/>
          </w:tcPr>
          <w:p w14:paraId="7B636DB7" w14:textId="77777777">
            <w:pPr>
              <w:pStyle w:val="CodeParagraph"/>
              <w:keepNext/>
              <w:keepLines/>
              <w:spacing w:line="240" w:lineRule="auto"/>
              <w:rPr>
                <w:rFonts w:ascii="Consolas" w:hAnsi="Consolas" w:cs="Consolas"/>
                <w:noProof/>
                <w:color w:val="002060"/>
                <w:shd w:val="clear" w:color="auto" w:fill="F2F2F2" w:themeFill="background1" w:themeFillShade="F2"/>
              </w:rPr>
            </w:pP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In a hole in the ground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there lived a hobbit. Not a</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nasty, dirty, wet hole, filled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with the ends of worms</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and an oozy smell, nor yet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a dry, bare, sandy hole</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with nothing in it to sit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down on or to eat: it was a</w:t>
            </w:r>
            <w:r>
              <w:rPr>
                <w:rStyle w:val="Codetext"/>
              </w:rPr>
              <w:br/>
              <w:t xml:space="preserve">  </w:t>
            </w:r>
            <w:r>
              <w:rPr>
                <w:rStyle w:val="Code"/>
              </w:rPr>
              <w:t xml:space="preserve">&lt;lb </w:t>
            </w:r>
            <w:r>
              <w:rPr>
                <w:rStyle w:val="Codeattribute"/>
              </w:rPr>
              <w:t>n</w:t>
            </w:r>
            <w:r>
              <w:rPr>
                <w:rStyle w:val="Code"/>
              </w:rPr>
              <w:t>=</w:t>
            </w:r>
            <w:r>
              <w:rPr>
                <w:rStyle w:val="Codevalue"/>
              </w:rPr>
              <w:t>"5"</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hobbit-hole, and that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means comfort.</w:t>
            </w:r>
            <w:r>
              <w:rPr>
                <w:rStyle w:val="Codetext"/>
              </w:rPr>
              <w:br/>
            </w:r>
            <w:r>
              <w:rPr>
                <w:rStyle w:val="Code"/>
              </w:rPr>
              <w:t>&lt;/p&gt;</w:t>
            </w:r>
          </w:p>
        </w:tc>
      </w:tr>
    </w:tbl>
    <w:p w14:paraId="59976096" w14:textId="77777777">
      <w:pPr>
        <w:pStyle w:val="Cmsor3"/>
      </w:pPr>
      <w:bookmarkStart w:id="356" w:name="_Ref225759925"/>
      <w:bookmarkStart w:id="357" w:name="_Toc243922635"/>
      <w:r>
        <w:t>Untidy extrinsic structure</w:t>
      </w:r>
      <w:bookmarkStart w:id="358" w:name="_Ref182811945"/>
      <w:bookmarkEnd w:id="356"/>
      <w:bookmarkEnd w:id="357"/>
    </w:p>
    <w:p w14:paraId="1F61530E" w14:textId="64D061D8">
      <w:r>
        <w:t>Certain aspects of extrinsic structure – typically fragmentation, but occasionally also the surfaces of complex three-dimensional objects – result in partitions that do not constitute a neat grid covering the entire campus of an inscription. This section describes good practice for such untidy situations. In addition to the specific guidelines below, keep in mind that when some extant pieces of a fragmented inscription cannot be fitted together, then boxlike partitions are called for (§</w:t>
      </w:r>
      <w:r>
        <w:fldChar w:fldCharType="begin"/>
      </w:r>
      <w:r>
        <w:instrText xml:space="preserve"> REF _Ref225346692 \r \h </w:instrText>
      </w:r>
      <w:r>
        <w:fldChar w:fldCharType="separate"/>
      </w:r>
      <w:r>
        <w:t>4.7.3.2</w:t>
      </w:r>
      <w:r>
        <w:fldChar w:fldCharType="end"/>
      </w:r>
      <w:r>
        <w:t>). Also keep in mind that in cases where fragments (or surfaces) do join up, as in the situations covered in this section, the encoding normally involves gridlike partitions, and the encoding of such partitions is always optional (§</w:t>
      </w:r>
      <w:r>
        <w:fldChar w:fldCharType="begin"/>
      </w:r>
      <w:r>
        <w:instrText xml:space="preserve"> REF _Ref182322267 \r \h </w:instrText>
      </w:r>
      <w:r>
        <w:fldChar w:fldCharType="separate"/>
      </w:r>
      <w:r>
        <w:t>4.7.5</w:t>
      </w:r>
      <w:r>
        <w:fldChar w:fldCharType="end"/>
      </w:r>
      <w:r>
        <w:t>). Thus, before complicating your encoding in an attempt to represent an untidy original document’s structure, consider whether doing so serves a useful purpose.</w:t>
      </w:r>
    </w:p>
    <w:p w14:paraId="73BBFD86" w14:textId="77777777">
      <w:pPr>
        <w:pStyle w:val="Cmsor4"/>
      </w:pPr>
      <w:bookmarkStart w:id="359" w:name="_Ref182813737"/>
      <w:bookmarkStart w:id="360" w:name="_Ref225860329"/>
      <w:r>
        <w:t xml:space="preserve">Features inadvertently splitting </w:t>
      </w:r>
      <w:r>
        <w:rPr>
          <w:rStyle w:val="Foreign"/>
        </w:rPr>
        <w:t>akṣara</w:t>
      </w:r>
      <w:r>
        <w:rPr>
          <w:rStyle w:val="Foreign"/>
          <w:i w:val="0"/>
          <w:iCs w:val="0"/>
        </w:rPr>
        <w:t>s</w:t>
      </w:r>
      <w:bookmarkEnd w:id="359"/>
    </w:p>
    <w:p w14:paraId="0DF9FBCA" w14:textId="19ADB283">
      <w:r>
        <w:t>Three-dimensional features of the support, such as a crack, may split a glyph inadvertently. When the feature is encoded as a partition (usually a gridlike one, possibly a pagelike one), then the graphemes of the text need to be assigned to one side of the partition or another. Such a situation must be handled differently from cases where a theoretically atomic glyph was deliberately split into parts by the engraver in order to accommodate a feature, for which see §</w:t>
      </w:r>
      <w:r>
        <w:fldChar w:fldCharType="begin"/>
      </w:r>
      <w:r>
        <w:instrText xml:space="preserve"> REF _Ref43987165 \r \h </w:instrText>
      </w:r>
      <w:r>
        <w:fldChar w:fldCharType="separate"/>
      </w:r>
      <w:r>
        <w:t>5.1.4</w:t>
      </w:r>
      <w:r>
        <w:fldChar w:fldCharType="end"/>
      </w:r>
      <w:r>
        <w:t xml:space="preserve">. For inadvertently split glyphs, make a case-by-case decision based on the following guidelines. </w:t>
      </w:r>
    </w:p>
    <w:p w14:paraId="4A3D1C78" w14:textId="77777777">
      <w:pPr>
        <w:pStyle w:val="Lista"/>
      </w:pPr>
      <w:r>
        <w:t>by default, treat the partition as if it did not split any glyphs, and thus</w:t>
      </w:r>
    </w:p>
    <w:p w14:paraId="257A0841" w14:textId="775F1386">
      <w:pPr>
        <w:pStyle w:val="Lista2"/>
      </w:pPr>
      <w:r>
        <w:lastRenderedPageBreak/>
        <w:t>if all or most of a line is split in a largely horizontal direction by a pagelike partition, arbitrarily assign the entire line to the side on which there is more of it and encode the partition before or after that line as applicable (see also §</w:t>
      </w:r>
      <w:r>
        <w:fldChar w:fldCharType="begin"/>
      </w:r>
      <w:r>
        <w:instrText xml:space="preserve"> REF _Ref182836682 \r \h </w:instrText>
      </w:r>
      <w:r>
        <w:fldChar w:fldCharType="separate"/>
      </w:r>
      <w:r>
        <w:t>4.7.6.4</w:t>
      </w:r>
      <w:r>
        <w:fldChar w:fldCharType="end"/>
      </w:r>
      <w:r>
        <w:t>)</w:t>
      </w:r>
    </w:p>
    <w:p w14:paraId="559B653A" w14:textId="05D36216">
      <w:pPr>
        <w:pStyle w:val="Lista2"/>
      </w:pPr>
      <w:r>
        <w:t xml:space="preserve">if an </w:t>
      </w:r>
      <w:r>
        <w:rPr>
          <w:rStyle w:val="Foreign"/>
        </w:rPr>
        <w:t>akṣara</w:t>
      </w:r>
      <w:r>
        <w:t xml:space="preserve"> is split in a largely vertical direction by a gridlike partition as in </w:t>
      </w:r>
      <w:r>
        <w:fldChar w:fldCharType="begin"/>
      </w:r>
      <w:r>
        <w:instrText xml:space="preserve"> REF _Ref182386652 \h </w:instrText>
      </w:r>
      <w:r>
        <w:fldChar w:fldCharType="separate"/>
      </w:r>
      <w:r>
        <w:t xml:space="preserve">Exhibit </w:t>
      </w:r>
      <w:r>
        <w:rPr>
          <w:noProof/>
        </w:rPr>
        <w:t>4.7</w:t>
      </w:r>
      <w:r>
        <w:t>.</w:t>
      </w:r>
      <w:r>
        <w:rPr>
          <w:noProof/>
        </w:rPr>
        <w:t>S</w:t>
      </w:r>
      <w:r>
        <w:fldChar w:fldCharType="end"/>
      </w:r>
      <w:r>
        <w:t xml:space="preserve">, arbitrarily assign the entire </w:t>
      </w:r>
      <w:r>
        <w:rPr>
          <w:rStyle w:val="Foreign"/>
        </w:rPr>
        <w:t>akṣara</w:t>
      </w:r>
      <w:r>
        <w:t xml:space="preserve"> to the side on which there is more of it and encode the partition before or after that </w:t>
      </w:r>
      <w:r>
        <w:rPr>
          <w:rStyle w:val="Foreign"/>
        </w:rPr>
        <w:t>akṣara</w:t>
      </w:r>
      <w:r>
        <w:t xml:space="preserve"> as applicable</w:t>
      </w:r>
    </w:p>
    <w:p w14:paraId="45874414" w14:textId="77777777">
      <w:pPr>
        <w:pStyle w:val="Lista3"/>
      </w:pPr>
      <w:r>
        <w:t xml:space="preserve">if the split is more or less equal, make your choice based on the diagnostically more useful part of the </w:t>
      </w:r>
      <w:r>
        <w:rPr>
          <w:rStyle w:val="Foreign"/>
        </w:rPr>
        <w:t>akṣara</w:t>
      </w:r>
      <w:r>
        <w:t xml:space="preserve"> and/or the location of morpheme boundaries</w:t>
      </w:r>
    </w:p>
    <w:p w14:paraId="714B7D38" w14:textId="0B5B67D9">
      <w:pPr>
        <w:pStyle w:val="Lista"/>
      </w:pPr>
      <w:r>
        <w:t xml:space="preserve">however, if the feature is sufficiently fine and great accuracy is desirable, individual graphs (which correspond to individual graphemes and are thus separable in transliteration) may be allocated to one side as in or another even if they belong to a single glyph of the original, as in </w:t>
      </w:r>
      <w:r>
        <w:fldChar w:fldCharType="begin"/>
      </w:r>
      <w:r>
        <w:instrText xml:space="preserve"> REF _Ref225864286 \h </w:instrText>
      </w:r>
      <w:r>
        <w:fldChar w:fldCharType="separate"/>
      </w:r>
      <w:r>
        <w:t xml:space="preserve">Exhibit </w:t>
      </w:r>
      <w:r>
        <w:rPr>
          <w:noProof/>
        </w:rPr>
        <w:t>4.7</w:t>
      </w:r>
      <w:r>
        <w:t>.</w:t>
      </w:r>
      <w:r>
        <w:rPr>
          <w:noProof/>
        </w:rPr>
        <w:t>T</w:t>
      </w:r>
      <w:r>
        <w:fldChar w:fldCharType="end"/>
      </w:r>
    </w:p>
    <w:p w14:paraId="780FB1E5" w14:textId="77777777">
      <w:pPr>
        <w:pStyle w:val="Lista2"/>
      </w:pPr>
      <w:r>
        <w:t>the conditions for allocating a grapheme to a particular side of a feature are</w:t>
      </w:r>
    </w:p>
    <w:p w14:paraId="0D289568" w14:textId="77777777">
      <w:pPr>
        <w:pStyle w:val="Lista3"/>
      </w:pPr>
      <w:r>
        <w:t>that the original graph is, or can be reconstructed as being, wholly or mostly on that side</w:t>
      </w:r>
    </w:p>
    <w:p w14:paraId="68F869F5" w14:textId="77777777">
      <w:pPr>
        <w:pStyle w:val="Lista3"/>
      </w:pPr>
      <w:r>
        <w:t>that the graphic sequence of the graphs corresponds to the reading sequence</w:t>
      </w:r>
    </w:p>
    <w:p w14:paraId="1D05B82B" w14:textId="77777777">
      <w:pPr>
        <w:pStyle w:val="Lista4"/>
      </w:pPr>
      <w:r>
        <w:t xml:space="preserve">thus, a superscript preconsonantal </w:t>
      </w:r>
      <w:r>
        <w:rPr>
          <w:rStyle w:val="Foreign"/>
        </w:rPr>
        <w:t>r</w:t>
      </w:r>
      <w:r>
        <w:t xml:space="preserve"> or a prescript </w:t>
      </w:r>
      <w:r>
        <w:rPr>
          <w:rStyle w:val="Foreign"/>
        </w:rPr>
        <w:t>e</w:t>
      </w:r>
      <w:r>
        <w:t xml:space="preserve"> cannot be allocated to a side other than that of the primary consonant of an </w:t>
      </w:r>
      <w:r>
        <w:rPr>
          <w:rStyle w:val="Foreign"/>
        </w:rPr>
        <w:t>akṣara</w:t>
      </w:r>
    </w:p>
    <w:p w14:paraId="7F770D21" w14:textId="77777777">
      <w:pPr>
        <w:pStyle w:val="Lista2"/>
      </w:pPr>
      <w:r>
        <w:t xml:space="preserve">graphs which are split into more or less equal parts by the feature should still be allocated arbitrarily to one side of the milestone or the other, on the basis of considerations such as the location of the larger or diagnostically more useful part of the </w:t>
      </w:r>
      <w:r>
        <w:rPr>
          <w:rStyle w:val="Foreign"/>
        </w:rPr>
        <w:t>akṣara</w:t>
      </w:r>
      <w:r>
        <w:t xml:space="preserve"> and the location of morpheme boundaries</w:t>
      </w:r>
    </w:p>
    <w:p w14:paraId="153F9E15" w14:textId="702359AE">
      <w:pPr>
        <w:pStyle w:val="Lista"/>
      </w:pPr>
      <w:r>
        <w:t>whichever way you allocate the transliterated graphemes vis-à-vis the feature, word interruption (§</w:t>
      </w:r>
      <w:r>
        <w:fldChar w:fldCharType="begin"/>
      </w:r>
      <w:r>
        <w:instrText xml:space="preserve"> REF _Ref225519777 \r \h </w:instrText>
      </w:r>
      <w:r>
        <w:fldChar w:fldCharType="separate"/>
      </w:r>
      <w:r>
        <w:t>4.3.2.1</w:t>
      </w:r>
      <w:r>
        <w:fldChar w:fldCharType="end"/>
      </w:r>
      <w:r>
        <w:t>) shall be encoded on the basis your allocation; thus,</w:t>
      </w:r>
    </w:p>
    <w:p w14:paraId="44A03F1B" w14:textId="77777777">
      <w:pPr>
        <w:pStyle w:val="Lista2"/>
      </w:pPr>
      <w:r>
        <w:rPr>
          <w:rStyle w:val="Codeattribute"/>
        </w:rPr>
        <w:t>@break=</w:t>
      </w:r>
      <w:r>
        <w:rPr>
          <w:rStyle w:val="Codevalue"/>
        </w:rPr>
        <w:t>"no"</w:t>
      </w:r>
      <w:r>
        <w:t xml:space="preserve"> is not required just because the feature splits a glyph</w:t>
      </w:r>
    </w:p>
    <w:p w14:paraId="52A1C07B" w14:textId="77777777">
      <w:pPr>
        <w:pStyle w:val="Lista2"/>
      </w:pPr>
      <w:r>
        <w:rPr>
          <w:rStyle w:val="Codeattribute"/>
        </w:rPr>
        <w:t>@break=</w:t>
      </w:r>
      <w:r>
        <w:rPr>
          <w:rStyle w:val="Codevalue"/>
        </w:rPr>
        <w:t>"no"</w:t>
      </w:r>
      <w:r>
        <w:t xml:space="preserve"> is required when the encoded milestone interrupts a word</w:t>
      </w:r>
    </w:p>
    <w:tbl>
      <w:tblPr>
        <w:tblStyle w:val="CodeSampleTable"/>
        <w:tblW w:w="5000" w:type="pct"/>
        <w:tblLook w:val="04A0" w:firstRow="1" w:lastRow="0" w:firstColumn="1" w:lastColumn="0" w:noHBand="0" w:noVBand="1"/>
      </w:tblPr>
      <w:tblGrid>
        <w:gridCol w:w="6393"/>
        <w:gridCol w:w="3235"/>
      </w:tblGrid>
      <w:tr w14:paraId="25DC8F21"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22620813" w14:textId="759FBFA9">
            <w:pPr>
              <w:pStyle w:val="Kpalrs"/>
            </w:pPr>
            <w:bookmarkStart w:id="361" w:name="_Ref182386652"/>
            <w:bookmarkStart w:id="362" w:name="_Ref182386649"/>
            <w:r>
              <w:t xml:space="preserve">Exhibit </w:t>
            </w:r>
            <w:fldSimple w:instr=" STYLEREF 2 \s ">
              <w:r>
                <w:rPr>
                  <w:noProof/>
                </w:rPr>
                <w:t>4.7</w:t>
              </w:r>
            </w:fldSimple>
            <w:r>
              <w:t>.</w:t>
            </w:r>
            <w:fldSimple w:instr=" SEQ Exhibit \* ALPHABETIC \s 2 ">
              <w:r>
                <w:rPr>
                  <w:noProof/>
                </w:rPr>
                <w:t>S</w:t>
              </w:r>
            </w:fldSimple>
            <w:bookmarkEnd w:id="361"/>
            <w:r>
              <w:t>: glyph split by a gridlike feature</w:t>
            </w:r>
            <w:bookmarkEnd w:id="362"/>
            <w:r>
              <w:t xml:space="preserve"> and allocated to one side</w:t>
            </w:r>
          </w:p>
        </w:tc>
      </w:tr>
      <w:tr w14:paraId="5FC621E1" w14:textId="77777777">
        <w:trPr>
          <w:trHeight w:val="516"/>
        </w:trPr>
        <w:tc>
          <w:tcPr>
            <w:tcW w:w="3320" w:type="pct"/>
            <w:tcBorders>
              <w:right w:val="single" w:sz="4" w:space="0" w:color="auto"/>
            </w:tcBorders>
          </w:tcPr>
          <w:p w14:paraId="196BB0BE" w14:textId="77777777">
            <w:pPr>
              <w:pStyle w:val="CodeParagraph"/>
              <w:keepNext/>
              <w:rPr>
                <w:rStyle w:val="Codetext"/>
              </w:rPr>
            </w:pPr>
            <w:r>
              <w:rPr>
                <w:rStyle w:val="Codetext"/>
              </w:rPr>
              <w:t xml:space="preserve">... piṅul· </w:t>
            </w:r>
            <w:r>
              <w:rPr>
                <w:rStyle w:val="Code"/>
              </w:rPr>
              <w:t xml:space="preserve">&lt;milestone </w:t>
            </w:r>
            <w:r>
              <w:rPr>
                <w:rStyle w:val="Codeattribute"/>
              </w:rPr>
              <w:t>unit=</w:t>
            </w:r>
            <w:r>
              <w:rPr>
                <w:rStyle w:val="Codevalue"/>
              </w:rPr>
              <w:t>"fragment"</w:t>
            </w:r>
            <w:r>
              <w:rPr>
                <w:rStyle w:val="Code"/>
              </w:rPr>
              <w:t xml:space="preserve"> </w:t>
            </w:r>
            <w:r>
              <w:rPr>
                <w:rStyle w:val="Codeattribute"/>
              </w:rPr>
              <w:t>n=</w:t>
            </w:r>
            <w:r>
              <w:rPr>
                <w:rStyle w:val="Codevalue"/>
              </w:rPr>
              <w:t>"2"</w:t>
            </w:r>
            <w:r>
              <w:rPr>
                <w:rStyle w:val="Code"/>
              </w:rPr>
              <w:t>/&gt;</w:t>
            </w:r>
            <w:r>
              <w:rPr>
                <w:rStyle w:val="Codetext"/>
              </w:rPr>
              <w:t xml:space="preserve"> </w:t>
            </w:r>
            <w:r>
              <w:rPr>
                <w:rStyle w:val="Code"/>
              </w:rPr>
              <w:t>&lt;unclear&gt;</w:t>
            </w:r>
            <w:r>
              <w:rPr>
                <w:rStyle w:val="Codetext"/>
              </w:rPr>
              <w:t>hu</w:t>
            </w:r>
            <w:r>
              <w:rPr>
                <w:rStyle w:val="Code"/>
              </w:rPr>
              <w:t>&lt;/unclear&gt;</w:t>
            </w:r>
            <w:r>
              <w:rPr>
                <w:rStyle w:val="Codetext"/>
              </w:rPr>
              <w:t>ler· ...</w:t>
            </w:r>
          </w:p>
        </w:tc>
        <w:tc>
          <w:tcPr>
            <w:tcW w:w="1680" w:type="pct"/>
            <w:vMerge w:val="restart"/>
            <w:tcBorders>
              <w:left w:val="single" w:sz="4" w:space="0" w:color="auto"/>
            </w:tcBorders>
            <w:vAlign w:val="center"/>
          </w:tcPr>
          <w:p w14:paraId="53683500" w14:textId="77777777">
            <w:pPr>
              <w:pStyle w:val="Image"/>
            </w:pPr>
            <w:r>
              <w:drawing>
                <wp:inline distT="0" distB="0" distL="0" distR="0" wp14:anchorId="4AE9D986" wp14:editId="084ABF40">
                  <wp:extent cx="2048400" cy="763200"/>
                  <wp:effectExtent l="0" t="0" r="0" b="0"/>
                  <wp:docPr id="55957252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48400" cy="763200"/>
                          </a:xfrm>
                          <a:prstGeom prst="rect">
                            <a:avLst/>
                          </a:prstGeom>
                          <a:noFill/>
                          <a:ln>
                            <a:noFill/>
                          </a:ln>
                        </pic:spPr>
                      </pic:pic>
                    </a:graphicData>
                  </a:graphic>
                </wp:inline>
              </w:drawing>
            </w:r>
          </w:p>
        </w:tc>
      </w:tr>
      <w:tr w14:paraId="634BCDE9" w14:textId="77777777">
        <w:trPr>
          <w:trHeight w:val="516"/>
        </w:trPr>
        <w:tc>
          <w:tcPr>
            <w:tcW w:w="3320" w:type="pct"/>
            <w:tcBorders>
              <w:right w:val="single" w:sz="4" w:space="0" w:color="auto"/>
            </w:tcBorders>
          </w:tcPr>
          <w:p w14:paraId="4F0EAF9F" w14:textId="77777777">
            <w:pPr>
              <w:pStyle w:val="TableNote"/>
              <w:keepNext/>
            </w:pPr>
            <w:r>
              <w:t xml:space="preserve">the glyph </w:t>
            </w:r>
            <w:r>
              <w:rPr>
                <w:rStyle w:val="Foreign"/>
              </w:rPr>
              <w:t>hu</w:t>
            </w:r>
            <w:r>
              <w:t xml:space="preserve"> is split in roughly equal parts by a vertical crack</w:t>
            </w:r>
          </w:p>
          <w:p w14:paraId="01743C69" w14:textId="77777777">
            <w:pPr>
              <w:pStyle w:val="TableNote"/>
              <w:keepNext/>
            </w:pPr>
            <w:r>
              <w:t xml:space="preserve">most of this glyph is to the right of the crack, and this glyph is the beginning of a word, so the entire transliteration has been placed to the right of the milestone, which does not take </w:t>
            </w:r>
            <w:r>
              <w:rPr>
                <w:rStyle w:val="Codeattribute"/>
              </w:rPr>
              <w:t>@break=</w:t>
            </w:r>
            <w:r>
              <w:rPr>
                <w:rStyle w:val="Codevalue"/>
              </w:rPr>
              <w:t>"no"</w:t>
            </w:r>
          </w:p>
        </w:tc>
        <w:tc>
          <w:tcPr>
            <w:tcW w:w="1680" w:type="pct"/>
            <w:vMerge/>
            <w:tcBorders>
              <w:left w:val="single" w:sz="4" w:space="0" w:color="auto"/>
            </w:tcBorders>
            <w:vAlign w:val="bottom"/>
          </w:tcPr>
          <w:p w14:paraId="633E2CDC" w14:textId="77777777">
            <w:pPr>
              <w:pStyle w:val="Image"/>
            </w:pPr>
          </w:p>
        </w:tc>
      </w:tr>
    </w:tbl>
    <w:p w14:paraId="6E274EB7" w14:textId="77777777"/>
    <w:tbl>
      <w:tblPr>
        <w:tblStyle w:val="CodeSampleTable"/>
        <w:tblW w:w="5000" w:type="pct"/>
        <w:tblLook w:val="04A0" w:firstRow="1" w:lastRow="0" w:firstColumn="1" w:lastColumn="0" w:noHBand="0" w:noVBand="1"/>
      </w:tblPr>
      <w:tblGrid>
        <w:gridCol w:w="6393"/>
        <w:gridCol w:w="3235"/>
      </w:tblGrid>
      <w:tr w14:paraId="29CF8216" w14:textId="77777777">
        <w:trPr>
          <w:cnfStyle w:val="100000000000" w:firstRow="1" w:lastRow="0" w:firstColumn="0" w:lastColumn="0" w:oddVBand="0" w:evenVBand="0" w:oddHBand="0" w:evenHBand="0" w:firstRowFirstColumn="0" w:firstRowLastColumn="0" w:lastRowFirstColumn="0" w:lastRowLastColumn="0"/>
          <w:trHeight w:val="516"/>
        </w:trPr>
        <w:tc>
          <w:tcPr>
            <w:tcW w:w="5000" w:type="pct"/>
            <w:gridSpan w:val="2"/>
          </w:tcPr>
          <w:p w14:paraId="7503B1F9" w14:textId="5ED31A9F">
            <w:pPr>
              <w:pStyle w:val="Kpalrs"/>
            </w:pPr>
            <w:bookmarkStart w:id="363" w:name="_Ref225864286"/>
            <w:r>
              <w:t xml:space="preserve">Exhibit </w:t>
            </w:r>
            <w:fldSimple w:instr=" STYLEREF 2 \s ">
              <w:r>
                <w:rPr>
                  <w:noProof/>
                </w:rPr>
                <w:t>4.7</w:t>
              </w:r>
            </w:fldSimple>
            <w:r>
              <w:t>.</w:t>
            </w:r>
            <w:fldSimple w:instr=" SEQ Exhibit \* ALPHABETIC \s 2 ">
              <w:r>
                <w:rPr>
                  <w:noProof/>
                </w:rPr>
                <w:t>T</w:t>
              </w:r>
            </w:fldSimple>
            <w:bookmarkEnd w:id="363"/>
            <w:r>
              <w:t>: glyph split by a gridlike feature, graphemes individually allocated to sides</w:t>
            </w:r>
          </w:p>
        </w:tc>
      </w:tr>
      <w:tr w14:paraId="6945772C" w14:textId="77777777">
        <w:trPr>
          <w:trHeight w:val="548"/>
        </w:trPr>
        <w:tc>
          <w:tcPr>
            <w:tcW w:w="3320" w:type="pct"/>
            <w:tcBorders>
              <w:right w:val="single" w:sz="4" w:space="0" w:color="auto"/>
            </w:tcBorders>
          </w:tcPr>
          <w:p w14:paraId="18BE5DBC" w14:textId="77777777">
            <w:pPr>
              <w:pStyle w:val="CodeParagraph"/>
              <w:keepNext/>
              <w:rPr>
                <w:rStyle w:val="Codetext"/>
              </w:rPr>
            </w:pPr>
            <w:r>
              <w:rPr>
                <w:rStyle w:val="Codetext"/>
              </w:rPr>
              <w:t>... Ika</w:t>
            </w:r>
            <w:r>
              <w:rPr>
                <w:rStyle w:val="Code"/>
              </w:rPr>
              <w:t>&lt;unclear&gt;</w:t>
            </w:r>
            <w:r>
              <w:rPr>
                <w:rStyle w:val="Codetext"/>
              </w:rPr>
              <w:t>na</w:t>
            </w:r>
            <w:r>
              <w:rPr>
                <w:rStyle w:val="Code"/>
              </w:rPr>
              <w:t xml:space="preserve">&lt;/unclear&gt;&lt;milestone </w:t>
            </w:r>
            <w:r>
              <w:rPr>
                <w:rStyle w:val="Codeattribute"/>
              </w:rPr>
              <w:t>unit=</w:t>
            </w:r>
            <w:r>
              <w:rPr>
                <w:rStyle w:val="Codevalue"/>
              </w:rPr>
              <w:t>"fragment"</w:t>
            </w:r>
            <w:r>
              <w:rPr>
                <w:rStyle w:val="Code"/>
              </w:rPr>
              <w:t xml:space="preserve"> </w:t>
            </w:r>
            <w:r>
              <w:rPr>
                <w:rStyle w:val="Codeattribute"/>
              </w:rPr>
              <w:t>n=</w:t>
            </w:r>
            <w:r>
              <w:rPr>
                <w:rStyle w:val="Codevalue"/>
              </w:rPr>
              <w:t>"2"</w:t>
            </w:r>
            <w:r>
              <w:rPr>
                <w:rStyle w:val="Code"/>
              </w:rPr>
              <w:t xml:space="preserve"> </w:t>
            </w:r>
            <w:r>
              <w:rPr>
                <w:rStyle w:val="Codeattribute"/>
              </w:rPr>
              <w:t>break=</w:t>
            </w:r>
            <w:r>
              <w:rPr>
                <w:rStyle w:val="Codevalue"/>
              </w:rPr>
              <w:t>"no"</w:t>
            </w:r>
            <w:r>
              <w:rPr>
                <w:rStyle w:val="Code"/>
              </w:rPr>
              <w:t>/&gt;&lt;unclear&gt;</w:t>
            </w:r>
            <w:r>
              <w:rPr>
                <w:rStyle w:val="Codetext"/>
              </w:rPr>
              <w:t>ṁ</w:t>
            </w:r>
            <w:r>
              <w:rPr>
                <w:rStyle w:val="Code"/>
              </w:rPr>
              <w:t>&lt;/unclear&gt;</w:t>
            </w:r>
            <w:r>
              <w:rPr>
                <w:rStyle w:val="Codetext"/>
              </w:rPr>
              <w:t xml:space="preserve"> patiḥ ...</w:t>
            </w:r>
          </w:p>
        </w:tc>
        <w:tc>
          <w:tcPr>
            <w:tcW w:w="1680" w:type="pct"/>
            <w:vMerge w:val="restart"/>
            <w:tcBorders>
              <w:left w:val="single" w:sz="4" w:space="0" w:color="auto"/>
            </w:tcBorders>
            <w:vAlign w:val="center"/>
          </w:tcPr>
          <w:p w14:paraId="5A1EC3AC" w14:textId="77777777">
            <w:pPr>
              <w:pStyle w:val="Image"/>
            </w:pPr>
            <w:r>
              <w:drawing>
                <wp:inline distT="0" distB="0" distL="0" distR="0" wp14:anchorId="3697BE5C" wp14:editId="766EAD87">
                  <wp:extent cx="1641600" cy="820800"/>
                  <wp:effectExtent l="0" t="0" r="0" b="0"/>
                  <wp:docPr id="172161797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flipH="1">
                            <a:off x="0" y="0"/>
                            <a:ext cx="1641600" cy="820800"/>
                          </a:xfrm>
                          <a:prstGeom prst="rect">
                            <a:avLst/>
                          </a:prstGeom>
                          <a:noFill/>
                          <a:ln>
                            <a:noFill/>
                          </a:ln>
                        </pic:spPr>
                      </pic:pic>
                    </a:graphicData>
                  </a:graphic>
                </wp:inline>
              </w:drawing>
            </w:r>
          </w:p>
        </w:tc>
      </w:tr>
      <w:tr w14:paraId="53AB6FB8" w14:textId="77777777">
        <w:trPr>
          <w:trHeight w:val="548"/>
        </w:trPr>
        <w:tc>
          <w:tcPr>
            <w:tcW w:w="3320" w:type="pct"/>
            <w:tcBorders>
              <w:right w:val="single" w:sz="4" w:space="0" w:color="auto"/>
            </w:tcBorders>
          </w:tcPr>
          <w:p w14:paraId="28F9BD16" w14:textId="77777777">
            <w:pPr>
              <w:pStyle w:val="TableNote"/>
            </w:pPr>
            <w:r>
              <w:t xml:space="preserve">the glyph </w:t>
            </w:r>
            <w:r>
              <w:rPr>
                <w:rStyle w:val="Foreign"/>
              </w:rPr>
              <w:t>naṁ</w:t>
            </w:r>
            <w:r>
              <w:t xml:space="preserve"> is split and partly obliterated by a vertical crack</w:t>
            </w:r>
          </w:p>
          <w:p w14:paraId="0FD7B044" w14:textId="77777777">
            <w:pPr>
              <w:pStyle w:val="TableNote"/>
              <w:rPr>
                <w:rStyle w:val="Codetext"/>
                <w:rFonts w:ascii="Calibri" w:hAnsi="Calibri" w:cs="Arial Unicode MS"/>
                <w:noProof w:val="0"/>
                <w:color w:val="auto"/>
                <w:shd w:val="clear" w:color="auto" w:fill="auto"/>
              </w:rPr>
            </w:pPr>
            <w:r>
              <w:t xml:space="preserve">the </w:t>
            </w:r>
            <w:r>
              <w:rPr>
                <w:rStyle w:val="Foreign"/>
              </w:rPr>
              <w:t>anusvāra</w:t>
            </w:r>
            <w:r>
              <w:t xml:space="preserve"> is (or would have been) definitely to the right of the crack, while the body </w:t>
            </w:r>
            <w:r>
              <w:rPr>
                <w:rStyle w:val="Foreign"/>
              </w:rPr>
              <w:t>na</w:t>
            </w:r>
            <w:r>
              <w:t xml:space="preserve"> has been arbitrarily allocated to the left of the milestone, which needs </w:t>
            </w:r>
            <w:r>
              <w:rPr>
                <w:rStyle w:val="Codeattribute"/>
              </w:rPr>
              <w:t>@break=</w:t>
            </w:r>
            <w:r>
              <w:rPr>
                <w:rStyle w:val="Codevalue"/>
              </w:rPr>
              <w:t>"no"</w:t>
            </w:r>
          </w:p>
        </w:tc>
        <w:tc>
          <w:tcPr>
            <w:tcW w:w="1680" w:type="pct"/>
            <w:vMerge/>
            <w:tcBorders>
              <w:left w:val="single" w:sz="4" w:space="0" w:color="auto"/>
            </w:tcBorders>
            <w:vAlign w:val="bottom"/>
          </w:tcPr>
          <w:p w14:paraId="6091C7D0" w14:textId="77777777">
            <w:pPr>
              <w:pStyle w:val="Image"/>
            </w:pPr>
          </w:p>
        </w:tc>
      </w:tr>
    </w:tbl>
    <w:p w14:paraId="72E9DB07" w14:textId="77777777">
      <w:pPr>
        <w:pStyle w:val="Cmsor4"/>
      </w:pPr>
      <w:r>
        <w:t>Features splitting only some lines of an inscription</w:t>
      </w:r>
      <w:bookmarkEnd w:id="360"/>
    </w:p>
    <w:p w14:paraId="4AD63A71" w14:textId="06DF1E78">
      <w:r>
        <w:t>Recall from §</w:t>
      </w:r>
      <w:r>
        <w:fldChar w:fldCharType="begin"/>
      </w:r>
      <w:r>
        <w:instrText xml:space="preserve"> REF _Ref182923075 \r \h </w:instrText>
      </w:r>
      <w:r>
        <w:fldChar w:fldCharType="separate"/>
      </w:r>
      <w:r>
        <w:t>4.1</w:t>
      </w:r>
      <w:r>
        <w:fldChar w:fldCharType="end"/>
      </w:r>
      <w:r>
        <w:t xml:space="preserve"> that gridlike partitions represent the lowest tier of the hierarchy of extrinsic structure, and that the scope of a milestone is understood to be up to the point where a partition of the same, or a higher, tier occurs. The logical consequence of this is that when a grid covers the entirety of an inscription, the milestones for each cell of the grid must be present in each epigraphic line of the edition (or the textpart division). Sometimes, however, a grid applies only to part of the inscribed campus, as in </w:t>
      </w:r>
      <w:r>
        <w:fldChar w:fldCharType="begin"/>
      </w:r>
      <w:r>
        <w:instrText xml:space="preserve"> REF _Ref182834409 \h </w:instrText>
      </w:r>
      <w:r>
        <w:fldChar w:fldCharType="separate"/>
      </w:r>
      <w:r>
        <w:t xml:space="preserve">Exhibit </w:t>
      </w:r>
      <w:r>
        <w:rPr>
          <w:noProof/>
        </w:rPr>
        <w:t>4.7</w:t>
      </w:r>
      <w:r>
        <w:t>.</w:t>
      </w:r>
      <w:r>
        <w:rPr>
          <w:noProof/>
        </w:rPr>
        <w:t>U</w:t>
      </w:r>
      <w:r>
        <w:fldChar w:fldCharType="end"/>
      </w:r>
      <w:r>
        <w:t xml:space="preserve">. In order to reduce code clutter and encoding burden, in this latter case we use milestone elements only in the specific lines which are directly affected by the feature represented by the milestone. It will be understood in such a case that the partition applies only to the lines where it is encoded. If the inscription is fragmented, then lines without an encoded partition will be assumed to be on the largest adjacent fragment. Multiple irregular fragments shall be encoded in the same manner: lines not affected by the fragmentation need no </w:t>
      </w:r>
      <w:r>
        <w:lastRenderedPageBreak/>
        <w:t>gridlike milestones, while affected lines need as many milestones as the number of separate fragments across which the line in question continues.</w:t>
      </w:r>
    </w:p>
    <w:tbl>
      <w:tblPr>
        <w:tblStyle w:val="CodeSampleTable"/>
        <w:tblW w:w="5000" w:type="pct"/>
        <w:tblLook w:val="04A0" w:firstRow="1" w:lastRow="0" w:firstColumn="1" w:lastColumn="0" w:noHBand="0" w:noVBand="1"/>
      </w:tblPr>
      <w:tblGrid>
        <w:gridCol w:w="9628"/>
      </w:tblGrid>
      <w:tr w14:paraId="1442B12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78CEBE7" w14:textId="7C937BEB">
            <w:pPr>
              <w:pStyle w:val="Kpalrs"/>
            </w:pPr>
            <w:bookmarkStart w:id="364" w:name="_Ref182834409"/>
            <w:r>
              <w:t xml:space="preserve">Exhibit </w:t>
            </w:r>
            <w:fldSimple w:instr=" STYLEREF 2 \s ">
              <w:r>
                <w:rPr>
                  <w:noProof/>
                </w:rPr>
                <w:t>4.7</w:t>
              </w:r>
            </w:fldSimple>
            <w:r>
              <w:t>.</w:t>
            </w:r>
            <w:fldSimple w:instr=" SEQ Exhibit \* ALPHABETIC \s 2 ">
              <w:r>
                <w:rPr>
                  <w:noProof/>
                </w:rPr>
                <w:t>U</w:t>
              </w:r>
            </w:fldSimple>
            <w:bookmarkEnd w:id="364"/>
            <w:r>
              <w:t>: gridlike milestones in only some of the lines</w:t>
            </w:r>
          </w:p>
        </w:tc>
      </w:tr>
      <w:tr w14:paraId="5D86C014" w14:textId="77777777">
        <w:tc>
          <w:tcPr>
            <w:tcW w:w="5000" w:type="pct"/>
            <w:vAlign w:val="center"/>
          </w:tcPr>
          <w:p w14:paraId="5D92A312" w14:textId="77777777">
            <w:pPr>
              <w:pStyle w:val="Image"/>
            </w:pPr>
            <w:r>
              <w:drawing>
                <wp:inline distT="0" distB="0" distL="0" distR="0" wp14:anchorId="0F0419A5" wp14:editId="5CEB9EFA">
                  <wp:extent cx="5397500" cy="1480820"/>
                  <wp:effectExtent l="0" t="0" r="0" b="5080"/>
                  <wp:docPr id="52" name="Kép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97500" cy="1480820"/>
                          </a:xfrm>
                          <a:prstGeom prst="rect">
                            <a:avLst/>
                          </a:prstGeom>
                          <a:noFill/>
                          <a:ln>
                            <a:noFill/>
                          </a:ln>
                        </pic:spPr>
                      </pic:pic>
                    </a:graphicData>
                  </a:graphic>
                </wp:inline>
              </w:drawing>
            </w:r>
          </w:p>
        </w:tc>
      </w:tr>
      <w:tr w14:paraId="65F491FF" w14:textId="77777777">
        <w:tc>
          <w:tcPr>
            <w:tcW w:w="5000" w:type="pct"/>
          </w:tcPr>
          <w:p w14:paraId="1583B79A" w14:textId="77777777">
            <w:pPr>
              <w:pStyle w:val="CodeParagraph"/>
              <w:keepNext/>
              <w:rPr>
                <w:rStyle w:val="Code"/>
              </w:rPr>
            </w:pPr>
            <w:r>
              <w:rPr>
                <w:rStyle w:val="Code"/>
              </w:rPr>
              <w:t>&lt;p&gt;</w:t>
            </w:r>
          </w:p>
          <w:p w14:paraId="79275DD7"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"1"</w:t>
            </w:r>
            <w:r>
              <w:rPr>
                <w:rStyle w:val="Code"/>
              </w:rPr>
              <w:t>/&gt;</w:t>
            </w:r>
            <w:r>
              <w:rPr>
                <w:rStyle w:val="Codetext"/>
              </w:rPr>
              <w:t>In a hole in the ground there lived a hobbit. Not a</w:t>
            </w:r>
            <w:r>
              <w:rPr>
                <w:rStyle w:val="Codetext"/>
              </w:rPr>
              <w:br/>
            </w:r>
            <w:r>
              <w:rPr>
                <w:rStyle w:val="Code"/>
              </w:rPr>
              <w:t xml:space="preserve">  &lt;lb </w:t>
            </w:r>
            <w:r>
              <w:rPr>
                <w:rStyle w:val="Codeattribute"/>
              </w:rPr>
              <w:t>n</w:t>
            </w:r>
            <w:r>
              <w:rPr>
                <w:rStyle w:val="Code"/>
              </w:rPr>
              <w:t>=</w:t>
            </w:r>
            <w:r>
              <w:rPr>
                <w:rStyle w:val="Codevalue"/>
              </w:rPr>
              <w:t>"2"</w:t>
            </w:r>
            <w:r>
              <w:rPr>
                <w:rStyle w:val="Code"/>
              </w:rPr>
              <w:t>/&gt;</w:t>
            </w:r>
            <w:r>
              <w:rPr>
                <w:rStyle w:val="Codetext"/>
              </w:rPr>
              <w:t>nasty, dirty, wet hole, filled with the ends of worms</w:t>
            </w:r>
            <w:r>
              <w:rPr>
                <w:rStyle w:val="Codetext"/>
              </w:rPr>
              <w:br/>
            </w:r>
            <w:r>
              <w:rPr>
                <w:rStyle w:val="Code"/>
              </w:rPr>
              <w:t xml:space="preserve">  &lt;lb </w:t>
            </w:r>
            <w:r>
              <w:rPr>
                <w:rStyle w:val="Codeattribute"/>
              </w:rPr>
              <w:t>n</w:t>
            </w:r>
            <w:r>
              <w:rPr>
                <w:rStyle w:val="Code"/>
              </w:rPr>
              <w:t>=</w:t>
            </w:r>
            <w:r>
              <w:rPr>
                <w:rStyle w:val="Codevalue"/>
              </w:rPr>
              <w:t>"3"</w:t>
            </w:r>
            <w:r>
              <w:rPr>
                <w:rStyle w:val="Code"/>
              </w:rPr>
              <w:t xml:space="preserve">/&gt;&lt;milestone </w:t>
            </w:r>
            <w:r>
              <w:rPr>
                <w:rStyle w:val="Codeattribute"/>
              </w:rPr>
              <w:t>unit</w:t>
            </w:r>
            <w:r>
              <w:rPr>
                <w:rStyle w:val="Code"/>
              </w:rPr>
              <w:t>=</w:t>
            </w:r>
            <w:r>
              <w:rPr>
                <w:rStyle w:val="Codevalue"/>
              </w:rPr>
              <w:t xml:space="preserve">"fragment" </w:t>
            </w:r>
            <w:r>
              <w:rPr>
                <w:rStyle w:val="Codeattribute"/>
              </w:rPr>
              <w:t>n</w:t>
            </w:r>
            <w:r>
              <w:rPr>
                <w:rStyle w:val="Code"/>
              </w:rPr>
              <w:t>=</w:t>
            </w:r>
            <w:r>
              <w:rPr>
                <w:rStyle w:val="Codevalue"/>
              </w:rPr>
              <w:t>"a"</w:t>
            </w:r>
            <w:r>
              <w:rPr>
                <w:rStyle w:val="Code"/>
              </w:rPr>
              <w:t>&gt;</w:t>
            </w:r>
            <w:r>
              <w:rPr>
                <w:rStyle w:val="Codetext"/>
              </w:rPr>
              <w:t xml:space="preserve">and </w:t>
            </w:r>
            <w:r>
              <w:rPr>
                <w:rStyle w:val="Code"/>
              </w:rPr>
              <w:t xml:space="preserve">&lt;milestone </w:t>
            </w:r>
            <w:r>
              <w:rPr>
                <w:rStyle w:val="Codeattribute"/>
              </w:rPr>
              <w:t>unit</w:t>
            </w:r>
            <w:r>
              <w:rPr>
                <w:rStyle w:val="Code"/>
              </w:rPr>
              <w:t>=</w:t>
            </w:r>
            <w:r>
              <w:rPr>
                <w:rStyle w:val="Codevalue"/>
              </w:rPr>
              <w:t xml:space="preserve">"fragment" </w:t>
            </w:r>
            <w:r>
              <w:rPr>
                <w:rStyle w:val="Codeattribute"/>
              </w:rPr>
              <w:t>n</w:t>
            </w:r>
            <w:r>
              <w:rPr>
                <w:rStyle w:val="Code"/>
              </w:rPr>
              <w:t>=</w:t>
            </w:r>
            <w:r>
              <w:rPr>
                <w:rStyle w:val="Codevalue"/>
              </w:rPr>
              <w:t>"b"</w:t>
            </w:r>
            <w:r>
              <w:rPr>
                <w:rStyle w:val="Code"/>
              </w:rPr>
              <w:t>&gt;</w:t>
            </w:r>
            <w:r>
              <w:rPr>
                <w:rStyle w:val="Codetext"/>
              </w:rPr>
              <w:t>an oozy smell, nor yet a dry, bare, sandy hole</w:t>
            </w:r>
            <w:r>
              <w:rPr>
                <w:rStyle w:val="Codetext"/>
              </w:rPr>
              <w:br/>
            </w:r>
            <w:r>
              <w:rPr>
                <w:rStyle w:val="Code"/>
              </w:rPr>
              <w:t xml:space="preserve">  &lt;lb </w:t>
            </w:r>
            <w:r>
              <w:rPr>
                <w:rStyle w:val="Codeattribute"/>
              </w:rPr>
              <w:t>n</w:t>
            </w:r>
            <w:r>
              <w:rPr>
                <w:rStyle w:val="Code"/>
              </w:rPr>
              <w:t>=</w:t>
            </w:r>
            <w:r>
              <w:rPr>
                <w:rStyle w:val="Codevalue"/>
              </w:rPr>
              <w:t>"4"</w:t>
            </w:r>
            <w:r>
              <w:rPr>
                <w:rStyle w:val="Code"/>
              </w:rPr>
              <w:t xml:space="preserve">/&gt;&lt;milestone </w:t>
            </w:r>
            <w:r>
              <w:rPr>
                <w:rStyle w:val="Codeattribute"/>
              </w:rPr>
              <w:t>unit</w:t>
            </w:r>
            <w:r>
              <w:rPr>
                <w:rStyle w:val="Code"/>
              </w:rPr>
              <w:t>=</w:t>
            </w:r>
            <w:r>
              <w:rPr>
                <w:rStyle w:val="Codevalue"/>
              </w:rPr>
              <w:t xml:space="preserve">"fragment" </w:t>
            </w:r>
            <w:r>
              <w:rPr>
                <w:rStyle w:val="Codeattribute"/>
              </w:rPr>
              <w:t>n</w:t>
            </w:r>
            <w:r>
              <w:rPr>
                <w:rStyle w:val="Code"/>
              </w:rPr>
              <w:t>=</w:t>
            </w:r>
            <w:r>
              <w:rPr>
                <w:rStyle w:val="Codevalue"/>
              </w:rPr>
              <w:t>"a"</w:t>
            </w:r>
            <w:r>
              <w:rPr>
                <w:rStyle w:val="Code"/>
              </w:rPr>
              <w:t>&gt;</w:t>
            </w:r>
            <w:r>
              <w:rPr>
                <w:rStyle w:val="Codetext"/>
              </w:rPr>
              <w:t>with not</w:t>
            </w:r>
            <w:r>
              <w:rPr>
                <w:rStyle w:val="Code"/>
              </w:rPr>
              <w:t xml:space="preserve">&lt;milestone </w:t>
            </w:r>
            <w:r>
              <w:rPr>
                <w:rStyle w:val="Codeattribute"/>
              </w:rPr>
              <w:t>unit</w:t>
            </w:r>
            <w:r>
              <w:rPr>
                <w:rStyle w:val="Code"/>
              </w:rPr>
              <w:t>=</w:t>
            </w:r>
            <w:r>
              <w:rPr>
                <w:rStyle w:val="Codevalue"/>
              </w:rPr>
              <w:t xml:space="preserve">"fragment" </w:t>
            </w:r>
            <w:r>
              <w:rPr>
                <w:rStyle w:val="Codeattribute"/>
              </w:rPr>
              <w:t>n</w:t>
            </w:r>
            <w:r>
              <w:rPr>
                <w:rStyle w:val="Code"/>
              </w:rPr>
              <w:t>=</w:t>
            </w:r>
            <w:r>
              <w:rPr>
                <w:rStyle w:val="Codevalue"/>
              </w:rPr>
              <w:t xml:space="preserve">"b" </w:t>
            </w:r>
            <w:r>
              <w:rPr>
                <w:rStyle w:val="Codeattribute"/>
              </w:rPr>
              <w:t>break</w:t>
            </w:r>
            <w:r>
              <w:rPr>
                <w:rStyle w:val="Code"/>
              </w:rPr>
              <w:t>=</w:t>
            </w:r>
            <w:r>
              <w:rPr>
                <w:rStyle w:val="Codevalue"/>
              </w:rPr>
              <w:t>"no"</w:t>
            </w:r>
            <w:r>
              <w:rPr>
                <w:rStyle w:val="Code"/>
              </w:rPr>
              <w:t>&gt;&lt;unclear&gt;h&lt;/unclear&gt;</w:t>
            </w:r>
            <w:r>
              <w:rPr>
                <w:rStyle w:val="Codetext"/>
              </w:rPr>
              <w:t>ing in it to sit down on or to eat: it was a</w:t>
            </w:r>
          </w:p>
          <w:p w14:paraId="76480B92"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"5"</w:t>
            </w:r>
            <w:r>
              <w:rPr>
                <w:rStyle w:val="Code"/>
              </w:rPr>
              <w:t xml:space="preserve">/&gt;&lt;milestone </w:t>
            </w:r>
            <w:r>
              <w:rPr>
                <w:rStyle w:val="Codeattribute"/>
              </w:rPr>
              <w:t>unit</w:t>
            </w:r>
            <w:r>
              <w:rPr>
                <w:rStyle w:val="Code"/>
              </w:rPr>
              <w:t>=</w:t>
            </w:r>
            <w:r>
              <w:rPr>
                <w:rStyle w:val="Codevalue"/>
              </w:rPr>
              <w:t xml:space="preserve">"fragment" </w:t>
            </w:r>
            <w:r>
              <w:rPr>
                <w:rStyle w:val="Codeattribute"/>
              </w:rPr>
              <w:t>n</w:t>
            </w:r>
            <w:r>
              <w:rPr>
                <w:rStyle w:val="Code"/>
              </w:rPr>
              <w:t>=</w:t>
            </w:r>
            <w:r>
              <w:rPr>
                <w:rStyle w:val="Codevalue"/>
              </w:rPr>
              <w:t>"a"</w:t>
            </w:r>
            <w:r>
              <w:rPr>
                <w:rStyle w:val="Code"/>
              </w:rPr>
              <w:t>&gt;</w:t>
            </w:r>
            <w:r>
              <w:rPr>
                <w:rStyle w:val="Codetext"/>
              </w:rPr>
              <w:t xml:space="preserve">hobbit-hole, </w:t>
            </w:r>
            <w:r>
              <w:rPr>
                <w:rStyle w:val="Code"/>
              </w:rPr>
              <w:t xml:space="preserve">&lt;unclear&gt;a&lt;/unclear&gt;&lt;milestone </w:t>
            </w:r>
            <w:r>
              <w:rPr>
                <w:rStyle w:val="Codeattribute"/>
              </w:rPr>
              <w:t>unit</w:t>
            </w:r>
            <w:r>
              <w:rPr>
                <w:rStyle w:val="Code"/>
              </w:rPr>
              <w:t>=</w:t>
            </w:r>
            <w:r>
              <w:rPr>
                <w:rStyle w:val="Codevalue"/>
              </w:rPr>
              <w:t xml:space="preserve">"fragment" </w:t>
            </w:r>
            <w:r>
              <w:rPr>
                <w:rStyle w:val="Codeattribute"/>
              </w:rPr>
              <w:t>n</w:t>
            </w:r>
            <w:r>
              <w:rPr>
                <w:rStyle w:val="Code"/>
              </w:rPr>
              <w:t>=</w:t>
            </w:r>
            <w:r>
              <w:rPr>
                <w:rStyle w:val="Codevalue"/>
              </w:rPr>
              <w:t>"b"</w:t>
            </w:r>
            <w:r>
              <w:rPr>
                <w:rStyle w:val="Codeattribute"/>
              </w:rPr>
              <w:t xml:space="preserve"> break</w:t>
            </w:r>
            <w:r>
              <w:rPr>
                <w:rStyle w:val="Code"/>
              </w:rPr>
              <w:t>=</w:t>
            </w:r>
            <w:r>
              <w:rPr>
                <w:rStyle w:val="Codevalue"/>
              </w:rPr>
              <w:t>"no"</w:t>
            </w:r>
            <w:r>
              <w:rPr>
                <w:rStyle w:val="Code"/>
              </w:rPr>
              <w:t>&gt;</w:t>
            </w:r>
            <w:r>
              <w:rPr>
                <w:rStyle w:val="Codetext"/>
              </w:rPr>
              <w:t>nd that means comfort.</w:t>
            </w:r>
          </w:p>
          <w:p w14:paraId="44F0D3A7" w14:textId="77777777">
            <w:pPr>
              <w:pStyle w:val="CodeParagraph"/>
              <w:keepNext/>
            </w:pPr>
            <w:r>
              <w:rPr>
                <w:rStyle w:val="Code"/>
              </w:rPr>
              <w:t>&lt;/p&gt;</w:t>
            </w:r>
          </w:p>
        </w:tc>
      </w:tr>
      <w:tr w14:paraId="73B34D99" w14:textId="77777777">
        <w:tc>
          <w:tcPr>
            <w:tcW w:w="5000" w:type="pct"/>
          </w:tcPr>
          <w:p w14:paraId="7291C5CA" w14:textId="77777777">
            <w:pPr>
              <w:pStyle w:val="TableNote"/>
            </w:pPr>
            <w:r>
              <w:t>the first two lines are not affected by fragmentation, so no gridlike milestones are encoded there</w:t>
            </w:r>
          </w:p>
          <w:p w14:paraId="5D5DD4A3" w14:textId="04E25570">
            <w:pPr>
              <w:pStyle w:val="TableNote"/>
            </w:pPr>
            <w:r>
              <w:t>split glyphs are arbitrarily assigned to one side of the crack as per §</w:t>
            </w:r>
            <w:r>
              <w:fldChar w:fldCharType="begin"/>
            </w:r>
            <w:r>
              <w:instrText xml:space="preserve"> REF _Ref182813737 \r \h </w:instrText>
            </w:r>
            <w:r>
              <w:fldChar w:fldCharType="separate"/>
            </w:r>
            <w:r>
              <w:t>4.7.6.1</w:t>
            </w:r>
            <w:r>
              <w:fldChar w:fldCharType="end"/>
            </w:r>
          </w:p>
        </w:tc>
      </w:tr>
    </w:tbl>
    <w:p w14:paraId="40B4E55C" w14:textId="77777777">
      <w:pPr>
        <w:pStyle w:val="Cmsor4"/>
      </w:pPr>
      <w:r>
        <w:t>Missing pieces</w:t>
      </w:r>
    </w:p>
    <w:p w14:paraId="76CFE125" w14:textId="17563D30">
      <w:r>
        <w:t xml:space="preserve">Just because a piece of an inscription has been lost, as in </w:t>
      </w:r>
      <w:r>
        <w:fldChar w:fldCharType="begin"/>
      </w:r>
      <w:r>
        <w:instrText xml:space="preserve"> REF _Ref182834107 \h </w:instrText>
      </w:r>
      <w:r>
        <w:fldChar w:fldCharType="separate"/>
      </w:r>
      <w:r>
        <w:t xml:space="preserve">Exhibit </w:t>
      </w:r>
      <w:r>
        <w:rPr>
          <w:noProof/>
        </w:rPr>
        <w:t>4.7</w:t>
      </w:r>
      <w:r>
        <w:t>.</w:t>
      </w:r>
      <w:r>
        <w:rPr>
          <w:noProof/>
        </w:rPr>
        <w:t>V</w:t>
      </w:r>
      <w:r>
        <w:fldChar w:fldCharType="end"/>
      </w:r>
      <w:r>
        <w:t>, there is no need to encode any kind of partition. As far as encoding is concerned, this is just another kind of lacuna, to be encoded according to §</w:t>
      </w:r>
      <w:r>
        <w:fldChar w:fldCharType="begin"/>
      </w:r>
      <w:r>
        <w:instrText xml:space="preserve"> REF _Ref228460110 \r \h </w:instrText>
      </w:r>
      <w:r>
        <w:fldChar w:fldCharType="separate"/>
      </w:r>
      <w:r>
        <w:t>6.5</w:t>
      </w:r>
      <w:r>
        <w:fldChar w:fldCharType="end"/>
      </w:r>
      <w:r>
        <w:t xml:space="preserve"> (with special considerations for massive lacunae in §</w:t>
      </w:r>
      <w:r>
        <w:fldChar w:fldCharType="begin"/>
      </w:r>
      <w:r>
        <w:instrText xml:space="preserve"> REF _Ref43981711 \r \h </w:instrText>
      </w:r>
      <w:r>
        <w:fldChar w:fldCharType="separate"/>
      </w:r>
      <w:r>
        <w:t>6.5.4</w:t>
      </w:r>
      <w:r>
        <w:fldChar w:fldCharType="end"/>
      </w:r>
      <w:r>
        <w:t xml:space="preserve">). If the lost piece is subsequently recovered and the digital inscription is updated accordingly, then partitions can (optionally) be encoded for the fragments, as in </w:t>
      </w:r>
      <w:r>
        <w:fldChar w:fldCharType="begin"/>
      </w:r>
      <w:r>
        <w:instrText xml:space="preserve"> REF _Ref182834409 \h </w:instrText>
      </w:r>
      <w:r>
        <w:fldChar w:fldCharType="separate"/>
      </w:r>
      <w:r>
        <w:t xml:space="preserve">Exhibit </w:t>
      </w:r>
      <w:r>
        <w:rPr>
          <w:noProof/>
        </w:rPr>
        <w:t>4.7</w:t>
      </w:r>
      <w:r>
        <w:t>.</w:t>
      </w:r>
      <w:r>
        <w:rPr>
          <w:noProof/>
        </w:rPr>
        <w:t>U</w:t>
      </w:r>
      <w:r>
        <w:fldChar w:fldCharType="end"/>
      </w:r>
      <w:r>
        <w:t xml:space="preserve"> above. </w:t>
      </w:r>
    </w:p>
    <w:p w14:paraId="1FFD49C5" w14:textId="415DBEFD">
      <w:pPr>
        <w:pStyle w:val="Normlbehzs"/>
      </w:pPr>
      <w:r>
        <w:t xml:space="preserve">As a logical extension of this approach, if an inscription consists of two or more extant fragments while one or more further fragments are lost, as in </w:t>
      </w:r>
      <w:r>
        <w:fldChar w:fldCharType="begin"/>
      </w:r>
      <w:r>
        <w:instrText xml:space="preserve"> REF _Ref182834408 \h </w:instrText>
      </w:r>
      <w:r>
        <w:fldChar w:fldCharType="separate"/>
      </w:r>
      <w:r>
        <w:t xml:space="preserve">Exhibit </w:t>
      </w:r>
      <w:r>
        <w:rPr>
          <w:noProof/>
        </w:rPr>
        <w:t>4.7</w:t>
      </w:r>
      <w:r>
        <w:t>.</w:t>
      </w:r>
      <w:r>
        <w:rPr>
          <w:noProof/>
        </w:rPr>
        <w:t>W</w:t>
      </w:r>
      <w:r>
        <w:fldChar w:fldCharType="end"/>
      </w:r>
      <w:r>
        <w:t>, then partitions (if they are encoded) should be created only for the extant fragments. Thus:</w:t>
      </w:r>
    </w:p>
    <w:p w14:paraId="5303D1D3" w14:textId="77777777">
      <w:pPr>
        <w:pStyle w:val="Lista"/>
      </w:pPr>
      <w:r>
        <w:t>the lacunae representing the text belonging to a lost fragment, whether restored or not, shall be encoded as belonging to the adjacent extant fragment</w:t>
      </w:r>
    </w:p>
    <w:p w14:paraId="54955B86" w14:textId="77777777">
      <w:pPr>
        <w:pStyle w:val="Lista2"/>
      </w:pPr>
      <w:r>
        <w:t>if two sides of a lost fragment are adjacent to different extant fragments, arbitrarily pick one of the extant fragments (typically the earlier one) and encode the lacunae as belonging to that fragment</w:t>
      </w:r>
    </w:p>
    <w:p w14:paraId="00E515A6" w14:textId="77777777">
      <w:pPr>
        <w:pStyle w:val="Lista"/>
      </w:pPr>
      <w:r>
        <w:t>when the edges of lacunae are partially restored on the basis of the adjacent preserved text, feel free to allocate the restorations to the fragment which serves as the basis for restoration, even if the rest of the lacuna is allocated to another fragment</w:t>
      </w:r>
    </w:p>
    <w:p w14:paraId="6F7C3F58" w14:textId="5110498A">
      <w:pPr>
        <w:pStyle w:val="Lista2"/>
      </w:pPr>
      <w:r>
        <w:t>in this case, word interruption (§</w:t>
      </w:r>
      <w:r>
        <w:fldChar w:fldCharType="begin"/>
      </w:r>
      <w:r>
        <w:instrText xml:space="preserve"> REF _Ref225519777 \r \h </w:instrText>
      </w:r>
      <w:r>
        <w:fldChar w:fldCharType="separate"/>
      </w:r>
      <w:r>
        <w:t>4.3.2.1</w:t>
      </w:r>
      <w:r>
        <w:fldChar w:fldCharType="end"/>
      </w:r>
      <w:r>
        <w:t>) shall be encoded on the basis your allocation of the milestone, not on that of the actual location of the fracture; thus,</w:t>
      </w:r>
    </w:p>
    <w:p w14:paraId="0C96FC19" w14:textId="77777777">
      <w:pPr>
        <w:pStyle w:val="Lista2"/>
      </w:pPr>
      <w:r>
        <w:rPr>
          <w:rStyle w:val="Codeattribute"/>
        </w:rPr>
        <w:t>@break=</w:t>
      </w:r>
      <w:r>
        <w:rPr>
          <w:rStyle w:val="Codevalue"/>
        </w:rPr>
        <w:t>"no"</w:t>
      </w:r>
      <w:r>
        <w:t xml:space="preserve"> is not required when a full word is restored on one side of the milestone</w:t>
      </w:r>
    </w:p>
    <w:tbl>
      <w:tblPr>
        <w:tblStyle w:val="CodeSampleTable"/>
        <w:tblW w:w="5000" w:type="pct"/>
        <w:tblLook w:val="04A0" w:firstRow="1" w:lastRow="0" w:firstColumn="1" w:lastColumn="0" w:noHBand="0" w:noVBand="1"/>
      </w:tblPr>
      <w:tblGrid>
        <w:gridCol w:w="9628"/>
      </w:tblGrid>
      <w:tr w14:paraId="40743C0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752041B" w14:textId="4433BEA6">
            <w:pPr>
              <w:pStyle w:val="Kpalrs"/>
              <w:keepLines/>
            </w:pPr>
            <w:bookmarkStart w:id="365" w:name="_Ref182834107"/>
            <w:r>
              <w:lastRenderedPageBreak/>
              <w:t xml:space="preserve">Exhibit </w:t>
            </w:r>
            <w:fldSimple w:instr=" STYLEREF 2 \s ">
              <w:r>
                <w:rPr>
                  <w:noProof/>
                </w:rPr>
                <w:t>4.7</w:t>
              </w:r>
            </w:fldSimple>
            <w:r>
              <w:t>.</w:t>
            </w:r>
            <w:fldSimple w:instr=" SEQ Exhibit \* ALPHABETIC \s 2 ">
              <w:r>
                <w:rPr>
                  <w:noProof/>
                </w:rPr>
                <w:t>V</w:t>
              </w:r>
            </w:fldSimple>
            <w:bookmarkEnd w:id="365"/>
            <w:r>
              <w:t>: inscription with a missing piece</w:t>
            </w:r>
          </w:p>
        </w:tc>
      </w:tr>
      <w:tr w14:paraId="51931B66" w14:textId="77777777">
        <w:tc>
          <w:tcPr>
            <w:tcW w:w="5000" w:type="pct"/>
            <w:vAlign w:val="center"/>
          </w:tcPr>
          <w:p w14:paraId="46309A0F" w14:textId="77777777">
            <w:pPr>
              <w:pStyle w:val="Image"/>
              <w:keepLines/>
            </w:pPr>
            <w:r>
              <w:drawing>
                <wp:inline distT="0" distB="0" distL="0" distR="0" wp14:anchorId="7CCC9D55" wp14:editId="73CB64EC">
                  <wp:extent cx="5397500" cy="1480820"/>
                  <wp:effectExtent l="0" t="0" r="0" b="5080"/>
                  <wp:docPr id="44" name="Kép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7500" cy="1480820"/>
                          </a:xfrm>
                          <a:prstGeom prst="rect">
                            <a:avLst/>
                          </a:prstGeom>
                          <a:noFill/>
                          <a:ln>
                            <a:noFill/>
                          </a:ln>
                        </pic:spPr>
                      </pic:pic>
                    </a:graphicData>
                  </a:graphic>
                </wp:inline>
              </w:drawing>
            </w:r>
          </w:p>
        </w:tc>
      </w:tr>
      <w:tr w14:paraId="22F8D145" w14:textId="77777777">
        <w:tc>
          <w:tcPr>
            <w:tcW w:w="5000" w:type="pct"/>
          </w:tcPr>
          <w:p w14:paraId="138EEBC1" w14:textId="77777777">
            <w:pPr>
              <w:pStyle w:val="CodeParagraph"/>
              <w:keepNext/>
              <w:keepLines/>
              <w:rPr>
                <w:rStyle w:val="Code"/>
              </w:rPr>
            </w:pPr>
            <w:r>
              <w:rPr>
                <w:rStyle w:val="Code"/>
              </w:rPr>
              <w:t>&lt;p&gt;</w:t>
            </w:r>
          </w:p>
          <w:p w14:paraId="6CF6FA77"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"1"</w:t>
            </w:r>
            <w:r>
              <w:rPr>
                <w:rStyle w:val="Code"/>
              </w:rPr>
              <w:t>/&gt;</w:t>
            </w:r>
            <w:r>
              <w:rPr>
                <w:rStyle w:val="Codetext"/>
              </w:rPr>
              <w:t>In a hole in the ground there lived a hobbit. Not a</w:t>
            </w:r>
            <w:r>
              <w:rPr>
                <w:rStyle w:val="Codetext"/>
              </w:rPr>
              <w:br/>
            </w:r>
            <w:r>
              <w:rPr>
                <w:rStyle w:val="Code"/>
              </w:rPr>
              <w:t xml:space="preserve">  &lt;lb </w:t>
            </w:r>
            <w:r>
              <w:rPr>
                <w:rStyle w:val="Codeattribute"/>
              </w:rPr>
              <w:t>n</w:t>
            </w:r>
            <w:r>
              <w:rPr>
                <w:rStyle w:val="Code"/>
              </w:rPr>
              <w:t>=</w:t>
            </w:r>
            <w:r>
              <w:rPr>
                <w:rStyle w:val="Codevalue"/>
              </w:rPr>
              <w:t>"2"</w:t>
            </w:r>
            <w:r>
              <w:rPr>
                <w:rStyle w:val="Code"/>
              </w:rPr>
              <w:t>/&gt;</w:t>
            </w:r>
            <w:r>
              <w:rPr>
                <w:rStyle w:val="Codetext"/>
              </w:rPr>
              <w:t>nasty, dirty, wet hole, filled with the ends of worms</w:t>
            </w:r>
            <w:r>
              <w:rPr>
                <w:rStyle w:val="Codetext"/>
              </w:rPr>
              <w:br/>
            </w:r>
            <w:r>
              <w:rPr>
                <w:rStyle w:val="Code"/>
              </w:rPr>
              <w:t xml:space="preserve">  &lt;lb </w:t>
            </w:r>
            <w:r>
              <w:rPr>
                <w:rStyle w:val="Codeattribute"/>
              </w:rPr>
              <w:t>n</w:t>
            </w:r>
            <w:r>
              <w:rPr>
                <w:rStyle w:val="Code"/>
              </w:rPr>
              <w:t>=</w:t>
            </w:r>
            <w:r>
              <w:rPr>
                <w:rStyle w:val="Codevalue"/>
              </w:rPr>
              <w:t>"3"</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"3"</w:t>
            </w:r>
            <w:r>
              <w:rPr>
                <w:rStyle w:val="Code"/>
              </w:rPr>
              <w:t xml:space="preserve"> </w:t>
            </w:r>
            <w:r>
              <w:rPr>
                <w:rStyle w:val="Codeattribute"/>
              </w:rPr>
              <w:t>unit</w:t>
            </w:r>
            <w:r>
              <w:rPr>
                <w:rStyle w:val="Code"/>
              </w:rPr>
              <w:t>=</w:t>
            </w:r>
            <w:r>
              <w:rPr>
                <w:rStyle w:val="Codevalue"/>
              </w:rPr>
              <w:t>"character"</w:t>
            </w:r>
            <w:r>
              <w:rPr>
                <w:rStyle w:val="Code"/>
              </w:rPr>
              <w:t>/&gt;</w:t>
            </w:r>
            <w:r>
              <w:rPr>
                <w:rStyle w:val="Codetext"/>
              </w:rPr>
              <w:t>an oozy smell, nor yet a dry, bare, sandy hole</w:t>
            </w:r>
            <w:r>
              <w:rPr>
                <w:rStyle w:val="Codetext"/>
              </w:rPr>
              <w:br/>
            </w:r>
            <w:r>
              <w:rPr>
                <w:rStyle w:val="Code"/>
              </w:rPr>
              <w:t xml:space="preserve">  &lt;lb </w:t>
            </w:r>
            <w:r>
              <w:rPr>
                <w:rStyle w:val="Codeattribute"/>
              </w:rPr>
              <w:t>n</w:t>
            </w:r>
            <w:r>
              <w:rPr>
                <w:rStyle w:val="Code"/>
              </w:rPr>
              <w:t>=</w:t>
            </w:r>
            <w:r>
              <w:rPr>
                <w:rStyle w:val="Codevalue"/>
              </w:rPr>
              <w:t>"4"</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"8"</w:t>
            </w:r>
            <w:r>
              <w:rPr>
                <w:rStyle w:val="Code"/>
              </w:rPr>
              <w:t xml:space="preserve"> </w:t>
            </w:r>
            <w:r>
              <w:rPr>
                <w:rStyle w:val="Codeattribute"/>
              </w:rPr>
              <w:t>unit</w:t>
            </w:r>
            <w:r>
              <w:rPr>
                <w:rStyle w:val="Code"/>
              </w:rPr>
              <w:t>=</w:t>
            </w:r>
            <w:r>
              <w:rPr>
                <w:rStyle w:val="Codevalue"/>
              </w:rPr>
              <w:t>"character"</w:t>
            </w:r>
            <w:r>
              <w:rPr>
                <w:rStyle w:val="Code"/>
              </w:rPr>
              <w:t>/&gt;&lt;unclear&gt;h&lt;/unclear&gt;</w:t>
            </w:r>
            <w:r>
              <w:rPr>
                <w:rStyle w:val="Codetext"/>
              </w:rPr>
              <w:t>ing in it to sit down on or to eat: it was a</w:t>
            </w:r>
          </w:p>
          <w:p w14:paraId="59F39FA4"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"5"</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"14"</w:t>
            </w:r>
            <w:r>
              <w:rPr>
                <w:rStyle w:val="Code"/>
              </w:rPr>
              <w:t xml:space="preserve"> </w:t>
            </w:r>
            <w:r>
              <w:rPr>
                <w:rStyle w:val="Codeattribute"/>
              </w:rPr>
              <w:t>unit</w:t>
            </w:r>
            <w:r>
              <w:rPr>
                <w:rStyle w:val="Code"/>
              </w:rPr>
              <w:t>=</w:t>
            </w:r>
            <w:r>
              <w:rPr>
                <w:rStyle w:val="Codevalue"/>
              </w:rPr>
              <w:t>"character"</w:t>
            </w:r>
            <w:r>
              <w:rPr>
                <w:rStyle w:val="Code"/>
              </w:rPr>
              <w:t>/&gt;</w:t>
            </w:r>
            <w:r>
              <w:rPr>
                <w:rStyle w:val="Codetext"/>
              </w:rPr>
              <w:t>nd that means comfort.</w:t>
            </w:r>
          </w:p>
          <w:p w14:paraId="72402C85" w14:textId="77777777">
            <w:pPr>
              <w:pStyle w:val="CodeParagraph"/>
              <w:keepNext/>
              <w:keepLines/>
            </w:pPr>
            <w:r>
              <w:rPr>
                <w:rStyle w:val="Code"/>
              </w:rPr>
              <w:t>&lt;/p&gt;</w:t>
            </w:r>
          </w:p>
        </w:tc>
      </w:tr>
    </w:tbl>
    <w:p w14:paraId="3E810DB9" w14:textId="77777777"/>
    <w:tbl>
      <w:tblPr>
        <w:tblStyle w:val="CodeSampleTable"/>
        <w:tblW w:w="0" w:type="auto"/>
        <w:tblLook w:val="04A0" w:firstRow="1" w:lastRow="0" w:firstColumn="1" w:lastColumn="0" w:noHBand="0" w:noVBand="1"/>
      </w:tblPr>
      <w:tblGrid>
        <w:gridCol w:w="9054"/>
      </w:tblGrid>
      <w:tr w14:paraId="08F7F7A7" w14:textId="77777777">
        <w:trPr>
          <w:cnfStyle w:val="100000000000" w:firstRow="1" w:lastRow="0" w:firstColumn="0" w:lastColumn="0" w:oddVBand="0" w:evenVBand="0" w:oddHBand="0" w:evenHBand="0" w:firstRowFirstColumn="0" w:firstRowLastColumn="0" w:lastRowFirstColumn="0" w:lastRowLastColumn="0"/>
        </w:trPr>
        <w:tc>
          <w:tcPr>
            <w:tcW w:w="9054" w:type="dxa"/>
          </w:tcPr>
          <w:p w14:paraId="77F83AE2" w14:textId="764E9DFC">
            <w:pPr>
              <w:pStyle w:val="Kpalrs"/>
              <w:keepLines/>
            </w:pPr>
            <w:bookmarkStart w:id="366" w:name="_Ref182834408"/>
            <w:r>
              <w:lastRenderedPageBreak/>
              <w:t xml:space="preserve">Exhibit </w:t>
            </w:r>
            <w:fldSimple w:instr=" STYLEREF 2 \s ">
              <w:r>
                <w:rPr>
                  <w:noProof/>
                </w:rPr>
                <w:t>4.7</w:t>
              </w:r>
            </w:fldSimple>
            <w:r>
              <w:t>.</w:t>
            </w:r>
            <w:fldSimple w:instr=" SEQ Exhibit \* ALPHABETIC \s 2 ">
              <w:r>
                <w:rPr>
                  <w:noProof/>
                </w:rPr>
                <w:t>W</w:t>
              </w:r>
            </w:fldSimple>
            <w:bookmarkEnd w:id="366"/>
            <w:r>
              <w:t>: gridlike partitions for contiguous fragments with a missing piece</w:t>
            </w:r>
          </w:p>
        </w:tc>
      </w:tr>
      <w:tr w14:paraId="74133945" w14:textId="77777777">
        <w:tc>
          <w:tcPr>
            <w:tcW w:w="9054" w:type="dxa"/>
          </w:tcPr>
          <w:p w14:paraId="2BE46569" w14:textId="77777777">
            <w:pPr>
              <w:pStyle w:val="Image"/>
              <w:keepLines/>
            </w:pPr>
            <w:r>
              <w:drawing>
                <wp:inline distT="0" distB="0" distL="0" distR="0" wp14:anchorId="76B711F9" wp14:editId="68397FD5">
                  <wp:extent cx="5397500" cy="2702560"/>
                  <wp:effectExtent l="0" t="0" r="0" b="2540"/>
                  <wp:docPr id="1032500959"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97500" cy="2702560"/>
                          </a:xfrm>
                          <a:prstGeom prst="rect">
                            <a:avLst/>
                          </a:prstGeom>
                          <a:noFill/>
                          <a:ln>
                            <a:noFill/>
                          </a:ln>
                        </pic:spPr>
                      </pic:pic>
                    </a:graphicData>
                  </a:graphic>
                </wp:inline>
              </w:drawing>
            </w:r>
          </w:p>
        </w:tc>
      </w:tr>
      <w:tr w14:paraId="78D0389F" w14:textId="77777777">
        <w:tc>
          <w:tcPr>
            <w:tcW w:w="9054" w:type="dxa"/>
          </w:tcPr>
          <w:p w14:paraId="2088FAE3" w14:textId="77777777">
            <w:pPr>
              <w:pStyle w:val="TableNote"/>
              <w:keepNext/>
              <w:keepLines/>
            </w:pPr>
            <w:r>
              <w:t>two extant fragments of a slab can be joined, but a smaller fragment is missing</w:t>
            </w:r>
          </w:p>
          <w:p w14:paraId="420DA2D1" w14:textId="77777777">
            <w:pPr>
              <w:pStyle w:val="TableNote"/>
              <w:keepNext/>
              <w:keepLines/>
            </w:pPr>
            <w:r>
              <w:t>the fragments are optionally encoded as gridlike milestones</w:t>
            </w:r>
          </w:p>
          <w:p w14:paraId="202C094A" w14:textId="77777777">
            <w:pPr>
              <w:pStyle w:val="TableNote"/>
              <w:keepNext/>
              <w:keepLines/>
            </w:pPr>
            <w:r>
              <w:t>the lacunae in the first five lines are arbitrarily allocated to fragment a</w:t>
            </w:r>
          </w:p>
          <w:p w14:paraId="546D1BCC" w14:textId="77777777">
            <w:pPr>
              <w:pStyle w:val="TableNote"/>
              <w:keepNext/>
              <w:keepLines/>
            </w:pPr>
            <w:r>
              <w:t>restorations of partially lost words are always allocated to the fragment bearing their extant segments</w:t>
            </w:r>
          </w:p>
        </w:tc>
      </w:tr>
      <w:tr w14:paraId="4C9E6A21" w14:textId="77777777">
        <w:tc>
          <w:tcPr>
            <w:tcW w:w="9054" w:type="dxa"/>
          </w:tcPr>
          <w:p w14:paraId="671931F5" w14:textId="77777777">
            <w:pPr>
              <w:pStyle w:val="CodeParagraph"/>
              <w:rPr>
                <w:rStyle w:val="Code"/>
              </w:rPr>
            </w:pP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In a hole in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"17"</w:t>
            </w:r>
            <w:r>
              <w:rPr>
                <w:rStyle w:val="Code"/>
              </w:rPr>
              <w:t xml:space="preserve"> </w:t>
            </w:r>
            <w:r>
              <w:rPr>
                <w:rStyle w:val="Codeattribute"/>
              </w:rPr>
              <w:t>unit</w:t>
            </w:r>
            <w:r>
              <w:rPr>
                <w:rStyle w:val="Code"/>
              </w:rPr>
              <w:t>=</w:t>
            </w:r>
            <w:r>
              <w:rPr>
                <w:rStyle w:val="Codevalue"/>
              </w:rPr>
              <w:t>"character"</w:t>
            </w:r>
            <w:r>
              <w:rPr>
                <w:rStyle w:val="Code"/>
              </w:rPr>
              <w:t xml:space="preserve">/&gt; &lt;milestone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 xml:space="preserve">/&gt;&lt;supplied </w:t>
            </w:r>
            <w:r>
              <w:rPr>
                <w:rStyle w:val="Codeattribute"/>
              </w:rPr>
              <w:t>reason</w:t>
            </w:r>
            <w:r>
              <w:rPr>
                <w:rStyle w:val="Code"/>
              </w:rPr>
              <w:t>=</w:t>
            </w:r>
            <w:r>
              <w:rPr>
                <w:rStyle w:val="Codevalue"/>
              </w:rPr>
              <w:t>"lost"</w:t>
            </w:r>
            <w:r>
              <w:rPr>
                <w:rStyle w:val="Code"/>
              </w:rPr>
              <w:t>&gt;</w:t>
            </w:r>
            <w:r>
              <w:rPr>
                <w:rStyle w:val="Codetext"/>
              </w:rPr>
              <w:t>li</w:t>
            </w:r>
            <w:r>
              <w:rPr>
                <w:rStyle w:val="Code"/>
              </w:rPr>
              <w:t>&lt;/supplied&gt;</w:t>
            </w:r>
            <w:r>
              <w:rPr>
                <w:rStyle w:val="Codetext"/>
              </w:rPr>
              <w:t>ved a hobbit. Not a</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nasty, dirty, wet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"14"</w:t>
            </w:r>
            <w:r>
              <w:rPr>
                <w:rStyle w:val="Code"/>
              </w:rPr>
              <w:t xml:space="preserve"> </w:t>
            </w:r>
            <w:r>
              <w:rPr>
                <w:rStyle w:val="Codeattribute"/>
              </w:rPr>
              <w:t>unit</w:t>
            </w:r>
            <w:r>
              <w:rPr>
                <w:rStyle w:val="Code"/>
              </w:rPr>
              <w:t>=</w:t>
            </w:r>
            <w:r>
              <w:rPr>
                <w:rStyle w:val="Codevalue"/>
              </w:rPr>
              <w:t>"character"</w:t>
            </w:r>
            <w:r>
              <w:rPr>
                <w:rStyle w:val="Code"/>
              </w:rPr>
              <w:t xml:space="preserve">/&gt; &lt;milestone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 xml:space="preserve">/&gt;&lt;supplied </w:t>
            </w:r>
            <w:r>
              <w:rPr>
                <w:rStyle w:val="Codeattribute"/>
              </w:rPr>
              <w:t>reason</w:t>
            </w:r>
            <w:r>
              <w:rPr>
                <w:rStyle w:val="Code"/>
              </w:rPr>
              <w:t>=</w:t>
            </w:r>
            <w:r>
              <w:rPr>
                <w:rStyle w:val="Codevalue"/>
              </w:rPr>
              <w:t>"lost"</w:t>
            </w:r>
            <w:r>
              <w:rPr>
                <w:rStyle w:val="Code"/>
              </w:rPr>
              <w:t>&gt;</w:t>
            </w:r>
            <w:r>
              <w:rPr>
                <w:rStyle w:val="Codetext"/>
              </w:rPr>
              <w:t>w</w:t>
            </w:r>
            <w:r>
              <w:rPr>
                <w:rStyle w:val="Code"/>
              </w:rPr>
              <w:t>&lt;/supplied&gt;&lt;unclear&gt;</w:t>
            </w:r>
            <w:r>
              <w:rPr>
                <w:rStyle w:val="Codetext"/>
              </w:rPr>
              <w:t>i</w:t>
            </w:r>
            <w:r>
              <w:rPr>
                <w:rStyle w:val="Code"/>
              </w:rPr>
              <w:t>&lt;/unclear&gt;</w:t>
            </w:r>
            <w:r>
              <w:rPr>
                <w:rStyle w:val="Codetext"/>
              </w:rPr>
              <w:t>th the ends of worms</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and an oozy sme</w:t>
            </w:r>
            <w:r>
              <w:rPr>
                <w:rStyle w:val="Code"/>
              </w:rPr>
              <w:t>&lt;unclear&gt;</w:t>
            </w:r>
            <w:r>
              <w:rPr>
                <w:rStyle w:val="Codetext"/>
              </w:rPr>
              <w:t>ll</w:t>
            </w:r>
            <w:r>
              <w:rPr>
                <w:rStyle w:val="Code"/>
              </w:rPr>
              <w:t xml:space="preserve">&lt;/unclear&gt; &lt;gap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"10"</w:t>
            </w:r>
            <w:r>
              <w:rPr>
                <w:rStyle w:val="Code"/>
              </w:rPr>
              <w:t xml:space="preserve"> </w:t>
            </w:r>
            <w:r>
              <w:rPr>
                <w:rStyle w:val="Codeattribute"/>
              </w:rPr>
              <w:t>unit</w:t>
            </w:r>
            <w:r>
              <w:rPr>
                <w:rStyle w:val="Code"/>
              </w:rPr>
              <w:t>=</w:t>
            </w:r>
            <w:r>
              <w:rPr>
                <w:rStyle w:val="Codevalue"/>
              </w:rPr>
              <w:t>"character"</w:t>
            </w:r>
            <w:r>
              <w:rPr>
                <w:rStyle w:val="Code"/>
              </w:rPr>
              <w:t xml:space="preserve">/&gt; &lt;milestone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a dry, bare, sandy hole</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with nothing in it </w:t>
            </w:r>
            <w:r>
              <w:rPr>
                <w:rStyle w:val="Code"/>
              </w:rPr>
              <w:t>&lt;unclear&gt;</w:t>
            </w:r>
            <w:r>
              <w:rPr>
                <w:rStyle w:val="Codetext"/>
              </w:rPr>
              <w:t>t</w:t>
            </w:r>
            <w:r>
              <w:rPr>
                <w:rStyle w:val="Code"/>
              </w:rPr>
              <w:t xml:space="preserve">&lt;/unclear&gt;&lt;gap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"6"</w:t>
            </w:r>
            <w:r>
              <w:rPr>
                <w:rStyle w:val="Code"/>
              </w:rPr>
              <w:t xml:space="preserve"> </w:t>
            </w:r>
            <w:r>
              <w:rPr>
                <w:rStyle w:val="Codeattribute"/>
              </w:rPr>
              <w:t>unit</w:t>
            </w:r>
            <w:r>
              <w:rPr>
                <w:rStyle w:val="Code"/>
              </w:rPr>
              <w:t>=</w:t>
            </w:r>
            <w:r>
              <w:rPr>
                <w:rStyle w:val="Codevalue"/>
              </w:rPr>
              <w:t>"character"</w:t>
            </w:r>
            <w:r>
              <w:rPr>
                <w:rStyle w:val="Code"/>
              </w:rPr>
              <w:t xml:space="preserve">/&gt; &lt;milestone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down on or to eat: it was a</w:t>
            </w:r>
            <w:r>
              <w:rPr>
                <w:rStyle w:val="Codetext"/>
              </w:rPr>
              <w:br/>
              <w:t xml:space="preserve">  </w:t>
            </w:r>
            <w:r>
              <w:rPr>
                <w:rStyle w:val="Code"/>
              </w:rPr>
              <w:t xml:space="preserve">&lt;lb </w:t>
            </w:r>
            <w:r>
              <w:rPr>
                <w:rStyle w:val="Codeattribute"/>
              </w:rPr>
              <w:t>n</w:t>
            </w:r>
            <w:r>
              <w:rPr>
                <w:rStyle w:val="Code"/>
              </w:rPr>
              <w:t>=</w:t>
            </w:r>
            <w:r>
              <w:rPr>
                <w:rStyle w:val="Codevalue"/>
              </w:rPr>
              <w:t>"5"</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hobbit-hole, and th</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at</w:t>
            </w:r>
            <w:r>
              <w:rPr>
                <w:rStyle w:val="Code"/>
              </w:rPr>
              <w:t>&lt;/supplied&gt;</w:t>
            </w:r>
            <w:r>
              <w:rPr>
                <w:rStyle w:val="Codetext"/>
              </w:rPr>
              <w:t xml:space="preserve">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 xml:space="preserve">means comfort. It had a  </w:t>
            </w:r>
            <w:r>
              <w:rPr>
                <w:rStyle w:val="Codetext"/>
              </w:rPr>
              <w:br/>
              <w:t xml:space="preserve">  </w:t>
            </w:r>
            <w:r>
              <w:rPr>
                <w:rStyle w:val="Code"/>
              </w:rPr>
              <w:t xml:space="preserve">&lt;lb </w:t>
            </w:r>
            <w:r>
              <w:rPr>
                <w:rStyle w:val="Codeattribute"/>
              </w:rPr>
              <w:t>n</w:t>
            </w:r>
            <w:r>
              <w:rPr>
                <w:rStyle w:val="Code"/>
              </w:rPr>
              <w:t>=</w:t>
            </w:r>
            <w:r>
              <w:rPr>
                <w:rStyle w:val="Codevalue"/>
              </w:rPr>
              <w:t>"6"</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perfectly round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/&gt;&lt;unclear&gt;</w:t>
            </w:r>
            <w:r>
              <w:rPr>
                <w:rStyle w:val="Codetext"/>
              </w:rPr>
              <w:t>d</w:t>
            </w:r>
            <w:r>
              <w:rPr>
                <w:rStyle w:val="Code"/>
              </w:rPr>
              <w:t>&lt;/unclear&gt;</w:t>
            </w:r>
            <w:r>
              <w:rPr>
                <w:rStyle w:val="Codetext"/>
              </w:rPr>
              <w:t xml:space="preserve">oor like a porthole, painted green,  </w:t>
            </w:r>
            <w:r>
              <w:rPr>
                <w:rStyle w:val="Codetext"/>
              </w:rPr>
              <w:br/>
              <w:t xml:space="preserve">  </w:t>
            </w:r>
            <w:r>
              <w:rPr>
                <w:rStyle w:val="Code"/>
              </w:rPr>
              <w:t xml:space="preserve">&lt;lb </w:t>
            </w:r>
            <w:r>
              <w:rPr>
                <w:rStyle w:val="Codeattribute"/>
              </w:rPr>
              <w:t>n</w:t>
            </w:r>
            <w:r>
              <w:rPr>
                <w:rStyle w:val="Code"/>
              </w:rPr>
              <w:t>=</w:t>
            </w:r>
            <w:r>
              <w:rPr>
                <w:rStyle w:val="Codevalue"/>
              </w:rPr>
              <w:t>"7"</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with a shiny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yellow brass knob in the exact middle.</w:t>
            </w:r>
            <w:r>
              <w:rPr>
                <w:rStyle w:val="Codetext"/>
              </w:rPr>
              <w:br/>
              <w:t xml:space="preserve">  </w:t>
            </w:r>
            <w:r>
              <w:rPr>
                <w:rStyle w:val="Code"/>
              </w:rPr>
              <w:t xml:space="preserve">&lt;lb </w:t>
            </w:r>
            <w:r>
              <w:rPr>
                <w:rStyle w:val="Codeattribute"/>
              </w:rPr>
              <w:t>n</w:t>
            </w:r>
            <w:r>
              <w:rPr>
                <w:rStyle w:val="Code"/>
              </w:rPr>
              <w:t>=</w:t>
            </w:r>
            <w:r>
              <w:rPr>
                <w:rStyle w:val="Codevalue"/>
              </w:rPr>
              <w:t>"8"</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The door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opened on to a tube-shaped hall like a</w:t>
            </w:r>
            <w:r>
              <w:rPr>
                <w:rStyle w:val="Codetext"/>
              </w:rPr>
              <w:br/>
              <w:t xml:space="preserve">  </w:t>
            </w:r>
            <w:r>
              <w:rPr>
                <w:rStyle w:val="Code"/>
              </w:rPr>
              <w:t xml:space="preserve">&lt;lb </w:t>
            </w:r>
            <w:r>
              <w:rPr>
                <w:rStyle w:val="Codeattribute"/>
              </w:rPr>
              <w:t>n</w:t>
            </w:r>
            <w:r>
              <w:rPr>
                <w:rStyle w:val="Code"/>
              </w:rPr>
              <w:t>=</w:t>
            </w:r>
            <w:r>
              <w:rPr>
                <w:rStyle w:val="Codevalue"/>
              </w:rPr>
              <w:t>"9"</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tunne</w:t>
            </w:r>
            <w:r>
              <w:rPr>
                <w:rStyle w:val="Code"/>
              </w:rPr>
              <w:t>&lt;unclear&gt;</w:t>
            </w:r>
            <w:r>
              <w:rPr>
                <w:rStyle w:val="Codetext"/>
              </w:rPr>
              <w:t>l</w:t>
            </w:r>
            <w:r>
              <w:rPr>
                <w:rStyle w:val="Code"/>
              </w:rPr>
              <w:t xml:space="preserve">&lt;/unclear&gt;&lt;supplied </w:t>
            </w:r>
            <w:r>
              <w:rPr>
                <w:rStyle w:val="Codeattribute"/>
              </w:rPr>
              <w:t>reason</w:t>
            </w:r>
            <w:r>
              <w:rPr>
                <w:rStyle w:val="Code"/>
              </w:rPr>
              <w:t>=</w:t>
            </w:r>
            <w:r>
              <w:rPr>
                <w:rStyle w:val="Codevalue"/>
              </w:rPr>
              <w:t>"lost"</w:t>
            </w:r>
            <w:r>
              <w:rPr>
                <w:rStyle w:val="Code"/>
              </w:rPr>
              <w:t xml:space="preserve"> </w:t>
            </w:r>
            <w:r>
              <w:rPr>
                <w:rStyle w:val="Codeattribute"/>
              </w:rPr>
              <w:t>cert</w:t>
            </w:r>
            <w:r>
              <w:rPr>
                <w:rStyle w:val="Code"/>
              </w:rPr>
              <w:t>=</w:t>
            </w:r>
            <w:r>
              <w:rPr>
                <w:rStyle w:val="Codevalue"/>
              </w:rPr>
              <w:t>"low"</w:t>
            </w:r>
            <w:r>
              <w:rPr>
                <w:rStyle w:val="Code"/>
              </w:rPr>
              <w:t>&gt;</w:t>
            </w:r>
            <w:r>
              <w:rPr>
                <w:rStyle w:val="Codetext"/>
              </w:rPr>
              <w:t>:</w:t>
            </w:r>
            <w:r>
              <w:rPr>
                <w:rStyle w:val="Code"/>
              </w:rPr>
              <w:t>&lt;/supplied&gt;</w:t>
            </w:r>
            <w:r>
              <w:rPr>
                <w:rStyle w:val="Codetext"/>
              </w:rPr>
              <w:t xml:space="preserve">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a very comfortable tunnel without smoke.</w:t>
            </w:r>
            <w:r>
              <w:rPr>
                <w:rStyle w:val="Codetext"/>
              </w:rPr>
              <w:br/>
            </w:r>
            <w:r>
              <w:rPr>
                <w:rStyle w:val="Code"/>
              </w:rPr>
              <w:t>&lt;/p&gt;</w:t>
            </w:r>
          </w:p>
        </w:tc>
      </w:tr>
    </w:tbl>
    <w:p w14:paraId="745A63EE" w14:textId="77777777">
      <w:pPr>
        <w:pStyle w:val="Cmsor4"/>
      </w:pPr>
      <w:bookmarkStart w:id="367" w:name="_Ref182836682"/>
      <w:bookmarkEnd w:id="358"/>
      <w:r>
        <w:t>Features splitting an inscription horizontally</w:t>
      </w:r>
      <w:bookmarkEnd w:id="367"/>
    </w:p>
    <w:p w14:paraId="4AB88989" w14:textId="3ECC9C27">
      <w:r>
        <w:t xml:space="preserve">A fracture or other three-dimensional feature of the support may split an inscription horizontally, i.e. along the lines of the text, as in </w:t>
      </w:r>
      <w:r>
        <w:fldChar w:fldCharType="begin"/>
      </w:r>
      <w:r>
        <w:instrText xml:space="preserve"> REF _Ref182822467 \h </w:instrText>
      </w:r>
      <w:r>
        <w:fldChar w:fldCharType="separate"/>
      </w:r>
      <w:r>
        <w:t xml:space="preserve">Exhibit </w:t>
      </w:r>
      <w:r>
        <w:rPr>
          <w:noProof/>
        </w:rPr>
        <w:t>4.7</w:t>
      </w:r>
      <w:r>
        <w:t>.</w:t>
      </w:r>
      <w:r>
        <w:rPr>
          <w:noProof/>
        </w:rPr>
        <w:t>X</w:t>
      </w:r>
      <w:r>
        <w:fldChar w:fldCharType="end"/>
      </w:r>
      <w:r>
        <w:t>. Encoding such a feature is optional, and the considerations in §</w:t>
      </w:r>
      <w:r>
        <w:fldChar w:fldCharType="begin"/>
      </w:r>
      <w:r>
        <w:instrText xml:space="preserve"> REF _Ref182322267 \r \h </w:instrText>
      </w:r>
      <w:r>
        <w:fldChar w:fldCharType="separate"/>
      </w:r>
      <w:r>
        <w:t>4.7.5</w:t>
      </w:r>
      <w:r>
        <w:fldChar w:fldCharType="end"/>
      </w:r>
      <w:r>
        <w:t xml:space="preserve"> continue to apply. However, encoding it as a gridlike partition would not be practicable, since each cell of a grid is understood to be part of a line (§</w:t>
      </w:r>
      <w:r>
        <w:fldChar w:fldCharType="begin"/>
      </w:r>
      <w:r>
        <w:instrText xml:space="preserve"> REF _Ref182923075 \r \h </w:instrText>
      </w:r>
      <w:r>
        <w:fldChar w:fldCharType="separate"/>
      </w:r>
      <w:r>
        <w:t>4.1</w:t>
      </w:r>
      <w:r>
        <w:fldChar w:fldCharType="end"/>
      </w:r>
      <w:r>
        <w:t>), while here the partition is on a higher level of the extrinsic hierarchy, with full lines belonging to each fragment. Therefore, if encoding is desired, such a feature is to be treated as a pagelike partition.</w:t>
      </w:r>
    </w:p>
    <w:p w14:paraId="24813226" w14:textId="79865F5A">
      <w:pPr>
        <w:pStyle w:val="Lista"/>
      </w:pPr>
      <w:r>
        <w:t>if a fracture or other feature splits an epigraphic line horizontally or nearly horizontally, so that there are parts of that line’s text on both sides of the feature, then assign the entire line arbitrarily to one side of the feature or the other (see also §</w:t>
      </w:r>
      <w:r>
        <w:fldChar w:fldCharType="begin"/>
      </w:r>
      <w:r>
        <w:instrText xml:space="preserve"> REF _Ref182813737 \r \h </w:instrText>
      </w:r>
      <w:r>
        <w:fldChar w:fldCharType="separate"/>
      </w:r>
      <w:r>
        <w:t>4.7.6.1</w:t>
      </w:r>
      <w:r>
        <w:fldChar w:fldCharType="end"/>
      </w:r>
      <w:r>
        <w:t>)</w:t>
      </w:r>
    </w:p>
    <w:p w14:paraId="0B6DAC6E" w14:textId="77777777">
      <w:pPr>
        <w:pStyle w:val="Lista"/>
      </w:pPr>
      <w:r>
        <w:lastRenderedPageBreak/>
        <w:t>even if a small number of characters in the affected line are wholly on one side of the feature, you are free to choose this encoding in preference to using numerous gridlike milestones in that line</w:t>
      </w:r>
    </w:p>
    <w:tbl>
      <w:tblPr>
        <w:tblStyle w:val="CodeSampleTable"/>
        <w:tblW w:w="5000" w:type="pct"/>
        <w:tblLook w:val="04A0" w:firstRow="1" w:lastRow="0" w:firstColumn="1" w:lastColumn="0" w:noHBand="0" w:noVBand="1"/>
      </w:tblPr>
      <w:tblGrid>
        <w:gridCol w:w="9628"/>
      </w:tblGrid>
      <w:tr w14:paraId="11591BE0"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97CBC86" w14:textId="2FD004AF">
            <w:pPr>
              <w:pStyle w:val="Kpalrs"/>
              <w:keepLines/>
            </w:pPr>
            <w:bookmarkStart w:id="368" w:name="_Ref182822467"/>
            <w:r>
              <w:t xml:space="preserve">Exhibit </w:t>
            </w:r>
            <w:fldSimple w:instr=" STYLEREF 2 \s ">
              <w:r>
                <w:rPr>
                  <w:noProof/>
                </w:rPr>
                <w:t>4.7</w:t>
              </w:r>
            </w:fldSimple>
            <w:r>
              <w:t>.</w:t>
            </w:r>
            <w:fldSimple w:instr=" SEQ Exhibit \* ALPHABETIC \s 2 ">
              <w:r>
                <w:rPr>
                  <w:noProof/>
                </w:rPr>
                <w:t>X</w:t>
              </w:r>
            </w:fldSimple>
            <w:bookmarkEnd w:id="368"/>
            <w:r>
              <w:t>: pagelike partition for a horizontal fracture</w:t>
            </w:r>
          </w:p>
        </w:tc>
      </w:tr>
      <w:tr w14:paraId="68D38304" w14:textId="77777777">
        <w:tc>
          <w:tcPr>
            <w:tcW w:w="5000" w:type="pct"/>
          </w:tcPr>
          <w:p w14:paraId="228F26E2" w14:textId="77777777">
            <w:pPr>
              <w:pStyle w:val="Image"/>
              <w:keepLines/>
            </w:pPr>
            <w:r>
              <w:drawing>
                <wp:inline distT="0" distB="0" distL="0" distR="0" wp14:anchorId="00E9EA52" wp14:editId="052B93A2">
                  <wp:extent cx="5397500" cy="1480820"/>
                  <wp:effectExtent l="0" t="0" r="0" b="5080"/>
                  <wp:docPr id="43" name="Kép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7500" cy="1480820"/>
                          </a:xfrm>
                          <a:prstGeom prst="rect">
                            <a:avLst/>
                          </a:prstGeom>
                          <a:noFill/>
                          <a:ln>
                            <a:noFill/>
                          </a:ln>
                        </pic:spPr>
                      </pic:pic>
                    </a:graphicData>
                  </a:graphic>
                </wp:inline>
              </w:drawing>
            </w:r>
          </w:p>
        </w:tc>
      </w:tr>
      <w:tr w14:paraId="5BBC3153" w14:textId="77777777">
        <w:tc>
          <w:tcPr>
            <w:tcW w:w="5000" w:type="pct"/>
          </w:tcPr>
          <w:p w14:paraId="15562545" w14:textId="77777777">
            <w:pPr>
              <w:pStyle w:val="CodeParagraph"/>
              <w:keepNext/>
              <w:rPr>
                <w:rStyle w:val="Code"/>
              </w:rPr>
            </w:pPr>
            <w:r>
              <w:rPr>
                <w:rStyle w:val="Code"/>
              </w:rPr>
              <w:t>&lt;p&gt;</w:t>
            </w:r>
          </w:p>
          <w:p w14:paraId="24E0825D" w14:textId="77777777">
            <w:pPr>
              <w:pStyle w:val="CodeParagraph"/>
              <w:keepNext/>
              <w:rPr>
                <w:rStyle w:val="Code"/>
              </w:rPr>
            </w:pPr>
            <w:r>
              <w:rPr>
                <w:rStyle w:val="Code"/>
              </w:rPr>
              <w:t xml:space="preserve">  &lt;milestone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p>
          <w:p w14:paraId="53F5E966" w14:textId="77777777">
            <w:pPr>
              <w:pStyle w:val="CodeParagraph"/>
              <w:keepNext/>
              <w:rPr>
                <w:rStyle w:val="Code"/>
              </w:rPr>
            </w:pPr>
            <w:r>
              <w:rPr>
                <w:rStyle w:val="Code"/>
              </w:rPr>
              <w:t xml:space="preserve">  &lt;lb </w:t>
            </w:r>
            <w:r>
              <w:rPr>
                <w:rStyle w:val="Codeattribute"/>
              </w:rPr>
              <w:t>n</w:t>
            </w:r>
            <w:r>
              <w:rPr>
                <w:rStyle w:val="Code"/>
              </w:rPr>
              <w:t>=</w:t>
            </w:r>
            <w:r>
              <w:rPr>
                <w:rStyle w:val="Codevalue"/>
              </w:rPr>
              <w:t>"1"</w:t>
            </w:r>
            <w:r>
              <w:rPr>
                <w:rStyle w:val="Code"/>
              </w:rPr>
              <w:t>/&gt;</w:t>
            </w:r>
            <w:r>
              <w:rPr>
                <w:rStyle w:val="Codetext"/>
              </w:rPr>
              <w:t>In a hole in the ground there lived a hobbit. Not a</w:t>
            </w:r>
            <w:r>
              <w:rPr>
                <w:rStyle w:val="Codetext"/>
              </w:rPr>
              <w:br/>
            </w:r>
            <w:r>
              <w:rPr>
                <w:rStyle w:val="Code"/>
              </w:rPr>
              <w:t xml:space="preserve">  &lt;lb </w:t>
            </w:r>
            <w:r>
              <w:rPr>
                <w:rStyle w:val="Codeattribute"/>
              </w:rPr>
              <w:t>n</w:t>
            </w:r>
            <w:r>
              <w:rPr>
                <w:rStyle w:val="Code"/>
              </w:rPr>
              <w:t>=</w:t>
            </w:r>
            <w:r>
              <w:rPr>
                <w:rStyle w:val="Codevalue"/>
              </w:rPr>
              <w:t>"2"</w:t>
            </w:r>
            <w:r>
              <w:rPr>
                <w:rStyle w:val="Code"/>
              </w:rPr>
              <w:t>/&gt;</w:t>
            </w:r>
            <w:r>
              <w:rPr>
                <w:rStyle w:val="Codetext"/>
              </w:rPr>
              <w:t>nasty, dirty, wet hole, filled with the ends of worms</w:t>
            </w:r>
            <w:r>
              <w:rPr>
                <w:rStyle w:val="Codetext"/>
              </w:rPr>
              <w:br/>
            </w:r>
            <w:r>
              <w:rPr>
                <w:rStyle w:val="Code"/>
              </w:rPr>
              <w:t xml:space="preserve">  &lt;lb </w:t>
            </w:r>
            <w:r>
              <w:rPr>
                <w:rStyle w:val="Codeattribute"/>
              </w:rPr>
              <w:t>n</w:t>
            </w:r>
            <w:r>
              <w:rPr>
                <w:rStyle w:val="Code"/>
              </w:rPr>
              <w:t>=</w:t>
            </w:r>
            <w:r>
              <w:rPr>
                <w:rStyle w:val="Codevalue"/>
              </w:rPr>
              <w:t>"3"</w:t>
            </w:r>
            <w:r>
              <w:rPr>
                <w:rStyle w:val="Code"/>
              </w:rPr>
              <w:t>/&gt;</w:t>
            </w:r>
            <w:r>
              <w:rPr>
                <w:rStyle w:val="Codetext"/>
              </w:rPr>
              <w:t>and an oozy smell, nor yet a dry, bare, sandy hole</w:t>
            </w:r>
            <w:r>
              <w:rPr>
                <w:rStyle w:val="Codetext"/>
              </w:rPr>
              <w:br/>
            </w:r>
            <w:r>
              <w:rPr>
                <w:rStyle w:val="Code"/>
              </w:rPr>
              <w:t xml:space="preserve">  &lt;milestone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p>
          <w:p w14:paraId="1C07D010"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"4"</w:t>
            </w:r>
            <w:r>
              <w:rPr>
                <w:rStyle w:val="Code"/>
              </w:rPr>
              <w:t>/&gt;</w:t>
            </w:r>
            <w:r>
              <w:rPr>
                <w:rStyle w:val="Codetext"/>
              </w:rPr>
              <w:t>with not</w:t>
            </w:r>
            <w:r>
              <w:rPr>
                <w:rStyle w:val="Code"/>
              </w:rPr>
              <w:t>h</w:t>
            </w:r>
            <w:r>
              <w:rPr>
                <w:rStyle w:val="Codetext"/>
              </w:rPr>
              <w:t>ing in it to sit down on or to eat: it was a</w:t>
            </w:r>
          </w:p>
          <w:p w14:paraId="72C5BFC4"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"5"</w:t>
            </w:r>
            <w:r>
              <w:rPr>
                <w:rStyle w:val="Code"/>
              </w:rPr>
              <w:t>/&gt;</w:t>
            </w:r>
            <w:r>
              <w:rPr>
                <w:rStyle w:val="Codetext"/>
              </w:rPr>
              <w:t xml:space="preserve">hobbit-hole, </w:t>
            </w:r>
            <w:r>
              <w:rPr>
                <w:rStyle w:val="Code"/>
              </w:rPr>
              <w:t>a&lt;</w:t>
            </w:r>
            <w:r>
              <w:rPr>
                <w:rStyle w:val="Codetext"/>
              </w:rPr>
              <w:t>nd that means comfort.</w:t>
            </w:r>
          </w:p>
          <w:p w14:paraId="275AA6C2" w14:textId="77777777">
            <w:pPr>
              <w:pStyle w:val="CodeParagraph"/>
              <w:rPr>
                <w:rStyle w:val="Code"/>
              </w:rPr>
            </w:pPr>
            <w:r>
              <w:rPr>
                <w:rStyle w:val="Code"/>
              </w:rPr>
              <w:t>&lt;/p&gt;</w:t>
            </w:r>
          </w:p>
        </w:tc>
      </w:tr>
    </w:tbl>
    <w:p w14:paraId="5DBD169E" w14:textId="77777777">
      <w:pPr>
        <w:pStyle w:val="Cmsor1"/>
      </w:pPr>
      <w:bookmarkStart w:id="369" w:name="_Ref232171176"/>
      <w:bookmarkStart w:id="370" w:name="_Toc243922636"/>
      <w:r>
        <w:lastRenderedPageBreak/>
        <w:t>The received text</w:t>
      </w:r>
      <w:bookmarkEnd w:id="302"/>
      <w:bookmarkEnd w:id="369"/>
      <w:bookmarkEnd w:id="370"/>
    </w:p>
    <w:p w14:paraId="3A198098" w14:textId="77777777">
      <w:pPr>
        <w:pStyle w:val="Cmsor2"/>
      </w:pPr>
      <w:bookmarkStart w:id="371" w:name="_2wkl86mjw6p2" w:colFirst="0" w:colLast="0"/>
      <w:bookmarkStart w:id="372" w:name="_Toc243922637"/>
      <w:bookmarkEnd w:id="371"/>
      <w:r>
        <w:t>Phonographic graphemes</w:t>
      </w:r>
      <w:bookmarkEnd w:id="372"/>
    </w:p>
    <w:p w14:paraId="7F670ED9" w14:textId="60B1D98C">
      <w:r>
        <w:t>Phonographic graphemes do not, as a rule, need markup on their own: they, including several special glyph forms, are handled through transliteration alone as per TG §4. Occasionally, a phonographic glyph is employed in a different function, which is to be handled according to §</w:t>
      </w:r>
      <w:r>
        <w:fldChar w:fldCharType="begin"/>
      </w:r>
      <w:r>
        <w:instrText xml:space="preserve"> REF _Ref226033790 \r \h </w:instrText>
      </w:r>
      <w:r>
        <w:fldChar w:fldCharType="separate"/>
      </w:r>
      <w:r>
        <w:t>5.1.5</w:t>
      </w:r>
      <w:r>
        <w:fldChar w:fldCharType="end"/>
      </w:r>
      <w:r>
        <w:t>. This section concerns additional encoding methods that may in some circumstances be applicable to phonographic graphemes or their parts.</w:t>
      </w:r>
    </w:p>
    <w:p w14:paraId="2FB18D8C" w14:textId="77777777">
      <w:pPr>
        <w:pStyle w:val="Cmsor3"/>
      </w:pPr>
      <w:bookmarkStart w:id="373" w:name="_83o605fngw18" w:colFirst="0" w:colLast="0"/>
      <w:bookmarkStart w:id="374" w:name="_Ref43987221"/>
      <w:bookmarkStart w:id="375" w:name="_Toc243922638"/>
      <w:bookmarkEnd w:id="373"/>
      <w:r>
        <w:t xml:space="preserve">Tagging target graphemes as one </w:t>
      </w:r>
      <w:r>
        <w:rPr>
          <w:rStyle w:val="Foreign"/>
        </w:rPr>
        <w:t>akṣara</w:t>
      </w:r>
      <w:bookmarkEnd w:id="374"/>
      <w:bookmarkEnd w:id="375"/>
    </w:p>
    <w:p w14:paraId="4990114B" w14:textId="77777777">
      <w:pPr>
        <w:rPr>
          <w:lang w:eastAsia="en-US" w:bidi="ar-SA"/>
        </w:rPr>
      </w:pPr>
      <w:r>
        <w:rPr>
          <w:lang w:eastAsia="en-US" w:bidi="ar-SA"/>
        </w:rPr>
        <w:t xml:space="preserve">As per TG §3.3.2.1, in transliteration we employ the = (equals) sign as optional shorthand in the role of a character joiner, for use between two target graphemes that are manifested in the source as parts of a single complex glyph </w:t>
      </w:r>
      <w:r>
        <w:rPr>
          <w:noProof/>
          <w:lang w:eastAsia="en-US" w:bidi="ar-SA"/>
        </w:rPr>
        <w:t xml:space="preserve">(TG </w:t>
      </w:r>
      <w:r>
        <w:rPr>
          <w:lang w:eastAsia="en-US" w:bidi="ar-SA"/>
        </w:rPr>
        <w:t xml:space="preserve">§2.4.3), when these would normally manifest as </w:t>
      </w:r>
      <w:r>
        <w:rPr>
          <w:noProof/>
          <w:lang w:eastAsia="en-US" w:bidi="ar-SA"/>
        </w:rPr>
        <w:t>(</w:t>
      </w:r>
      <w:r>
        <w:rPr>
          <w:lang w:eastAsia="en-US" w:bidi="ar-SA"/>
        </w:rPr>
        <w:t>components of) separate glyphs according to the general rules of the Indic writing system. In any situation where you use the = sign according to the TG’s recommendations, as well as in any other situations where you feel it is useful to demarcate a string of target graphemes as belonging to a single glyph in the source, the following XML markup may be used. This encoding is optional, and it may be used either in addition to or instead of the shorthand involving the = sign.</w:t>
      </w:r>
    </w:p>
    <w:p w14:paraId="36F4577E" w14:textId="133DBF9E">
      <w:pPr>
        <w:pStyle w:val="Lista"/>
      </w:pPr>
      <w:r>
        <w:t xml:space="preserve">to tag any string of transliterated graphemes as belonging to a single glyph in the source writing system, wrap these graphemes in the element </w:t>
      </w:r>
      <w:r>
        <w:rPr>
          <w:rStyle w:val="Code"/>
        </w:rPr>
        <w:t xml:space="preserve">&lt;seg </w:t>
      </w:r>
      <w:r>
        <w:rPr>
          <w:rStyle w:val="Codeattribute"/>
        </w:rPr>
        <w:t>type</w:t>
      </w:r>
      <w:r>
        <w:rPr>
          <w:rStyle w:val="Code"/>
        </w:rPr>
        <w:t>=</w:t>
      </w:r>
      <w:r>
        <w:rPr>
          <w:rStyle w:val="Codevalue"/>
        </w:rPr>
        <w:t>"aksara"</w:t>
      </w:r>
      <w:r>
        <w:rPr>
          <w:rStyle w:val="Code"/>
        </w:rPr>
        <w:t>&gt;</w:t>
      </w:r>
      <w:r>
        <w:t xml:space="preserve">, for example as in </w:t>
      </w:r>
      <w:r>
        <w:fldChar w:fldCharType="begin"/>
      </w:r>
      <w:r>
        <w:instrText xml:space="preserve"> REF _Ref225935843 \h </w:instrText>
      </w:r>
      <w:r>
        <w:fldChar w:fldCharType="separate"/>
      </w:r>
      <w:r>
        <w:t xml:space="preserve">Exhibit </w:t>
      </w:r>
      <w:r>
        <w:rPr>
          <w:noProof/>
        </w:rPr>
        <w:t>5.1</w:t>
      </w:r>
      <w:r>
        <w:t>.</w:t>
      </w:r>
      <w:r>
        <w:rPr>
          <w:noProof/>
        </w:rPr>
        <w:t>A</w:t>
      </w:r>
      <w:r>
        <w:fldChar w:fldCharType="end"/>
      </w:r>
    </w:p>
    <w:p w14:paraId="56CD502B" w14:textId="77777777">
      <w:pPr>
        <w:pStyle w:val="Lista4"/>
      </w:pPr>
      <w:r>
        <w:t xml:space="preserve">1: an </w:t>
      </w:r>
      <w:r>
        <w:rPr>
          <w:rStyle w:val="Foreign"/>
        </w:rPr>
        <w:t>akṣara</w:t>
      </w:r>
      <w:r>
        <w:t xml:space="preserve"> with two vowel markers, </w:t>
      </w:r>
      <w:r>
        <w:rPr>
          <w:rStyle w:val="Foreign"/>
        </w:rPr>
        <w:t>du=ā</w:t>
      </w:r>
    </w:p>
    <w:p w14:paraId="1D8961D5" w14:textId="77777777">
      <w:pPr>
        <w:pStyle w:val="Lista4"/>
      </w:pPr>
      <w:r>
        <w:t>2: a ligature in Tamil (</w:t>
      </w:r>
      <w:r>
        <w:rPr>
          <w:rStyle w:val="Foreign"/>
        </w:rPr>
        <w:t>k=ka</w:t>
      </w:r>
      <w:r>
        <w:t xml:space="preserve">), as distinct from both </w:t>
      </w:r>
      <w:r>
        <w:rPr>
          <w:rStyle w:val="Foreign"/>
        </w:rPr>
        <w:t>kka</w:t>
      </w:r>
      <w:r>
        <w:t xml:space="preserve"> </w:t>
      </w:r>
      <w:r>
        <w:rPr>
          <w:noProof/>
        </w:rPr>
        <w:t>(</w:t>
      </w:r>
      <w:r>
        <w:t xml:space="preserve">with an implicit vowel killer) and </w:t>
      </w:r>
      <w:r>
        <w:rPr>
          <w:rStyle w:val="Foreign"/>
        </w:rPr>
        <w:t>k·ka</w:t>
      </w:r>
      <w:r>
        <w:t xml:space="preserve"> </w:t>
      </w:r>
      <w:r>
        <w:rPr>
          <w:noProof/>
        </w:rPr>
        <w:t>(</w:t>
      </w:r>
      <w:r>
        <w:t>with an explicit vowel killer)</w:t>
      </w:r>
    </w:p>
    <w:p w14:paraId="3A7AE48C" w14:textId="77777777">
      <w:pPr>
        <w:pStyle w:val="Lista4"/>
      </w:pPr>
      <w:r>
        <w:t xml:space="preserve">3: a combining </w:t>
      </w:r>
      <w:r>
        <w:rPr>
          <w:rStyle w:val="Foreign"/>
        </w:rPr>
        <w:t>upadhmānīya</w:t>
      </w:r>
      <w:r>
        <w:t xml:space="preserve"> (in </w:t>
      </w:r>
      <w:r>
        <w:rPr>
          <w:rStyle w:val="Foreign"/>
        </w:rPr>
        <w:t>ḫ=pu</w:t>
      </w:r>
      <w:r>
        <w:t xml:space="preserve">), to distinguish it from an inline </w:t>
      </w:r>
      <w:r>
        <w:rPr>
          <w:rStyle w:val="Foreign"/>
        </w:rPr>
        <w:t>upadhmānīya</w:t>
      </w:r>
    </w:p>
    <w:p w14:paraId="179EA33B" w14:textId="77777777">
      <w:pPr>
        <w:pStyle w:val="Lista"/>
      </w:pPr>
      <w:r>
        <w:t>editorial spaces and hyphens may freely appear within this element wherever necessary</w:t>
      </w:r>
    </w:p>
    <w:p w14:paraId="3BE8D624" w14:textId="77777777">
      <w:pPr>
        <w:pStyle w:val="Lista2"/>
      </w:pPr>
      <w:r>
        <w:t xml:space="preserve">thus, if a word or compound boundary occurs within such an </w:t>
      </w:r>
      <w:r>
        <w:rPr>
          <w:rStyle w:val="Foreign"/>
        </w:rPr>
        <w:t>akṣara</w:t>
      </w:r>
      <w:r>
        <w:t>, encode respectively e.g.</w:t>
      </w:r>
    </w:p>
    <w:p w14:paraId="6E6BF665" w14:textId="77777777">
      <w:pPr>
        <w:pStyle w:val="Lista3"/>
      </w:pPr>
      <w:r>
        <w:rPr>
          <w:rStyle w:val="Code"/>
        </w:rPr>
        <w:t xml:space="preserve">&lt;seg </w:t>
      </w:r>
      <w:r>
        <w:rPr>
          <w:rStyle w:val="Codeattribute"/>
        </w:rPr>
        <w:t>type</w:t>
      </w:r>
      <w:r>
        <w:rPr>
          <w:rStyle w:val="Code"/>
        </w:rPr>
        <w:t>=</w:t>
      </w:r>
      <w:r>
        <w:rPr>
          <w:rStyle w:val="Codevalue"/>
        </w:rPr>
        <w:t>"aksara"</w:t>
      </w:r>
      <w:r>
        <w:rPr>
          <w:rStyle w:val="Code"/>
        </w:rPr>
        <w:t>&gt;</w:t>
      </w:r>
      <w:r>
        <w:rPr>
          <w:rStyle w:val="Codetext"/>
        </w:rPr>
        <w:t>k ka</w:t>
      </w:r>
      <w:r>
        <w:rPr>
          <w:rStyle w:val="Code"/>
        </w:rPr>
        <w:t>&lt;/seg&gt;</w:t>
      </w:r>
      <w:r>
        <w:t xml:space="preserve"> or </w:t>
      </w:r>
      <w:r>
        <w:rPr>
          <w:rStyle w:val="Code"/>
        </w:rPr>
        <w:t xml:space="preserve">&lt;seg </w:t>
      </w:r>
      <w:r>
        <w:rPr>
          <w:rStyle w:val="Codeattribute"/>
        </w:rPr>
        <w:t>type</w:t>
      </w:r>
      <w:r>
        <w:rPr>
          <w:rStyle w:val="Code"/>
        </w:rPr>
        <w:t>=</w:t>
      </w:r>
      <w:r>
        <w:rPr>
          <w:rStyle w:val="Codevalue"/>
        </w:rPr>
        <w:t>"aksara"</w:t>
      </w:r>
      <w:r>
        <w:rPr>
          <w:rStyle w:val="Code"/>
        </w:rPr>
        <w:t>&gt;</w:t>
      </w:r>
      <w:r>
        <w:rPr>
          <w:rStyle w:val="Codetext"/>
        </w:rPr>
        <w:t>k= ka</w:t>
      </w:r>
      <w:r>
        <w:rPr>
          <w:rStyle w:val="Code"/>
        </w:rPr>
        <w:t>&lt;/seg&gt;</w:t>
      </w:r>
    </w:p>
    <w:p w14:paraId="12BEA3FA" w14:textId="4B7AF4DC">
      <w:pPr>
        <w:pStyle w:val="Lista3"/>
      </w:pPr>
      <w:r>
        <w:rPr>
          <w:rStyle w:val="Code"/>
        </w:rPr>
        <w:t xml:space="preserve">&lt;seg </w:t>
      </w:r>
      <w:r>
        <w:rPr>
          <w:rStyle w:val="Codeattribute"/>
        </w:rPr>
        <w:t>type</w:t>
      </w:r>
      <w:r>
        <w:rPr>
          <w:rStyle w:val="Code"/>
        </w:rPr>
        <w:t>=</w:t>
      </w:r>
      <w:r>
        <w:rPr>
          <w:rStyle w:val="Codevalue"/>
        </w:rPr>
        <w:t>"aksara"</w:t>
      </w:r>
      <w:r>
        <w:rPr>
          <w:rStyle w:val="Code"/>
        </w:rPr>
        <w:t>&gt;</w:t>
      </w:r>
      <w:r>
        <w:rPr>
          <w:rStyle w:val="Codetext"/>
        </w:rPr>
        <w:t>k-ka</w:t>
      </w:r>
      <w:r>
        <w:rPr>
          <w:rStyle w:val="Code"/>
        </w:rPr>
        <w:t>&lt;/seg&gt;</w:t>
      </w:r>
      <w:r>
        <w:t xml:space="preserve"> instead of </w:t>
      </w:r>
      <w:r>
        <w:rPr>
          <w:rStyle w:val="Code"/>
        </w:rPr>
        <w:t xml:space="preserve">&lt;seg </w:t>
      </w:r>
      <w:r>
        <w:rPr>
          <w:rStyle w:val="Codeattribute"/>
        </w:rPr>
        <w:t>type</w:t>
      </w:r>
      <w:r>
        <w:rPr>
          <w:rStyle w:val="Code"/>
        </w:rPr>
        <w:t>=</w:t>
      </w:r>
      <w:r>
        <w:rPr>
          <w:rStyle w:val="Codevalue"/>
        </w:rPr>
        <w:t>"aksara"</w:t>
      </w:r>
      <w:r>
        <w:rPr>
          <w:rStyle w:val="Code"/>
        </w:rPr>
        <w:t>&gt;</w:t>
      </w:r>
      <w:r>
        <w:rPr>
          <w:rStyle w:val="Codetext"/>
        </w:rPr>
        <w:t>k=-ka</w:t>
      </w:r>
      <w:r>
        <w:rPr>
          <w:rStyle w:val="Code"/>
        </w:rPr>
        <w:t>&lt;/seg&gt;</w:t>
      </w:r>
    </w:p>
    <w:tbl>
      <w:tblPr>
        <w:tblStyle w:val="CodeSampleTable"/>
        <w:tblW w:w="5006" w:type="pct"/>
        <w:tblLook w:val="04A0" w:firstRow="1" w:lastRow="0" w:firstColumn="1" w:lastColumn="0" w:noHBand="0" w:noVBand="1"/>
      </w:tblPr>
      <w:tblGrid>
        <w:gridCol w:w="556"/>
        <w:gridCol w:w="1194"/>
        <w:gridCol w:w="1124"/>
        <w:gridCol w:w="3384"/>
        <w:gridCol w:w="3370"/>
        <w:gridCol w:w="12"/>
      </w:tblGrid>
      <w:tr w14:paraId="01BD9058" w14:textId="77777777">
        <w:trPr>
          <w:gridAfter w:val="1"/>
          <w:cnfStyle w:val="100000000000" w:firstRow="1" w:lastRow="0" w:firstColumn="0" w:lastColumn="0" w:oddVBand="0" w:evenVBand="0" w:oddHBand="0" w:evenHBand="0" w:firstRowFirstColumn="0" w:firstRowLastColumn="0" w:lastRowFirstColumn="0" w:lastRowLastColumn="0"/>
          <w:wAfter w:w="6" w:type="pct"/>
        </w:trPr>
        <w:tc>
          <w:tcPr>
            <w:tcW w:w="4994" w:type="pct"/>
            <w:gridSpan w:val="5"/>
            <w:tcBorders>
              <w:bottom w:val="single" w:sz="4" w:space="0" w:color="auto"/>
            </w:tcBorders>
          </w:tcPr>
          <w:p w14:paraId="36A5626C" w14:textId="2A029258">
            <w:pPr>
              <w:pStyle w:val="Kpalrs"/>
            </w:pPr>
            <w:bookmarkStart w:id="376" w:name="_Ref225935843"/>
            <w:r>
              <w:t xml:space="preserve">Exhibit </w:t>
            </w:r>
            <w:fldSimple w:instr=" STYLEREF 2 \s ">
              <w:r>
                <w:rPr>
                  <w:noProof/>
                </w:rPr>
                <w:t>5.1</w:t>
              </w:r>
            </w:fldSimple>
            <w:r>
              <w:t>.</w:t>
            </w:r>
            <w:fldSimple w:instr=" SEQ Exhibit \* ALPHABETIC \s 2 ">
              <w:r>
                <w:rPr>
                  <w:noProof/>
                </w:rPr>
                <w:t>A</w:t>
              </w:r>
            </w:fldSimple>
            <w:bookmarkEnd w:id="376"/>
            <w:r>
              <w:t>: character with two vowel marks tagged as a single</w:t>
            </w:r>
            <w:r>
              <w:rPr>
                <w:rStyle w:val="Foreign"/>
              </w:rPr>
              <w:t xml:space="preserve"> akṣara</w:t>
            </w:r>
          </w:p>
        </w:tc>
      </w:tr>
      <w:tr w14:paraId="0AF6ECBD" w14:textId="77777777">
        <w:tc>
          <w:tcPr>
            <w:tcW w:w="289" w:type="pct"/>
            <w:tcBorders>
              <w:right w:val="single" w:sz="4" w:space="0" w:color="auto"/>
            </w:tcBorders>
            <w:shd w:val="clear" w:color="auto" w:fill="F0F7D7"/>
          </w:tcPr>
          <w:p w14:paraId="605741E7" w14:textId="77777777">
            <w:pPr>
              <w:pStyle w:val="Tabletext"/>
            </w:pPr>
          </w:p>
        </w:tc>
        <w:tc>
          <w:tcPr>
            <w:tcW w:w="619" w:type="pct"/>
            <w:tcBorders>
              <w:right w:val="single" w:sz="4" w:space="0" w:color="auto"/>
            </w:tcBorders>
          </w:tcPr>
          <w:p w14:paraId="0E883522" w14:textId="77777777">
            <w:pPr>
              <w:pStyle w:val="Tabletext"/>
              <w:jc w:val="center"/>
            </w:pPr>
            <w:r>
              <w:t>glyph</w:t>
            </w:r>
          </w:p>
        </w:tc>
        <w:tc>
          <w:tcPr>
            <w:tcW w:w="583" w:type="pct"/>
            <w:tcBorders>
              <w:left w:val="single" w:sz="4" w:space="0" w:color="auto"/>
              <w:right w:val="single" w:sz="4" w:space="0" w:color="auto"/>
            </w:tcBorders>
          </w:tcPr>
          <w:p w14:paraId="1A6B0749" w14:textId="77777777">
            <w:pPr>
              <w:pStyle w:val="Tabletext"/>
              <w:jc w:val="center"/>
            </w:pPr>
            <w:r>
              <w:t>shorthand</w:t>
            </w:r>
          </w:p>
        </w:tc>
        <w:tc>
          <w:tcPr>
            <w:tcW w:w="1755" w:type="pct"/>
            <w:tcBorders>
              <w:left w:val="single" w:sz="4" w:space="0" w:color="auto"/>
              <w:right w:val="single" w:sz="4" w:space="0" w:color="auto"/>
            </w:tcBorders>
          </w:tcPr>
          <w:p w14:paraId="17033C43" w14:textId="77777777">
            <w:pPr>
              <w:pStyle w:val="Tabletext"/>
              <w:jc w:val="center"/>
            </w:pPr>
            <w:r>
              <w:t>encoding + shorthand</w:t>
            </w:r>
          </w:p>
        </w:tc>
        <w:tc>
          <w:tcPr>
            <w:tcW w:w="1754" w:type="pct"/>
            <w:gridSpan w:val="2"/>
            <w:tcBorders>
              <w:left w:val="single" w:sz="4" w:space="0" w:color="auto"/>
            </w:tcBorders>
          </w:tcPr>
          <w:p w14:paraId="722B876A" w14:textId="77777777">
            <w:pPr>
              <w:pStyle w:val="Tabletext"/>
              <w:jc w:val="center"/>
            </w:pPr>
            <w:r>
              <w:t>encoding only</w:t>
            </w:r>
          </w:p>
        </w:tc>
      </w:tr>
      <w:tr w14:paraId="3760E2D3" w14:textId="77777777">
        <w:tc>
          <w:tcPr>
            <w:tcW w:w="289" w:type="pct"/>
            <w:tcBorders>
              <w:right w:val="single" w:sz="4" w:space="0" w:color="auto"/>
            </w:tcBorders>
            <w:shd w:val="clear" w:color="auto" w:fill="F0F7D7"/>
            <w:vAlign w:val="center"/>
          </w:tcPr>
          <w:p w14:paraId="3DE4D29F" w14:textId="77777777">
            <w:pPr>
              <w:pStyle w:val="Tabletext"/>
              <w:jc w:val="center"/>
              <w:rPr>
                <w:noProof/>
              </w:rPr>
            </w:pPr>
            <w:r>
              <w:rPr>
                <w:noProof/>
              </w:rPr>
              <w:t>1</w:t>
            </w:r>
          </w:p>
        </w:tc>
        <w:tc>
          <w:tcPr>
            <w:tcW w:w="619" w:type="pct"/>
            <w:tcBorders>
              <w:right w:val="single" w:sz="4" w:space="0" w:color="auto"/>
            </w:tcBorders>
            <w:vAlign w:val="center"/>
          </w:tcPr>
          <w:p w14:paraId="0E70EDF0" w14:textId="77777777">
            <w:pPr>
              <w:pStyle w:val="Tabletext"/>
              <w:jc w:val="center"/>
            </w:pPr>
            <w:r>
              <w:rPr>
                <w:noProof/>
              </w:rPr>
              <w:drawing>
                <wp:inline distT="0" distB="0" distL="0" distR="0" wp14:anchorId="2768CDC9" wp14:editId="7AAB55DF">
                  <wp:extent cx="349200" cy="5400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3" cstate="print">
                            <a:extLst>
                              <a:ext uri="{28A0092B-C50C-407E-A947-70E740481C1C}">
                                <a14:useLocalDpi xmlns:a14="http://schemas.microsoft.com/office/drawing/2010/main" val="0"/>
                              </a:ext>
                            </a:extLst>
                          </a:blip>
                          <a:srcRect/>
                          <a:stretch>
                            <a:fillRect/>
                          </a:stretch>
                        </pic:blipFill>
                        <pic:spPr>
                          <a:xfrm>
                            <a:off x="0" y="0"/>
                            <a:ext cx="349200" cy="540000"/>
                          </a:xfrm>
                          <a:prstGeom prst="rect">
                            <a:avLst/>
                          </a:prstGeom>
                          <a:ln/>
                        </pic:spPr>
                      </pic:pic>
                    </a:graphicData>
                  </a:graphic>
                </wp:inline>
              </w:drawing>
            </w:r>
          </w:p>
        </w:tc>
        <w:tc>
          <w:tcPr>
            <w:tcW w:w="583" w:type="pct"/>
            <w:tcBorders>
              <w:left w:val="single" w:sz="4" w:space="0" w:color="auto"/>
              <w:right w:val="single" w:sz="4" w:space="0" w:color="auto"/>
            </w:tcBorders>
            <w:vAlign w:val="center"/>
          </w:tcPr>
          <w:p w14:paraId="1D64D14D" w14:textId="77777777">
            <w:pPr>
              <w:pStyle w:val="Tabletext"/>
              <w:jc w:val="center"/>
              <w:rPr>
                <w:noProof/>
              </w:rPr>
            </w:pPr>
            <w:r>
              <w:rPr>
                <w:noProof/>
              </w:rPr>
              <w:t>du=ā</w:t>
            </w:r>
          </w:p>
        </w:tc>
        <w:tc>
          <w:tcPr>
            <w:tcW w:w="1755" w:type="pct"/>
            <w:tcBorders>
              <w:left w:val="single" w:sz="4" w:space="0" w:color="auto"/>
              <w:right w:val="single" w:sz="4" w:space="0" w:color="auto"/>
            </w:tcBorders>
            <w:vAlign w:val="center"/>
          </w:tcPr>
          <w:p w14:paraId="3FBE4AE5" w14:textId="77777777">
            <w:pPr>
              <w:pStyle w:val="CodeParagraph"/>
              <w:jc w:val="center"/>
            </w:pPr>
            <w:r>
              <w:rPr>
                <w:rStyle w:val="Code"/>
              </w:rPr>
              <w:t xml:space="preserve">&lt;seg </w:t>
            </w:r>
            <w:r>
              <w:rPr>
                <w:rStyle w:val="Codeattribute"/>
              </w:rPr>
              <w:t>type</w:t>
            </w:r>
            <w:r>
              <w:rPr>
                <w:rStyle w:val="Code"/>
              </w:rPr>
              <w:t>=</w:t>
            </w:r>
            <w:r>
              <w:rPr>
                <w:rStyle w:val="Codevalue"/>
              </w:rPr>
              <w:t>"aksara"</w:t>
            </w:r>
            <w:r>
              <w:rPr>
                <w:rStyle w:val="Code"/>
              </w:rPr>
              <w:t>&gt;</w:t>
            </w:r>
            <w:r>
              <w:rPr>
                <w:rStyle w:val="Codetext"/>
              </w:rPr>
              <w:t>du=ā</w:t>
            </w:r>
            <w:r>
              <w:rPr>
                <w:rStyle w:val="Code"/>
              </w:rPr>
              <w:t>&lt;/seg&gt;</w:t>
            </w:r>
          </w:p>
        </w:tc>
        <w:tc>
          <w:tcPr>
            <w:tcW w:w="1754" w:type="pct"/>
            <w:gridSpan w:val="2"/>
            <w:tcBorders>
              <w:left w:val="single" w:sz="4" w:space="0" w:color="auto"/>
            </w:tcBorders>
            <w:vAlign w:val="center"/>
          </w:tcPr>
          <w:p w14:paraId="024BF775" w14:textId="77777777">
            <w:pPr>
              <w:pStyle w:val="CodeParagraph"/>
              <w:jc w:val="center"/>
            </w:pPr>
            <w:r>
              <w:rPr>
                <w:rStyle w:val="Code"/>
              </w:rPr>
              <w:t xml:space="preserve">&lt;seg </w:t>
            </w:r>
            <w:r>
              <w:rPr>
                <w:rStyle w:val="Codeattribute"/>
              </w:rPr>
              <w:t>type</w:t>
            </w:r>
            <w:r>
              <w:rPr>
                <w:rStyle w:val="Code"/>
              </w:rPr>
              <w:t>=</w:t>
            </w:r>
            <w:r>
              <w:rPr>
                <w:rStyle w:val="Codevalue"/>
              </w:rPr>
              <w:t>"aksara"</w:t>
            </w:r>
            <w:r>
              <w:rPr>
                <w:rStyle w:val="Code"/>
              </w:rPr>
              <w:t>&gt;</w:t>
            </w:r>
            <w:r>
              <w:rPr>
                <w:rStyle w:val="Codetext"/>
              </w:rPr>
              <w:t>duā</w:t>
            </w:r>
            <w:r>
              <w:rPr>
                <w:rStyle w:val="Code"/>
              </w:rPr>
              <w:t>&lt;/seg&gt;</w:t>
            </w:r>
          </w:p>
        </w:tc>
      </w:tr>
      <w:tr w14:paraId="4F72737D" w14:textId="77777777">
        <w:tc>
          <w:tcPr>
            <w:tcW w:w="289" w:type="pct"/>
            <w:tcBorders>
              <w:right w:val="single" w:sz="4" w:space="0" w:color="auto"/>
            </w:tcBorders>
            <w:shd w:val="clear" w:color="auto" w:fill="F0F7D7"/>
            <w:vAlign w:val="center"/>
          </w:tcPr>
          <w:p w14:paraId="1AEA8FA6" w14:textId="77777777">
            <w:pPr>
              <w:pStyle w:val="Tabletext"/>
              <w:jc w:val="center"/>
              <w:rPr>
                <w:noProof/>
              </w:rPr>
            </w:pPr>
            <w:r>
              <w:rPr>
                <w:noProof/>
              </w:rPr>
              <w:t>2</w:t>
            </w:r>
          </w:p>
        </w:tc>
        <w:tc>
          <w:tcPr>
            <w:tcW w:w="619" w:type="pct"/>
            <w:tcBorders>
              <w:right w:val="single" w:sz="4" w:space="0" w:color="auto"/>
            </w:tcBorders>
            <w:vAlign w:val="center"/>
          </w:tcPr>
          <w:p w14:paraId="3395995D" w14:textId="77777777">
            <w:pPr>
              <w:pStyle w:val="Tabletext"/>
              <w:jc w:val="center"/>
              <w:rPr>
                <w:noProof/>
              </w:rPr>
            </w:pPr>
            <w:r>
              <w:rPr>
                <w:noProof/>
              </w:rPr>
              <w:drawing>
                <wp:inline distT="0" distB="0" distL="0" distR="0" wp14:anchorId="1A0A36E6" wp14:editId="14E8E090">
                  <wp:extent cx="752400" cy="540000"/>
                  <wp:effectExtent l="0" t="0" r="0" b="0"/>
                  <wp:docPr id="14794256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52400" cy="540000"/>
                          </a:xfrm>
                          <a:prstGeom prst="rect">
                            <a:avLst/>
                          </a:prstGeom>
                          <a:noFill/>
                          <a:ln>
                            <a:noFill/>
                          </a:ln>
                        </pic:spPr>
                      </pic:pic>
                    </a:graphicData>
                  </a:graphic>
                </wp:inline>
              </w:drawing>
            </w:r>
          </w:p>
        </w:tc>
        <w:tc>
          <w:tcPr>
            <w:tcW w:w="583" w:type="pct"/>
            <w:tcBorders>
              <w:left w:val="single" w:sz="4" w:space="0" w:color="auto"/>
              <w:right w:val="single" w:sz="4" w:space="0" w:color="auto"/>
            </w:tcBorders>
            <w:vAlign w:val="center"/>
          </w:tcPr>
          <w:p w14:paraId="0D295842" w14:textId="77777777">
            <w:pPr>
              <w:pStyle w:val="Tabletext"/>
              <w:jc w:val="center"/>
              <w:rPr>
                <w:noProof/>
              </w:rPr>
            </w:pPr>
            <w:r>
              <w:rPr>
                <w:noProof/>
              </w:rPr>
              <w:t>k=ka</w:t>
            </w:r>
          </w:p>
        </w:tc>
        <w:tc>
          <w:tcPr>
            <w:tcW w:w="1755" w:type="pct"/>
            <w:tcBorders>
              <w:left w:val="single" w:sz="4" w:space="0" w:color="auto"/>
              <w:right w:val="single" w:sz="4" w:space="0" w:color="auto"/>
            </w:tcBorders>
            <w:vAlign w:val="center"/>
          </w:tcPr>
          <w:p w14:paraId="062B9CCB" w14:textId="77777777">
            <w:pPr>
              <w:pStyle w:val="CodeParagraph"/>
              <w:jc w:val="center"/>
            </w:pPr>
            <w:r>
              <w:rPr>
                <w:rStyle w:val="Code"/>
              </w:rPr>
              <w:t xml:space="preserve">&lt;seg </w:t>
            </w:r>
            <w:r>
              <w:rPr>
                <w:rStyle w:val="Codeattribute"/>
              </w:rPr>
              <w:t>type</w:t>
            </w:r>
            <w:r>
              <w:rPr>
                <w:rStyle w:val="Code"/>
              </w:rPr>
              <w:t>=</w:t>
            </w:r>
            <w:r>
              <w:rPr>
                <w:rStyle w:val="Codevalue"/>
              </w:rPr>
              <w:t>"aksara"</w:t>
            </w:r>
            <w:r>
              <w:rPr>
                <w:rStyle w:val="Code"/>
              </w:rPr>
              <w:t>&gt;k</w:t>
            </w:r>
            <w:r>
              <w:rPr>
                <w:rStyle w:val="Codetext"/>
              </w:rPr>
              <w:t>=ka</w:t>
            </w:r>
            <w:r>
              <w:rPr>
                <w:rStyle w:val="Code"/>
              </w:rPr>
              <w:t>&lt;/seg&gt;</w:t>
            </w:r>
          </w:p>
        </w:tc>
        <w:tc>
          <w:tcPr>
            <w:tcW w:w="1754" w:type="pct"/>
            <w:gridSpan w:val="2"/>
            <w:tcBorders>
              <w:left w:val="single" w:sz="4" w:space="0" w:color="auto"/>
            </w:tcBorders>
            <w:vAlign w:val="center"/>
          </w:tcPr>
          <w:p w14:paraId="522ACFCB" w14:textId="77777777">
            <w:pPr>
              <w:pStyle w:val="CodeParagraph"/>
              <w:jc w:val="center"/>
              <w:rPr>
                <w:rStyle w:val="Code"/>
              </w:rPr>
            </w:pPr>
            <w:r>
              <w:rPr>
                <w:rStyle w:val="Code"/>
              </w:rPr>
              <w:t xml:space="preserve">&lt;seg </w:t>
            </w:r>
            <w:r>
              <w:rPr>
                <w:rStyle w:val="Codeattribute"/>
              </w:rPr>
              <w:t>type</w:t>
            </w:r>
            <w:r>
              <w:rPr>
                <w:rStyle w:val="Code"/>
              </w:rPr>
              <w:t>=</w:t>
            </w:r>
            <w:r>
              <w:rPr>
                <w:rStyle w:val="Codevalue"/>
              </w:rPr>
              <w:t>"aksara"</w:t>
            </w:r>
            <w:r>
              <w:rPr>
                <w:rStyle w:val="Code"/>
              </w:rPr>
              <w:t>&gt;</w:t>
            </w:r>
            <w:r>
              <w:rPr>
                <w:rStyle w:val="Codetext"/>
              </w:rPr>
              <w:t>kka</w:t>
            </w:r>
            <w:r>
              <w:rPr>
                <w:rStyle w:val="Code"/>
              </w:rPr>
              <w:t>&lt;/seg&gt;</w:t>
            </w:r>
          </w:p>
        </w:tc>
      </w:tr>
      <w:tr w14:paraId="6FB1F497" w14:textId="77777777">
        <w:tc>
          <w:tcPr>
            <w:tcW w:w="289" w:type="pct"/>
            <w:tcBorders>
              <w:right w:val="single" w:sz="4" w:space="0" w:color="auto"/>
            </w:tcBorders>
            <w:shd w:val="clear" w:color="auto" w:fill="F0F7D7"/>
            <w:vAlign w:val="center"/>
          </w:tcPr>
          <w:p w14:paraId="74C56CF5" w14:textId="77777777">
            <w:pPr>
              <w:pStyle w:val="Tabletext"/>
              <w:jc w:val="center"/>
              <w:rPr>
                <w:noProof/>
              </w:rPr>
            </w:pPr>
            <w:r>
              <w:rPr>
                <w:noProof/>
              </w:rPr>
              <w:t>3</w:t>
            </w:r>
          </w:p>
        </w:tc>
        <w:tc>
          <w:tcPr>
            <w:tcW w:w="619" w:type="pct"/>
            <w:tcBorders>
              <w:right w:val="single" w:sz="4" w:space="0" w:color="auto"/>
            </w:tcBorders>
            <w:vAlign w:val="center"/>
          </w:tcPr>
          <w:p w14:paraId="54F1D815" w14:textId="77777777">
            <w:pPr>
              <w:pStyle w:val="Tabletext"/>
              <w:jc w:val="center"/>
              <w:rPr>
                <w:noProof/>
              </w:rPr>
            </w:pPr>
            <w:r>
              <w:rPr>
                <w:noProof/>
              </w:rPr>
              <w:drawing>
                <wp:inline distT="0" distB="0" distL="0" distR="0" wp14:anchorId="44FBA0F8" wp14:editId="045B2DD4">
                  <wp:extent cx="468000" cy="540000"/>
                  <wp:effectExtent l="0" t="0" r="8255" b="0"/>
                  <wp:docPr id="1264728767"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8000" cy="540000"/>
                          </a:xfrm>
                          <a:prstGeom prst="rect">
                            <a:avLst/>
                          </a:prstGeom>
                          <a:noFill/>
                          <a:ln>
                            <a:noFill/>
                          </a:ln>
                        </pic:spPr>
                      </pic:pic>
                    </a:graphicData>
                  </a:graphic>
                </wp:inline>
              </w:drawing>
            </w:r>
          </w:p>
        </w:tc>
        <w:tc>
          <w:tcPr>
            <w:tcW w:w="583" w:type="pct"/>
            <w:tcBorders>
              <w:left w:val="single" w:sz="4" w:space="0" w:color="auto"/>
              <w:right w:val="single" w:sz="4" w:space="0" w:color="auto"/>
            </w:tcBorders>
            <w:vAlign w:val="center"/>
          </w:tcPr>
          <w:p w14:paraId="5CFB78D1" w14:textId="77777777">
            <w:pPr>
              <w:pStyle w:val="Tabletext"/>
              <w:jc w:val="center"/>
              <w:rPr>
                <w:noProof/>
              </w:rPr>
            </w:pPr>
            <w:r>
              <w:rPr>
                <w:noProof/>
              </w:rPr>
              <w:t>ḫ=pu</w:t>
            </w:r>
          </w:p>
        </w:tc>
        <w:tc>
          <w:tcPr>
            <w:tcW w:w="1755" w:type="pct"/>
            <w:tcBorders>
              <w:left w:val="single" w:sz="4" w:space="0" w:color="auto"/>
              <w:right w:val="single" w:sz="4" w:space="0" w:color="auto"/>
            </w:tcBorders>
            <w:vAlign w:val="center"/>
          </w:tcPr>
          <w:p w14:paraId="3656C5F0" w14:textId="77777777">
            <w:pPr>
              <w:pStyle w:val="CodeParagraph"/>
              <w:jc w:val="center"/>
              <w:rPr>
                <w:rStyle w:val="Code"/>
              </w:rPr>
            </w:pPr>
            <w:r>
              <w:rPr>
                <w:rStyle w:val="Code"/>
              </w:rPr>
              <w:t xml:space="preserve">&lt;seg </w:t>
            </w:r>
            <w:r>
              <w:rPr>
                <w:rStyle w:val="Codeattribute"/>
              </w:rPr>
              <w:t>type</w:t>
            </w:r>
            <w:r>
              <w:rPr>
                <w:rStyle w:val="Code"/>
              </w:rPr>
              <w:t>=</w:t>
            </w:r>
            <w:r>
              <w:rPr>
                <w:rStyle w:val="Codevalue"/>
              </w:rPr>
              <w:t>"aksara"</w:t>
            </w:r>
            <w:r>
              <w:rPr>
                <w:rStyle w:val="Code"/>
              </w:rPr>
              <w:t>&gt;ḫ=pu&lt;/seg&gt;</w:t>
            </w:r>
          </w:p>
        </w:tc>
        <w:tc>
          <w:tcPr>
            <w:tcW w:w="1754" w:type="pct"/>
            <w:gridSpan w:val="2"/>
            <w:tcBorders>
              <w:left w:val="single" w:sz="4" w:space="0" w:color="auto"/>
            </w:tcBorders>
            <w:vAlign w:val="center"/>
          </w:tcPr>
          <w:p w14:paraId="39F46420" w14:textId="77777777">
            <w:pPr>
              <w:pStyle w:val="CodeParagraph"/>
              <w:jc w:val="center"/>
              <w:rPr>
                <w:rStyle w:val="Code"/>
              </w:rPr>
            </w:pPr>
            <w:r>
              <w:rPr>
                <w:rStyle w:val="Code"/>
              </w:rPr>
              <w:t xml:space="preserve">&lt;seg </w:t>
            </w:r>
            <w:r>
              <w:rPr>
                <w:rStyle w:val="Codeattribute"/>
              </w:rPr>
              <w:t>type</w:t>
            </w:r>
            <w:r>
              <w:rPr>
                <w:rStyle w:val="Code"/>
              </w:rPr>
              <w:t>=</w:t>
            </w:r>
            <w:r>
              <w:rPr>
                <w:rStyle w:val="Codevalue"/>
              </w:rPr>
              <w:t>"aksara"</w:t>
            </w:r>
            <w:r>
              <w:rPr>
                <w:rStyle w:val="Code"/>
              </w:rPr>
              <w:t>&gt;</w:t>
            </w:r>
            <w:r>
              <w:rPr>
                <w:rStyle w:val="Codetext"/>
              </w:rPr>
              <w:t>ḫpu</w:t>
            </w:r>
            <w:r>
              <w:rPr>
                <w:rStyle w:val="Code"/>
              </w:rPr>
              <w:t>&lt;/seg&gt;</w:t>
            </w:r>
          </w:p>
        </w:tc>
      </w:tr>
    </w:tbl>
    <w:p w14:paraId="60A6637D" w14:textId="77777777">
      <w:pPr>
        <w:pStyle w:val="Cmsor3"/>
      </w:pPr>
      <w:bookmarkStart w:id="377" w:name="_qasht2vjwj9m" w:colFirst="0" w:colLast="0"/>
      <w:bookmarkStart w:id="378" w:name="_Ref43987131"/>
      <w:bookmarkStart w:id="379" w:name="_Ref228202081"/>
      <w:bookmarkStart w:id="380" w:name="_Toc243922639"/>
      <w:bookmarkEnd w:id="377"/>
      <w:r>
        <w:t xml:space="preserve">Tagging parts of </w:t>
      </w:r>
      <w:bookmarkEnd w:id="378"/>
      <w:r>
        <w:t>phonographic glyphs</w:t>
      </w:r>
      <w:bookmarkEnd w:id="379"/>
      <w:bookmarkEnd w:id="380"/>
    </w:p>
    <w:p w14:paraId="6A43959D" w14:textId="77777777">
      <w:r>
        <w:t xml:space="preserve">As discussed in the TG (§3.1.4.2), our transliteration scheme ignores the variation of graphotactic allographs, i.e. different graphs normally employed in different positions for the same grapheme, such as the regular, superscript and subscript forms of &lt;r&gt; in most Indic writing systems. In XML encoding, we suggest a system of </w:t>
      </w:r>
      <w:r>
        <w:rPr>
          <w:noProof/>
        </w:rPr>
        <w:t>“sub-</w:t>
      </w:r>
      <w:r>
        <w:rPr>
          <w:rStyle w:val="Foreign"/>
        </w:rPr>
        <w:t>akṣara</w:t>
      </w:r>
      <w:r>
        <w:t xml:space="preserve"> markup” for tagging individual target graphemes with the purpose of indicating which part of a source glyph manifests that grapheme.</w:t>
      </w:r>
    </w:p>
    <w:p w14:paraId="3DCF94C2" w14:textId="68F583B1">
      <w:pPr>
        <w:pStyle w:val="Normlbehzs"/>
      </w:pPr>
      <w:r>
        <w:t>Keep in mind that DHARMA transliteration does distinguish graphemic allographs, i.e. the independent and dependent forms of vowels and consonants, so in all but a few cases a reader familiar with the source writing system will be able to reconstruct the graphetic composition of the source on the basis of the trans</w:t>
      </w:r>
      <w:r>
        <w:lastRenderedPageBreak/>
        <w:t xml:space="preserve">literated text. </w:t>
      </w:r>
      <w:r>
        <w:rPr>
          <w:noProof/>
        </w:rPr>
        <w:t>Sub-</w:t>
      </w:r>
      <w:r>
        <w:rPr>
          <w:rStyle w:val="Foreign"/>
        </w:rPr>
        <w:t>akṣara</w:t>
      </w:r>
      <w:r>
        <w:t xml:space="preserve"> markup is optional, and is generally counter-recommended on account of the encoding complexity involved. You may, however, need this kind of encoding for representing extraordinary spatial arrangement in the source when this is deemed desirable </w:t>
      </w:r>
      <w:r>
        <w:rPr>
          <w:noProof/>
        </w:rPr>
        <w:t>(</w:t>
      </w:r>
      <w:r>
        <w:t>§</w:t>
      </w:r>
      <w:r>
        <w:fldChar w:fldCharType="begin"/>
      </w:r>
      <w:r>
        <w:instrText xml:space="preserve"> REF _Ref43987090 \w \h  \* MERGEFORMAT </w:instrText>
      </w:r>
      <w:r>
        <w:fldChar w:fldCharType="separate"/>
      </w:r>
      <w:r>
        <w:t>5.1.3</w:t>
      </w:r>
      <w:r>
        <w:fldChar w:fldCharType="end"/>
      </w:r>
      <w:r>
        <w:t xml:space="preserve">), and for the encoding of micro-level lacunae </w:t>
      </w:r>
      <w:r>
        <w:rPr>
          <w:noProof/>
        </w:rPr>
        <w:t>(</w:t>
      </w:r>
      <w:r>
        <w:t>§</w:t>
      </w:r>
      <w:r>
        <w:fldChar w:fldCharType="begin"/>
      </w:r>
      <w:r>
        <w:instrText xml:space="preserve"> REF _Ref43987049 \w \h  \* MERGEFORMAT </w:instrText>
      </w:r>
      <w:r>
        <w:fldChar w:fldCharType="separate"/>
      </w:r>
      <w:r>
        <w:t>6.5.2.4</w:t>
      </w:r>
      <w:r>
        <w:fldChar w:fldCharType="end"/>
      </w:r>
      <w:r>
        <w:t>) for textual loci that are both highly problematic as regards legibility and pivotal as regards interpretation.</w:t>
      </w:r>
    </w:p>
    <w:p w14:paraId="5F8A9F75" w14:textId="3C81BF0E">
      <w:pPr>
        <w:pStyle w:val="Lista"/>
      </w:pPr>
      <w:r>
        <w:t>see §</w:t>
      </w:r>
      <w:r>
        <w:fldChar w:fldCharType="begin"/>
      </w:r>
      <w:r>
        <w:instrText xml:space="preserve"> REF _Ref43987165 \w \h  \* MERGEFORMAT </w:instrText>
      </w:r>
      <w:r>
        <w:fldChar w:fldCharType="separate"/>
      </w:r>
      <w:r>
        <w:t>5.1.4</w:t>
      </w:r>
      <w:r>
        <w:fldChar w:fldCharType="end"/>
      </w:r>
      <w:r>
        <w:t xml:space="preserve"> about handling glyph components separated from others by an intervening physical feature, a situation for which </w:t>
      </w:r>
      <w:r>
        <w:rPr>
          <w:noProof/>
        </w:rPr>
        <w:t>sub-</w:t>
      </w:r>
      <w:r>
        <w:rPr>
          <w:rStyle w:val="Foreign"/>
        </w:rPr>
        <w:t>akṣara</w:t>
      </w:r>
      <w:r>
        <w:t xml:space="preserve"> markup is not applicable</w:t>
      </w:r>
    </w:p>
    <w:p w14:paraId="64142232" w14:textId="73B9FEC9">
      <w:pPr>
        <w:pStyle w:val="Lista"/>
      </w:pPr>
      <w:r>
        <w:t>see §</w:t>
      </w:r>
      <w:r>
        <w:fldChar w:fldCharType="begin"/>
      </w:r>
      <w:r>
        <w:instrText xml:space="preserve"> REF _Ref228275185 \r \h </w:instrText>
      </w:r>
      <w:r>
        <w:fldChar w:fldCharType="separate"/>
      </w:r>
      <w:r>
        <w:t>6.3.3</w:t>
      </w:r>
      <w:r>
        <w:fldChar w:fldCharType="end"/>
      </w:r>
      <w:r>
        <w:t xml:space="preserve"> about handling legibility issues concerning glyph components, a situation for which </w:t>
      </w:r>
      <w:r>
        <w:rPr>
          <w:rStyle w:val="Foreign"/>
        </w:rPr>
        <w:t>sub-akṣara</w:t>
      </w:r>
      <w:r>
        <w:t xml:space="preserve"> markup is not normally warranted</w:t>
      </w:r>
    </w:p>
    <w:p w14:paraId="7370B812" w14:textId="77777777">
      <w:pPr>
        <w:pStyle w:val="Lista"/>
      </w:pPr>
      <w:r>
        <w:t xml:space="preserve">if you choose to tag a specific </w:t>
      </w:r>
      <w:r>
        <w:rPr>
          <w:noProof/>
        </w:rPr>
        <w:t>sub-</w:t>
      </w:r>
      <w:r>
        <w:rPr>
          <w:rStyle w:val="Foreign"/>
        </w:rPr>
        <w:t>akṣara</w:t>
      </w:r>
      <w:r>
        <w:t xml:space="preserve"> component, wrap it in </w:t>
      </w:r>
      <w:r>
        <w:rPr>
          <w:rStyle w:val="Code"/>
        </w:rPr>
        <w:t xml:space="preserve">&lt;seg </w:t>
      </w:r>
      <w:r>
        <w:rPr>
          <w:rStyle w:val="Codeattribute"/>
        </w:rPr>
        <w:t>type</w:t>
      </w:r>
      <w:r>
        <w:rPr>
          <w:rStyle w:val="Code"/>
        </w:rPr>
        <w:t>=</w:t>
      </w:r>
      <w:r>
        <w:rPr>
          <w:rStyle w:val="Codevalue"/>
        </w:rPr>
        <w:t>"component"</w:t>
      </w:r>
      <w:r>
        <w:rPr>
          <w:rStyle w:val="Code"/>
        </w:rPr>
        <w:t>&gt;</w:t>
      </w:r>
      <w:r>
        <w:t xml:space="preserve"> and add a </w:t>
      </w:r>
      <w:r>
        <w:rPr>
          <w:rStyle w:val="Codeattribute"/>
        </w:rPr>
        <w:t>@subtype</w:t>
      </w:r>
      <w:r>
        <w:t xml:space="preserve"> attribute with one of the following values:</w:t>
      </w:r>
    </w:p>
    <w:p w14:paraId="4652778F" w14:textId="77777777">
      <w:pPr>
        <w:pStyle w:val="Lista2"/>
      </w:pPr>
      <w:r>
        <w:rPr>
          <w:rStyle w:val="Codevalue"/>
        </w:rPr>
        <w:t>"body"</w:t>
      </w:r>
      <w:r>
        <w:t xml:space="preserve"> for the principal component of a complex glyph, which may be a single consonant or a conjunct</w:t>
      </w:r>
    </w:p>
    <w:p w14:paraId="64C18DE0" w14:textId="77777777">
      <w:pPr>
        <w:pStyle w:val="Lista2"/>
      </w:pPr>
      <w:r>
        <w:rPr>
          <w:rStyle w:val="Codevalue"/>
        </w:rPr>
        <w:t>"consonant"</w:t>
      </w:r>
      <w:r>
        <w:t xml:space="preserve"> for exactly one consonant component whose graphic location cannot be determined or is irrelevant</w:t>
      </w:r>
    </w:p>
    <w:p w14:paraId="706CBDE9" w14:textId="77777777">
      <w:pPr>
        <w:pStyle w:val="Lista2"/>
      </w:pPr>
      <w:r>
        <w:rPr>
          <w:rStyle w:val="Codevalue"/>
        </w:rPr>
        <w:t>"conjunct"</w:t>
      </w:r>
      <w:r>
        <w:t xml:space="preserve"> for two or more consonant components belonging to a single </w:t>
      </w:r>
      <w:r>
        <w:rPr>
          <w:rStyle w:val="Foreign"/>
        </w:rPr>
        <w:t>akṣara</w:t>
      </w:r>
      <w:r>
        <w:t xml:space="preserve"> (when you know the consonant was not single because prosody eliminates that possibility, or because vestiges definitely indicate a conjunct even though it is illegible)</w:t>
      </w:r>
    </w:p>
    <w:p w14:paraId="16BE974C" w14:textId="77777777">
      <w:pPr>
        <w:pStyle w:val="Lista2"/>
      </w:pPr>
      <w:r>
        <w:rPr>
          <w:rStyle w:val="Codevalue"/>
        </w:rPr>
        <w:t>"vowel"</w:t>
      </w:r>
      <w:r>
        <w:t xml:space="preserve"> for the vocalisation of an </w:t>
      </w:r>
      <w:r>
        <w:rPr>
          <w:rStyle w:val="Foreign"/>
        </w:rPr>
        <w:t>akṣara</w:t>
      </w:r>
      <w:r>
        <w:t>, when the location of the vowel marker cannot be determined or is irrelevant</w:t>
      </w:r>
    </w:p>
    <w:p w14:paraId="28BEF7A2" w14:textId="77777777">
      <w:pPr>
        <w:pStyle w:val="Lista2"/>
      </w:pPr>
      <w:r>
        <w:rPr>
          <w:rStyle w:val="Codevalue"/>
        </w:rPr>
        <w:t>"superscript"</w:t>
      </w:r>
      <w:r>
        <w:t xml:space="preserve"> for any components above the body, such as a superscript </w:t>
      </w:r>
      <w:r>
        <w:rPr>
          <w:rStyle w:val="Foreign"/>
        </w:rPr>
        <w:t>r</w:t>
      </w:r>
      <w:r>
        <w:t xml:space="preserve"> or a superscript vowel marker</w:t>
      </w:r>
    </w:p>
    <w:p w14:paraId="412EBE18" w14:textId="77777777">
      <w:pPr>
        <w:pStyle w:val="Lista2"/>
      </w:pPr>
      <w:r>
        <w:rPr>
          <w:rStyle w:val="Codevalue"/>
        </w:rPr>
        <w:t>"subscript"</w:t>
      </w:r>
      <w:r>
        <w:t xml:space="preserve"> for any components below the body, such as the subscript consonant of a conjunct or a subscript vowel marker</w:t>
      </w:r>
    </w:p>
    <w:p w14:paraId="393F7A0F" w14:textId="77777777">
      <w:pPr>
        <w:pStyle w:val="Lista2"/>
      </w:pPr>
      <w:r>
        <w:rPr>
          <w:rStyle w:val="Codevalue"/>
        </w:rPr>
        <w:t>"prescript"</w:t>
      </w:r>
      <w:r>
        <w:t xml:space="preserve"> for any components to the left of the body, generally a vowel marker but also applicable to part of a horizontally composed ligature</w:t>
      </w:r>
    </w:p>
    <w:p w14:paraId="533A5509" w14:textId="77777777">
      <w:pPr>
        <w:pStyle w:val="Lista2"/>
      </w:pPr>
      <w:r>
        <w:rPr>
          <w:rStyle w:val="Codevalue"/>
        </w:rPr>
        <w:t>"postscript"</w:t>
      </w:r>
      <w:r>
        <w:t xml:space="preserve"> for any components to the right of the body, generally a vowel marker but also applicable to part of a horizontally composed ligature</w:t>
      </w:r>
    </w:p>
    <w:p w14:paraId="7FDD0DF6" w14:textId="77777777">
      <w:pPr>
        <w:pStyle w:val="Lista"/>
      </w:pPr>
      <w:r>
        <w:t xml:space="preserve">when dealing with </w:t>
      </w:r>
      <w:r>
        <w:rPr>
          <w:noProof/>
        </w:rPr>
        <w:t>sub-</w:t>
      </w:r>
      <w:r>
        <w:rPr>
          <w:rStyle w:val="Foreign"/>
        </w:rPr>
        <w:t>akṣara</w:t>
      </w:r>
      <w:r>
        <w:t xml:space="preserve"> lacunae in relatively simple cases, your primary concern is to encode what kind of grapheme was lost, without regard to exactly what kind of glyph component represented it; in this case,</w:t>
      </w:r>
    </w:p>
    <w:p w14:paraId="5E6D9272" w14:textId="77777777">
      <w:pPr>
        <w:pStyle w:val="Lista2"/>
      </w:pPr>
      <w:r>
        <w:t xml:space="preserve">either use </w:t>
      </w:r>
      <w:r>
        <w:rPr>
          <w:rStyle w:val="Codevalue"/>
        </w:rPr>
        <w:t>"vowel"</w:t>
      </w:r>
      <w:r>
        <w:t xml:space="preserve"> for a lost vowel component, and </w:t>
      </w:r>
      <w:r>
        <w:rPr>
          <w:rStyle w:val="Codevalue"/>
        </w:rPr>
        <w:t>"consonant"</w:t>
      </w:r>
      <w:r>
        <w:t xml:space="preserve">, </w:t>
      </w:r>
      <w:r>
        <w:rPr>
          <w:rStyle w:val="Codevalue"/>
        </w:rPr>
        <w:t>"conjunct"</w:t>
      </w:r>
      <w:r>
        <w:t xml:space="preserve"> or </w:t>
      </w:r>
      <w:r>
        <w:rPr>
          <w:rStyle w:val="Codevalue"/>
        </w:rPr>
        <w:t>"body"</w:t>
      </w:r>
      <w:r>
        <w:t xml:space="preserve"> respectively for a lost consonant component that is known to be single, known to be a conjunct, or may be either of these</w:t>
      </w:r>
    </w:p>
    <w:p w14:paraId="2C9817D3" w14:textId="77777777">
      <w:pPr>
        <w:pStyle w:val="Lista2"/>
      </w:pPr>
      <w:r>
        <w:t xml:space="preserve">or forego </w:t>
      </w:r>
      <w:r>
        <w:rPr>
          <w:noProof/>
        </w:rPr>
        <w:t>sub-</w:t>
      </w:r>
      <w:r>
        <w:rPr>
          <w:rStyle w:val="Foreign"/>
        </w:rPr>
        <w:t>akṣara</w:t>
      </w:r>
      <w:r>
        <w:t xml:space="preserve"> encoding and use the placeholders V for ‘any vowel’ and C for ‘any consonant’ (TG §3.3.2.2) instead of encoding illegible or lost graphemes as component-level lacunae</w:t>
      </w:r>
    </w:p>
    <w:p w14:paraId="61D6CF85" w14:textId="77777777">
      <w:pPr>
        <w:pStyle w:val="Lista"/>
      </w:pPr>
      <w:r>
        <w:t>when dealing with unusually composed glyphs or with partial lacunae in complex cases that can benefit from a very high level of detail in the encoding (e.g. because the text is unintelligible and you wish to be fully objective in encoding what you see, without projecting any interpretation onto it), your primary concern is to describe the nature of the original glyph as accurately as possible; in this case,</w:t>
      </w:r>
    </w:p>
    <w:p w14:paraId="08E4014E" w14:textId="77777777">
      <w:pPr>
        <w:pStyle w:val="Lista2"/>
      </w:pPr>
      <w:r>
        <w:t xml:space="preserve">give preference to the values </w:t>
      </w:r>
      <w:r>
        <w:rPr>
          <w:rStyle w:val="Codevalue"/>
        </w:rPr>
        <w:t>"body"</w:t>
      </w:r>
      <w:r>
        <w:t xml:space="preserve">, </w:t>
      </w:r>
      <w:r>
        <w:rPr>
          <w:rStyle w:val="Codevalue"/>
        </w:rPr>
        <w:t>"superscript"</w:t>
      </w:r>
      <w:r>
        <w:t xml:space="preserve">, </w:t>
      </w:r>
      <w:r>
        <w:rPr>
          <w:rStyle w:val="Codevalue"/>
        </w:rPr>
        <w:t>"subscript"</w:t>
      </w:r>
      <w:r>
        <w:t xml:space="preserve">, </w:t>
      </w:r>
      <w:r>
        <w:rPr>
          <w:rStyle w:val="Codevalue"/>
        </w:rPr>
        <w:t>"prescript"</w:t>
      </w:r>
      <w:r>
        <w:t xml:space="preserve"> and </w:t>
      </w:r>
      <w:r>
        <w:rPr>
          <w:rStyle w:val="Codevalue"/>
        </w:rPr>
        <w:t>"postscript"</w:t>
      </w:r>
      <w:r>
        <w:t xml:space="preserve"> to encode the graphic location of the lacuna within the complex glyph, and use </w:t>
      </w:r>
      <w:r>
        <w:rPr>
          <w:rStyle w:val="Codevalue"/>
        </w:rPr>
        <w:t>"vowel"</w:t>
      </w:r>
      <w:r>
        <w:t xml:space="preserve">, </w:t>
      </w:r>
      <w:r>
        <w:rPr>
          <w:rStyle w:val="Codevalue"/>
        </w:rPr>
        <w:t>"consonant"</w:t>
      </w:r>
      <w:r>
        <w:t xml:space="preserve"> and </w:t>
      </w:r>
      <w:r>
        <w:rPr>
          <w:rStyle w:val="Codevalue"/>
        </w:rPr>
        <w:t>"conjunct"</w:t>
      </w:r>
      <w:r>
        <w:t xml:space="preserve"> only when it is impossible to determine the graphic location of a component that must have been present</w:t>
      </w:r>
    </w:p>
    <w:p w14:paraId="2E12B49A" w14:textId="77777777">
      <w:pPr>
        <w:pStyle w:val="Cmsor3"/>
      </w:pPr>
      <w:bookmarkStart w:id="381" w:name="_dv2inorm1p09" w:colFirst="0" w:colLast="0"/>
      <w:bookmarkStart w:id="382" w:name="_Ref43987090"/>
      <w:bookmarkStart w:id="383" w:name="_Toc243922640"/>
      <w:bookmarkEnd w:id="381"/>
      <w:r>
        <w:t>Unusual spatial arrangement in conjuncts</w:t>
      </w:r>
      <w:bookmarkEnd w:id="382"/>
      <w:bookmarkEnd w:id="383"/>
    </w:p>
    <w:p w14:paraId="0F421403" w14:textId="3A9A7D80">
      <w:r>
        <w:t xml:space="preserve">As our primary objective is to encode texts, the place to record information about unusual glyph composition is your annotation. However, in order to facilitate future palaeographic research, you may optionally use </w:t>
      </w:r>
      <w:r>
        <w:rPr>
          <w:noProof/>
        </w:rPr>
        <w:t>sub-</w:t>
      </w:r>
      <w:r>
        <w:rPr>
          <w:rStyle w:val="Foreign"/>
        </w:rPr>
        <w:t>akṣara</w:t>
      </w:r>
      <w:r>
        <w:t xml:space="preserve"> markup (§</w:t>
      </w:r>
      <w:r>
        <w:fldChar w:fldCharType="begin"/>
      </w:r>
      <w:r>
        <w:instrText xml:space="preserve"> REF _Ref43987131 \r \h </w:instrText>
      </w:r>
      <w:r>
        <w:fldChar w:fldCharType="separate"/>
      </w:r>
      <w:r>
        <w:t>5.1.2</w:t>
      </w:r>
      <w:r>
        <w:fldChar w:fldCharType="end"/>
      </w:r>
      <w:r>
        <w:t xml:space="preserve">) for tagging parts of phonographic glyphs in order to specify what part of a complex original glyph corresponds to any given target grapheme, as illustrated in </w:t>
      </w:r>
      <w:r>
        <w:fldChar w:fldCharType="begin"/>
      </w:r>
      <w:r>
        <w:instrText xml:space="preserve"> REF _Ref225936805 \h </w:instrText>
      </w:r>
      <w:r>
        <w:fldChar w:fldCharType="separate"/>
      </w:r>
      <w:r>
        <w:t xml:space="preserve">Exhibit </w:t>
      </w:r>
      <w:r>
        <w:rPr>
          <w:noProof/>
        </w:rPr>
        <w:t>5.1</w:t>
      </w:r>
      <w:r>
        <w:t>.</w:t>
      </w:r>
      <w:r>
        <w:rPr>
          <w:noProof/>
        </w:rPr>
        <w:t>B</w:t>
      </w:r>
      <w:r>
        <w:fldChar w:fldCharType="end"/>
      </w:r>
      <w:r>
        <w:t xml:space="preserve">. When doing so, aim to minimise the complexity of your encoding and add tags only to the components that most </w:t>
      </w:r>
      <w:r>
        <w:lastRenderedPageBreak/>
        <w:t xml:space="preserve">conspicuously deviate from the expected composition. However, if you deem that there is any ambiguity regarding </w:t>
      </w:r>
      <w:r>
        <w:rPr>
          <w:rStyle w:val="Foreign"/>
        </w:rPr>
        <w:t>akṣara</w:t>
      </w:r>
      <w:r>
        <w:t xml:space="preserve"> boundaries, feel free to wrap target graphemes and lacunae belonging to a single original character in the element </w:t>
      </w:r>
      <w:r>
        <w:rPr>
          <w:rStyle w:val="Code"/>
        </w:rPr>
        <w:t xml:space="preserve">&lt;seg </w:t>
      </w:r>
      <w:r>
        <w:rPr>
          <w:rStyle w:val="Codeattribute"/>
        </w:rPr>
        <w:t>type</w:t>
      </w:r>
      <w:r>
        <w:rPr>
          <w:rStyle w:val="Code"/>
        </w:rPr>
        <w:t>=</w:t>
      </w:r>
      <w:r>
        <w:rPr>
          <w:rStyle w:val="Codevalue"/>
        </w:rPr>
        <w:t>"aksara"</w:t>
      </w:r>
      <w:r>
        <w:rPr>
          <w:rStyle w:val="Code"/>
        </w:rPr>
        <w:t>&gt;</w:t>
      </w:r>
      <w:r>
        <w:t xml:space="preserve"> as per §</w:t>
      </w:r>
      <w:r>
        <w:fldChar w:fldCharType="begin"/>
      </w:r>
      <w:r>
        <w:instrText xml:space="preserve"> REF _Ref43987221 \w \h  \* MERGEFORMAT </w:instrText>
      </w:r>
      <w:r>
        <w:fldChar w:fldCharType="separate"/>
      </w:r>
      <w:r>
        <w:t>5.1.1</w:t>
      </w:r>
      <w:r>
        <w:fldChar w:fldCharType="end"/>
      </w:r>
    </w:p>
    <w:tbl>
      <w:tblPr>
        <w:tblStyle w:val="CodeSampleTable"/>
        <w:tblW w:w="5000" w:type="pct"/>
        <w:tblLook w:val="04A0" w:firstRow="1" w:lastRow="0" w:firstColumn="1" w:lastColumn="0" w:noHBand="0" w:noVBand="1"/>
      </w:tblPr>
      <w:tblGrid>
        <w:gridCol w:w="8179"/>
        <w:gridCol w:w="1449"/>
      </w:tblGrid>
      <w:tr w14:paraId="12CE475E"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tcPr>
          <w:p w14:paraId="75066E9C" w14:textId="58F43C14">
            <w:pPr>
              <w:pStyle w:val="Kpalrs"/>
              <w:keepLines/>
            </w:pPr>
            <w:bookmarkStart w:id="384" w:name="_Ref225936805"/>
            <w:r>
              <w:t xml:space="preserve">Exhibit </w:t>
            </w:r>
            <w:fldSimple w:instr=" STYLEREF 2 \s ">
              <w:r>
                <w:rPr>
                  <w:noProof/>
                </w:rPr>
                <w:t>5.1</w:t>
              </w:r>
            </w:fldSimple>
            <w:r>
              <w:t>.</w:t>
            </w:r>
            <w:fldSimple w:instr=" SEQ Exhibit \* ALPHABETIC \s 2 ">
              <w:r>
                <w:rPr>
                  <w:noProof/>
                </w:rPr>
                <w:t>B</w:t>
              </w:r>
            </w:fldSimple>
            <w:bookmarkEnd w:id="384"/>
            <w:r>
              <w:t xml:space="preserve">: conjunct with regular </w:t>
            </w:r>
            <w:r>
              <w:rPr>
                <w:rStyle w:val="Foreign"/>
              </w:rPr>
              <w:t>r</w:t>
            </w:r>
            <w:r>
              <w:t xml:space="preserve"> instead of superscript</w:t>
            </w:r>
          </w:p>
        </w:tc>
      </w:tr>
      <w:tr w14:paraId="57FF1400" w14:textId="77777777">
        <w:tc>
          <w:tcPr>
            <w:tcW w:w="0" w:type="auto"/>
          </w:tcPr>
          <w:p w14:paraId="0E949BD2" w14:textId="77777777">
            <w:pPr>
              <w:pStyle w:val="CodeParagraph"/>
              <w:keepNext/>
              <w:keepLines/>
            </w:pPr>
            <w:r>
              <w:rPr>
                <w:rStyle w:val="Code"/>
              </w:rPr>
              <w:t xml:space="preserve">&lt;seg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"body"</w:t>
            </w:r>
            <w:r>
              <w:rPr>
                <w:rStyle w:val="Code"/>
              </w:rPr>
              <w:t>&gt;</w:t>
            </w:r>
            <w:r>
              <w:rPr>
                <w:rStyle w:val="Codetext"/>
              </w:rPr>
              <w:t>r</w:t>
            </w:r>
            <w:r>
              <w:rPr>
                <w:rStyle w:val="Code"/>
              </w:rPr>
              <w:t>&lt;/seg&gt;</w:t>
            </w:r>
            <w:r>
              <w:rPr>
                <w:rStyle w:val="Codetext"/>
              </w:rPr>
              <w:t>ya</w:t>
            </w:r>
          </w:p>
        </w:tc>
        <w:tc>
          <w:tcPr>
            <w:tcW w:w="0" w:type="auto"/>
            <w:vMerge w:val="restart"/>
            <w:vAlign w:val="bottom"/>
          </w:tcPr>
          <w:p w14:paraId="762A8361" w14:textId="77777777">
            <w:pPr>
              <w:pStyle w:val="Image"/>
              <w:keepLines/>
            </w:pPr>
            <w:r>
              <w:drawing>
                <wp:inline distT="0" distB="0" distL="0" distR="0" wp14:anchorId="38F9C86D" wp14:editId="6F0DF2E1">
                  <wp:extent cx="844550" cy="893907"/>
                  <wp:effectExtent l="0" t="0" r="0" b="1905"/>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6">
                            <a:extLst>
                              <a:ext uri="{28A0092B-C50C-407E-A947-70E740481C1C}">
                                <a14:useLocalDpi xmlns:a14="http://schemas.microsoft.com/office/drawing/2010/main" val="0"/>
                              </a:ext>
                            </a:extLst>
                          </a:blip>
                          <a:srcRect/>
                          <a:stretch>
                            <a:fillRect/>
                          </a:stretch>
                        </pic:blipFill>
                        <pic:spPr>
                          <a:xfrm>
                            <a:off x="0" y="0"/>
                            <a:ext cx="851421" cy="901180"/>
                          </a:xfrm>
                          <a:prstGeom prst="rect">
                            <a:avLst/>
                          </a:prstGeom>
                          <a:ln/>
                        </pic:spPr>
                      </pic:pic>
                    </a:graphicData>
                  </a:graphic>
                </wp:inline>
              </w:drawing>
            </w:r>
          </w:p>
        </w:tc>
      </w:tr>
      <w:tr w14:paraId="334BEAE7" w14:textId="77777777">
        <w:tc>
          <w:tcPr>
            <w:tcW w:w="0" w:type="auto"/>
          </w:tcPr>
          <w:p w14:paraId="6FAF3643" w14:textId="77777777">
            <w:pPr>
              <w:pStyle w:val="TableNote"/>
              <w:keepNext/>
              <w:keepLines/>
            </w:pPr>
            <w:r>
              <w:rPr>
                <w:rStyle w:val="Foreign"/>
              </w:rPr>
              <w:t>rya</w:t>
            </w:r>
            <w:r>
              <w:t xml:space="preserve"> is here written with a regular (body) </w:t>
            </w:r>
            <w:r>
              <w:rPr>
                <w:rStyle w:val="Foreign"/>
              </w:rPr>
              <w:t>r</w:t>
            </w:r>
            <w:r>
              <w:t xml:space="preserve"> and a subscript </w:t>
            </w:r>
            <w:r>
              <w:rPr>
                <w:rStyle w:val="Foreign"/>
              </w:rPr>
              <w:t>y</w:t>
            </w:r>
            <w:r>
              <w:t xml:space="preserve"> instead of a superscript </w:t>
            </w:r>
            <w:r>
              <w:rPr>
                <w:rStyle w:val="Foreign"/>
              </w:rPr>
              <w:t>r</w:t>
            </w:r>
            <w:r>
              <w:t xml:space="preserve"> and a regular </w:t>
            </w:r>
            <w:r>
              <w:rPr>
                <w:rStyle w:val="Foreign"/>
              </w:rPr>
              <w:t>y</w:t>
            </w:r>
          </w:p>
          <w:p w14:paraId="2FC1A89E" w14:textId="77777777">
            <w:pPr>
              <w:pStyle w:val="TableNote"/>
              <w:keepNext/>
              <w:keepLines/>
              <w:rPr>
                <w:rFonts w:ascii="Consolas" w:hAnsi="Consolas" w:cs="Consolas"/>
                <w:noProof/>
                <w:color w:val="002060"/>
                <w:shd w:val="clear" w:color="auto" w:fill="F2F2F2" w:themeFill="background1" w:themeFillShade="F2"/>
              </w:rPr>
            </w:pPr>
            <w:r>
              <w:t xml:space="preserve">the fact that the </w:t>
            </w:r>
            <w:r>
              <w:rPr>
                <w:rStyle w:val="Foreign"/>
              </w:rPr>
              <w:t>r</w:t>
            </w:r>
            <w:r>
              <w:t xml:space="preserve"> is tagged as a body component dispenses with the need to explicitly tag the </w:t>
            </w:r>
            <w:r>
              <w:rPr>
                <w:rStyle w:val="Foreign"/>
              </w:rPr>
              <w:t>y</w:t>
            </w:r>
            <w:r>
              <w:t xml:space="preserve"> as a subscript component</w:t>
            </w:r>
          </w:p>
        </w:tc>
        <w:tc>
          <w:tcPr>
            <w:tcW w:w="0" w:type="auto"/>
            <w:vMerge/>
          </w:tcPr>
          <w:p w14:paraId="336E8E0A" w14:textId="77777777">
            <w:pPr>
              <w:keepNext/>
              <w:keepLines/>
              <w:rPr>
                <w:rStyle w:val="Code"/>
              </w:rPr>
            </w:pPr>
          </w:p>
        </w:tc>
      </w:tr>
      <w:tr w14:paraId="6D4B5498" w14:textId="77777777">
        <w:tc>
          <w:tcPr>
            <w:tcW w:w="0" w:type="auto"/>
          </w:tcPr>
          <w:p w14:paraId="027F6E86" w14:textId="77777777">
            <w:pPr>
              <w:pStyle w:val="CodeParagraph"/>
              <w:keepNext/>
              <w:keepLines/>
            </w:pPr>
            <w:r>
              <w:rPr>
                <w:rStyle w:val="Codetext"/>
              </w:rPr>
              <w:t>r</w:t>
            </w:r>
            <w:r>
              <w:rPr>
                <w:rStyle w:val="Code"/>
              </w:rPr>
              <w:t xml:space="preserve">&lt;seg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"prescript"</w:t>
            </w:r>
            <w:r>
              <w:rPr>
                <w:rStyle w:val="Code"/>
              </w:rPr>
              <w:t>&gt;</w:t>
            </w:r>
            <w:r>
              <w:rPr>
                <w:rStyle w:val="Codetext"/>
              </w:rPr>
              <w:t>g</w:t>
            </w:r>
            <w:r>
              <w:rPr>
                <w:rStyle w:val="Code"/>
              </w:rPr>
              <w:t xml:space="preserve">&lt;/seg&gt;&lt;seg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"body"</w:t>
            </w:r>
            <w:r>
              <w:rPr>
                <w:rStyle w:val="Code"/>
              </w:rPr>
              <w:t>&gt;</w:t>
            </w:r>
            <w:r>
              <w:rPr>
                <w:rStyle w:val="Codetext"/>
              </w:rPr>
              <w:t>gh</w:t>
            </w:r>
            <w:r>
              <w:rPr>
                <w:rStyle w:val="Code"/>
              </w:rPr>
              <w:t>&lt;/seg&gt;</w:t>
            </w:r>
            <w:r>
              <w:rPr>
                <w:rStyle w:val="Codetext"/>
              </w:rPr>
              <w:t>a</w:t>
            </w:r>
          </w:p>
        </w:tc>
        <w:tc>
          <w:tcPr>
            <w:tcW w:w="0" w:type="auto"/>
            <w:vMerge w:val="restart"/>
            <w:vAlign w:val="bottom"/>
          </w:tcPr>
          <w:p w14:paraId="6DBFAC8B" w14:textId="77777777">
            <w:pPr>
              <w:pStyle w:val="Image"/>
              <w:keepLines/>
            </w:pPr>
            <w:r>
              <w:drawing>
                <wp:inline distT="0" distB="0" distL="0" distR="0" wp14:anchorId="255E0209" wp14:editId="2280DA87">
                  <wp:extent cx="917407" cy="763152"/>
                  <wp:effectExtent l="0" t="0" r="0" b="0"/>
                  <wp:docPr id="3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7">
                            <a:extLst>
                              <a:ext uri="{28A0092B-C50C-407E-A947-70E740481C1C}">
                                <a14:useLocalDpi xmlns:a14="http://schemas.microsoft.com/office/drawing/2010/main" val="0"/>
                              </a:ext>
                            </a:extLst>
                          </a:blip>
                          <a:srcRect/>
                          <a:stretch>
                            <a:fillRect/>
                          </a:stretch>
                        </pic:blipFill>
                        <pic:spPr>
                          <a:xfrm>
                            <a:off x="0" y="0"/>
                            <a:ext cx="928213" cy="772141"/>
                          </a:xfrm>
                          <a:prstGeom prst="rect">
                            <a:avLst/>
                          </a:prstGeom>
                          <a:ln/>
                        </pic:spPr>
                      </pic:pic>
                    </a:graphicData>
                  </a:graphic>
                </wp:inline>
              </w:drawing>
            </w:r>
          </w:p>
        </w:tc>
      </w:tr>
      <w:tr w14:paraId="1BA26D09" w14:textId="77777777">
        <w:tc>
          <w:tcPr>
            <w:tcW w:w="0" w:type="auto"/>
          </w:tcPr>
          <w:p w14:paraId="7DF944F9" w14:textId="77777777">
            <w:pPr>
              <w:pStyle w:val="TableNote"/>
            </w:pPr>
            <w:r>
              <w:rPr>
                <w:rStyle w:val="Foreign"/>
              </w:rPr>
              <w:t>rggha</w:t>
            </w:r>
            <w:r>
              <w:t xml:space="preserve"> is here written in a horizontal composition, with </w:t>
            </w:r>
            <w:r>
              <w:rPr>
                <w:rStyle w:val="Foreign"/>
              </w:rPr>
              <w:t>g</w:t>
            </w:r>
            <w:r>
              <w:t xml:space="preserve"> to the left of a regularly positioned </w:t>
            </w:r>
            <w:r>
              <w:rPr>
                <w:rStyle w:val="Foreign"/>
              </w:rPr>
              <w:t>gh</w:t>
            </w:r>
            <w:r>
              <w:t xml:space="preserve"> </w:t>
            </w:r>
          </w:p>
          <w:p w14:paraId="5ED80B1A" w14:textId="77777777">
            <w:pPr>
              <w:pStyle w:val="TableNote"/>
              <w:rPr>
                <w:rFonts w:ascii="Consolas" w:hAnsi="Consolas" w:cs="Consolas"/>
                <w:noProof/>
                <w:color w:val="002060"/>
                <w:shd w:val="clear" w:color="auto" w:fill="F2F2F2" w:themeFill="background1" w:themeFillShade="F2"/>
              </w:rPr>
            </w:pPr>
            <w:r>
              <w:t xml:space="preserve">in this example the second and third consonant components have both been tagged explicitly for their position, though it may be sufficient to tag the prescript </w:t>
            </w:r>
            <w:r>
              <w:rPr>
                <w:rStyle w:val="Foreign"/>
              </w:rPr>
              <w:t>g</w:t>
            </w:r>
            <w:r>
              <w:t xml:space="preserve"> in this way</w:t>
            </w:r>
          </w:p>
        </w:tc>
        <w:tc>
          <w:tcPr>
            <w:tcW w:w="0" w:type="auto"/>
            <w:vMerge/>
          </w:tcPr>
          <w:p w14:paraId="212ECE05" w14:textId="77777777">
            <w:pPr>
              <w:rPr>
                <w:rStyle w:val="Code"/>
              </w:rPr>
            </w:pPr>
          </w:p>
        </w:tc>
      </w:tr>
    </w:tbl>
    <w:p w14:paraId="413DB63B" w14:textId="77777777">
      <w:pPr>
        <w:pStyle w:val="Cmsor3"/>
      </w:pPr>
      <w:bookmarkStart w:id="385" w:name="_qy84vdm4cqcm" w:colFirst="0" w:colLast="0"/>
      <w:bookmarkStart w:id="386" w:name="_Ref43987165"/>
      <w:bookmarkStart w:id="387" w:name="_Toc243922641"/>
      <w:bookmarkEnd w:id="385"/>
      <w:r>
        <w:t>Complex glyphs deliberately split over an intervening feature</w:t>
      </w:r>
      <w:bookmarkEnd w:id="386"/>
      <w:bookmarkEnd w:id="387"/>
    </w:p>
    <w:p w14:paraId="7784C59B" w14:textId="09909EA8">
      <w:r>
        <w:t xml:space="preserve">Parts of </w:t>
      </w:r>
      <w:r>
        <w:rPr>
          <w:rStyle w:val="Foreign"/>
        </w:rPr>
        <w:t>akṣaras</w:t>
      </w:r>
      <w:r>
        <w:t xml:space="preserve"> may be split off from the rest of the glyph by a physical feature, most commonly a line break, sometimes a physical defect in the support or the binding hole in a copper plate. In this section we discuss situations where the scribe deliberately decomposed theoretically atomic glyphs into constituent parts in order to accommodate such an intervening feature. Inadvertent splits, typically caused by fracture, are discussed in §</w:t>
      </w:r>
      <w:r>
        <w:fldChar w:fldCharType="begin"/>
      </w:r>
      <w:r>
        <w:instrText xml:space="preserve"> REF _Ref182813737 \r \h </w:instrText>
      </w:r>
      <w:r>
        <w:fldChar w:fldCharType="separate"/>
      </w:r>
      <w:r>
        <w:t>4.7.6.1</w:t>
      </w:r>
      <w:r>
        <w:fldChar w:fldCharType="end"/>
      </w:r>
      <w:r>
        <w:t>.</w:t>
      </w:r>
    </w:p>
    <w:tbl>
      <w:tblPr>
        <w:tblStyle w:val="CodeSampleTable"/>
        <w:tblpPr w:leftFromText="180" w:rightFromText="180" w:vertAnchor="text" w:tblpXSpec="right" w:tblpY="1"/>
        <w:tblOverlap w:val="never"/>
        <w:tblW w:w="3686" w:type="dxa"/>
        <w:tblLook w:val="04A0" w:firstRow="1" w:lastRow="0" w:firstColumn="1" w:lastColumn="0" w:noHBand="0" w:noVBand="1"/>
      </w:tblPr>
      <w:tblGrid>
        <w:gridCol w:w="3686"/>
      </w:tblGrid>
      <w:tr w14:paraId="2BE09D0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B9DB2C9" w14:textId="00AC76DA">
            <w:pPr>
              <w:pStyle w:val="Kpalrs"/>
            </w:pPr>
            <w:bookmarkStart w:id="388" w:name="_Ref225948796"/>
            <w:r>
              <w:t xml:space="preserve">Exhibit </w:t>
            </w:r>
            <w:fldSimple w:instr=" STYLEREF 2 \s ">
              <w:r>
                <w:rPr>
                  <w:noProof/>
                </w:rPr>
                <w:t>5.1</w:t>
              </w:r>
            </w:fldSimple>
            <w:r>
              <w:t>.</w:t>
            </w:r>
            <w:fldSimple w:instr=" SEQ Exhibit \* ALPHABETIC \s 2 ">
              <w:r>
                <w:rPr>
                  <w:noProof/>
                </w:rPr>
                <w:t>C</w:t>
              </w:r>
            </w:fldSimple>
            <w:bookmarkEnd w:id="388"/>
            <w:r>
              <w:t xml:space="preserve">: </w:t>
            </w:r>
            <w:r>
              <w:rPr>
                <w:rStyle w:val="Foreign"/>
              </w:rPr>
              <w:t>anusvāra</w:t>
            </w:r>
            <w:r>
              <w:t xml:space="preserve"> separated from glyph</w:t>
            </w:r>
          </w:p>
        </w:tc>
      </w:tr>
      <w:tr w14:paraId="56209423" w14:textId="77777777">
        <w:tc>
          <w:tcPr>
            <w:tcW w:w="0" w:type="auto"/>
          </w:tcPr>
          <w:p w14:paraId="62F46DAE" w14:textId="77777777">
            <w:pPr>
              <w:pStyle w:val="Image"/>
            </w:pPr>
            <w:r>
              <w:drawing>
                <wp:inline distT="0" distB="0" distL="0" distR="0" wp14:anchorId="444C3CEB" wp14:editId="3BC9CEF9">
                  <wp:extent cx="1713600" cy="720000"/>
                  <wp:effectExtent l="0" t="0" r="1270" b="4445"/>
                  <wp:docPr id="1094072945"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13600" cy="720000"/>
                          </a:xfrm>
                          <a:prstGeom prst="rect">
                            <a:avLst/>
                          </a:prstGeom>
                          <a:noFill/>
                          <a:ln>
                            <a:noFill/>
                          </a:ln>
                        </pic:spPr>
                      </pic:pic>
                    </a:graphicData>
                  </a:graphic>
                </wp:inline>
              </w:drawing>
            </w:r>
          </w:p>
        </w:tc>
      </w:tr>
      <w:tr w14:paraId="38BE2987" w14:textId="77777777">
        <w:tc>
          <w:tcPr>
            <w:tcW w:w="0" w:type="auto"/>
          </w:tcPr>
          <w:p w14:paraId="3ADFDA15" w14:textId="77777777">
            <w:pPr>
              <w:pStyle w:val="CodeParagraph"/>
              <w:rPr>
                <w:rStyle w:val="Codetext"/>
                <w:rFonts w:ascii="Gentium" w:hAnsi="Gentium" w:cs="Tiro Devanagari Sanskrit"/>
                <w:noProof w:val="0"/>
                <w:color w:val="auto"/>
                <w:shd w:val="clear" w:color="auto" w:fill="auto"/>
              </w:rPr>
            </w:pPr>
            <w:r>
              <w:rPr>
                <w:rStyle w:val="Codetext"/>
              </w:rPr>
              <w:t>mala</w:t>
            </w:r>
            <w:r>
              <w:rPr>
                <w:rStyle w:val="Code"/>
              </w:rPr>
              <w:t xml:space="preserve">&lt;space </w:t>
            </w:r>
            <w:r>
              <w:rPr>
                <w:rStyle w:val="Codeattribute"/>
              </w:rPr>
              <w:t>type</w:t>
            </w:r>
            <w:r>
              <w:rPr>
                <w:rStyle w:val="Codetext"/>
              </w:rPr>
              <w:t>=</w:t>
            </w:r>
            <w:r>
              <w:rPr>
                <w:rStyle w:val="Codevalue"/>
              </w:rPr>
              <w:t>"binding-hole"</w:t>
            </w:r>
            <w:r>
              <w:rPr>
                <w:rStyle w:val="Code"/>
              </w:rPr>
              <w:t>/&gt;</w:t>
            </w:r>
            <w:r>
              <w:rPr>
                <w:rStyle w:val="Codetext"/>
              </w:rPr>
              <w:t>ṁka</w:t>
            </w:r>
          </w:p>
        </w:tc>
      </w:tr>
    </w:tbl>
    <w:p w14:paraId="724BE7F9" w14:textId="3D0091FE">
      <w:pPr>
        <w:pStyle w:val="Lista"/>
      </w:pPr>
      <w:r>
        <w:t xml:space="preserve">the intervening features may be line beginnings </w:t>
      </w:r>
      <w:r>
        <w:rPr>
          <w:noProof/>
        </w:rPr>
        <w:t>(</w:t>
      </w:r>
      <w:r>
        <w:t>§</w:t>
      </w:r>
      <w:r>
        <w:fldChar w:fldCharType="begin"/>
      </w:r>
      <w:r>
        <w:instrText xml:space="preserve"> REF _Ref43980100 \r \h </w:instrText>
      </w:r>
      <w:r>
        <w:fldChar w:fldCharType="separate"/>
      </w:r>
      <w:r>
        <w:t>4.5.1</w:t>
      </w:r>
      <w:r>
        <w:fldChar w:fldCharType="end"/>
      </w:r>
      <w:r>
        <w:t xml:space="preserve">) or space imposed by physical features </w:t>
      </w:r>
      <w:r>
        <w:rPr>
          <w:noProof/>
        </w:rPr>
        <w:t>(</w:t>
      </w:r>
      <w:r>
        <w:t>§</w:t>
      </w:r>
      <w:r>
        <w:fldChar w:fldCharType="begin"/>
      </w:r>
      <w:r>
        <w:instrText xml:space="preserve"> REF _Ref43985107 \w \h  \* MERGEFORMAT </w:instrText>
      </w:r>
      <w:r>
        <w:fldChar w:fldCharType="separate"/>
      </w:r>
      <w:r>
        <w:t>5.4.2.2</w:t>
      </w:r>
      <w:r>
        <w:fldChar w:fldCharType="end"/>
      </w:r>
      <w:r>
        <w:t>) and must be encoded as applicable</w:t>
      </w:r>
    </w:p>
    <w:p w14:paraId="650F23AE" w14:textId="73B94217">
      <w:pPr>
        <w:pStyle w:val="Lista"/>
      </w:pPr>
      <w:r>
        <w:t xml:space="preserve">if the split can be represented accurately in transliteration because the physical order of the graphs corresponds to the logical sequence of the graphemes (typically involving </w:t>
      </w:r>
      <w:r>
        <w:rPr>
          <w:rStyle w:val="Foreign"/>
        </w:rPr>
        <w:t>anusvāra</w:t>
      </w:r>
      <w:r>
        <w:t xml:space="preserve">, </w:t>
      </w:r>
      <w:r>
        <w:rPr>
          <w:rStyle w:val="Foreign"/>
        </w:rPr>
        <w:t>visarga</w:t>
      </w:r>
      <w:r>
        <w:t xml:space="preserve"> or a postscript vowel marker) as in </w:t>
      </w:r>
      <w:r>
        <w:fldChar w:fldCharType="begin"/>
      </w:r>
      <w:r>
        <w:instrText xml:space="preserve"> REF _Ref225948796 \h </w:instrText>
      </w:r>
      <w:r>
        <w:fldChar w:fldCharType="separate"/>
      </w:r>
      <w:r>
        <w:t xml:space="preserve">Exhibit </w:t>
      </w:r>
      <w:r>
        <w:rPr>
          <w:noProof/>
        </w:rPr>
        <w:t>5.1</w:t>
      </w:r>
      <w:r>
        <w:t>.</w:t>
      </w:r>
      <w:r>
        <w:rPr>
          <w:noProof/>
        </w:rPr>
        <w:t>C</w:t>
      </w:r>
      <w:r>
        <w:fldChar w:fldCharType="end"/>
      </w:r>
      <w:r>
        <w:t>:</w:t>
      </w:r>
    </w:p>
    <w:p w14:paraId="10D8BD87" w14:textId="77777777">
      <w:pPr>
        <w:pStyle w:val="Lista2"/>
      </w:pPr>
      <w:r>
        <w:t>apply no special markup</w:t>
      </w:r>
    </w:p>
    <w:p w14:paraId="65EBAC6C" w14:textId="77777777">
      <w:pPr>
        <w:pStyle w:val="Lista2"/>
      </w:pPr>
      <w:r>
        <w:t>encode the intervening feature in its physical and logical place</w:t>
      </w:r>
    </w:p>
    <w:tbl>
      <w:tblPr>
        <w:tblStyle w:val="CodeSampleTable"/>
        <w:tblpPr w:leftFromText="180" w:rightFromText="180" w:vertAnchor="text" w:tblpXSpec="right" w:tblpY="1"/>
        <w:tblOverlap w:val="never"/>
        <w:tblW w:w="3686" w:type="dxa"/>
        <w:tblLook w:val="04A0" w:firstRow="1" w:lastRow="0" w:firstColumn="1" w:lastColumn="0" w:noHBand="0" w:noVBand="1"/>
      </w:tblPr>
      <w:tblGrid>
        <w:gridCol w:w="3686"/>
      </w:tblGrid>
      <w:tr w14:paraId="1EA41CC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D4296E9" w14:textId="3034A8EC">
            <w:pPr>
              <w:pStyle w:val="Kpalrs"/>
            </w:pPr>
            <w:bookmarkStart w:id="389" w:name="_Ref225948797"/>
            <w:r>
              <w:t xml:space="preserve">Exhibit </w:t>
            </w:r>
            <w:fldSimple w:instr=" STYLEREF 2 \s ">
              <w:r>
                <w:rPr>
                  <w:noProof/>
                </w:rPr>
                <w:t>5.1</w:t>
              </w:r>
            </w:fldSimple>
            <w:r>
              <w:t>.</w:t>
            </w:r>
            <w:fldSimple w:instr=" SEQ Exhibit \* ALPHABETIC \s 2 ">
              <w:r>
                <w:rPr>
                  <w:noProof/>
                </w:rPr>
                <w:t>D</w:t>
              </w:r>
            </w:fldSimple>
            <w:bookmarkEnd w:id="389"/>
            <w:r>
              <w:t>: vowel marker separated from glyph</w:t>
            </w:r>
          </w:p>
        </w:tc>
      </w:tr>
      <w:tr w14:paraId="040C3D3C" w14:textId="77777777">
        <w:tc>
          <w:tcPr>
            <w:tcW w:w="0" w:type="auto"/>
          </w:tcPr>
          <w:p w14:paraId="18F181C6" w14:textId="77777777">
            <w:pPr>
              <w:pStyle w:val="Image"/>
            </w:pPr>
            <w:r>
              <w:drawing>
                <wp:inline distT="0" distB="0" distL="0" distR="0" wp14:anchorId="48160ADC" wp14:editId="10AB830D">
                  <wp:extent cx="1818000" cy="720000"/>
                  <wp:effectExtent l="0" t="0" r="0" b="4445"/>
                  <wp:docPr id="1965550830" name="Kép 1965550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18000" cy="720000"/>
                          </a:xfrm>
                          <a:prstGeom prst="rect">
                            <a:avLst/>
                          </a:prstGeom>
                          <a:noFill/>
                          <a:ln>
                            <a:noFill/>
                          </a:ln>
                        </pic:spPr>
                      </pic:pic>
                    </a:graphicData>
                  </a:graphic>
                </wp:inline>
              </w:drawing>
            </w:r>
          </w:p>
        </w:tc>
      </w:tr>
      <w:tr w14:paraId="62A74F53" w14:textId="77777777">
        <w:tc>
          <w:tcPr>
            <w:tcW w:w="0" w:type="auto"/>
          </w:tcPr>
          <w:p w14:paraId="6495D207" w14:textId="77777777">
            <w:pPr>
              <w:pStyle w:val="CodeParagraph"/>
              <w:rPr>
                <w:rStyle w:val="Codetext"/>
                <w:rFonts w:ascii="Gentium" w:hAnsi="Gentium" w:cs="Tiro Devanagari Sanskrit"/>
                <w:noProof w:val="0"/>
                <w:color w:val="auto"/>
                <w:shd w:val="clear" w:color="auto" w:fill="auto"/>
              </w:rPr>
            </w:pPr>
            <w:r>
              <w:rPr>
                <w:rStyle w:val="Codetext"/>
              </w:rPr>
              <w:t>A</w:t>
            </w:r>
            <w:r>
              <w:rPr>
                <w:rStyle w:val="Codetext"/>
                <w:rFonts w:ascii="Cambria Math" w:hAnsi="Cambria Math" w:cs="Cambria Math"/>
              </w:rPr>
              <w:t>⌈</w:t>
            </w:r>
            <w:r>
              <w:rPr>
                <w:rStyle w:val="Code"/>
              </w:rPr>
              <w:t xml:space="preserve">&lt;space </w:t>
            </w:r>
            <w:r>
              <w:rPr>
                <w:rStyle w:val="Codeattribute"/>
              </w:rPr>
              <w:t>type</w:t>
            </w:r>
            <w:r>
              <w:rPr>
                <w:rStyle w:val="Codetext"/>
              </w:rPr>
              <w:t>=</w:t>
            </w:r>
            <w:r>
              <w:rPr>
                <w:rStyle w:val="Codevalue"/>
              </w:rPr>
              <w:t>"descender"</w:t>
            </w:r>
            <w:r>
              <w:rPr>
                <w:rStyle w:val="Code"/>
              </w:rPr>
              <w:t>/&gt;</w:t>
            </w:r>
            <w:r>
              <w:rPr>
                <w:rStyle w:val="Codetext"/>
              </w:rPr>
              <w:t>horātri</w:t>
            </w:r>
          </w:p>
        </w:tc>
      </w:tr>
      <w:tr w14:paraId="2C212142" w14:textId="77777777">
        <w:tc>
          <w:tcPr>
            <w:tcW w:w="0" w:type="auto"/>
          </w:tcPr>
          <w:p w14:paraId="479B1BDD" w14:textId="77777777">
            <w:pPr>
              <w:pStyle w:val="TableNote"/>
            </w:pPr>
            <w:r>
              <w:t xml:space="preserve">the vowel marker for </w:t>
            </w:r>
            <w:r>
              <w:rPr>
                <w:rStyle w:val="Foreign"/>
              </w:rPr>
              <w:t>o</w:t>
            </w:r>
            <w:r>
              <w:t xml:space="preserve"> consists of a stroke on the left and another stroke on the right</w:t>
            </w:r>
          </w:p>
          <w:p w14:paraId="2488B8AA" w14:textId="77777777">
            <w:pPr>
              <w:pStyle w:val="TableNote"/>
              <w:rPr>
                <w:rStyle w:val="Codetext"/>
                <w:color w:val="002060"/>
              </w:rPr>
            </w:pPr>
            <w:r>
              <w:t>the stroke on the left has been split off from the consonant by a descender from the line above</w:t>
            </w:r>
          </w:p>
        </w:tc>
      </w:tr>
    </w:tbl>
    <w:p w14:paraId="0E05B01B" w14:textId="7D1CCD97">
      <w:pPr>
        <w:pStyle w:val="Lista"/>
      </w:pPr>
      <w:r>
        <w:t xml:space="preserve">if the split cannot be represented accurately in transliteration because the physical order of the graphs differs from the logical sequence of the graphemes (typically involving prescript vowel markers or a split consonant body) as in </w:t>
      </w:r>
      <w:r>
        <w:fldChar w:fldCharType="begin"/>
      </w:r>
      <w:r>
        <w:instrText xml:space="preserve"> REF _Ref225948797 \h </w:instrText>
      </w:r>
      <w:r>
        <w:fldChar w:fldCharType="separate"/>
      </w:r>
      <w:r>
        <w:t xml:space="preserve">Exhibit </w:t>
      </w:r>
      <w:r>
        <w:rPr>
          <w:noProof/>
        </w:rPr>
        <w:t>5.1</w:t>
      </w:r>
      <w:r>
        <w:t>.</w:t>
      </w:r>
      <w:r>
        <w:rPr>
          <w:noProof/>
        </w:rPr>
        <w:t>D</w:t>
      </w:r>
      <w:r>
        <w:fldChar w:fldCharType="end"/>
      </w:r>
      <w:r>
        <w:t>:</w:t>
      </w:r>
    </w:p>
    <w:p w14:paraId="0B41A818" w14:textId="77777777">
      <w:pPr>
        <w:pStyle w:val="Lista2"/>
      </w:pPr>
      <w:r>
        <w:t xml:space="preserve">this is handled in transliteration by means of the placeholder characters ⌈ </w:t>
      </w:r>
      <w:r>
        <w:rPr>
          <w:noProof/>
        </w:rPr>
        <w:t>(</w:t>
      </w:r>
      <w:r>
        <w:t xml:space="preserve">left ceiling, U+2308) and ⌉ </w:t>
      </w:r>
      <w:r>
        <w:rPr>
          <w:noProof/>
        </w:rPr>
        <w:t>(</w:t>
      </w:r>
      <w:r>
        <w:t>right ceiling, U+2309), as per TG §4.4.7</w:t>
      </w:r>
    </w:p>
    <w:p w14:paraId="70DA619B" w14:textId="77777777">
      <w:pPr>
        <w:pStyle w:val="Lista3"/>
      </w:pPr>
      <w:r>
        <w:t>the placeholder characters are essential shorthand (TG §3.3.1), meaning that they do not have an encoding alternative in DHARMA practice and will be used in XML editions in the same way as in non-XML contexts</w:t>
      </w:r>
    </w:p>
    <w:p w14:paraId="04DF5CB1" w14:textId="77777777">
      <w:pPr>
        <w:pStyle w:val="Lista2"/>
      </w:pPr>
      <w:r>
        <w:t>follow the TG’s instructions as regards the placement of the ceiling and the transliterated graphemes vis-à-vis the encoded interruption</w:t>
      </w:r>
    </w:p>
    <w:p w14:paraId="07F39CA4" w14:textId="77777777">
      <w:pPr>
        <w:pStyle w:val="Lista2"/>
      </w:pPr>
      <w:r>
        <w:t xml:space="preserve">all the target graphemes pertaining to an original </w:t>
      </w:r>
      <w:r>
        <w:rPr>
          <w:rStyle w:val="Foreign"/>
        </w:rPr>
        <w:t>akṣara</w:t>
      </w:r>
      <w:r>
        <w:t xml:space="preserve"> must be placed on that side of the interruption where the consonant body is located, while the applicable placeholder character must be placed on the other side of the interruption</w:t>
      </w:r>
    </w:p>
    <w:p w14:paraId="27CCE4BF" w14:textId="77777777">
      <w:pPr>
        <w:pStyle w:val="Cmsor4"/>
      </w:pPr>
      <w:r>
        <w:t>Split glyphs combined with legibility issues</w:t>
      </w:r>
    </w:p>
    <w:p w14:paraId="7A702A75" w14:textId="77777777">
      <w:pPr>
        <w:pStyle w:val="Lista"/>
      </w:pPr>
      <w:r>
        <w:t>in all examples in this subsection</w:t>
      </w:r>
    </w:p>
    <w:p w14:paraId="3C19B7C0" w14:textId="77777777">
      <w:pPr>
        <w:pStyle w:val="Lista2"/>
      </w:pPr>
      <w:r>
        <w:lastRenderedPageBreak/>
        <w:t>&lt;&gt; represents an interrupting element of any nature</w:t>
      </w:r>
    </w:p>
    <w:p w14:paraId="41AB144C" w14:textId="77777777">
      <w:pPr>
        <w:pStyle w:val="Lista2"/>
      </w:pPr>
      <w:r>
        <w:t>grey text represents unclear graphs or elements</w:t>
      </w:r>
    </w:p>
    <w:p w14:paraId="5B366F64" w14:textId="77777777">
      <w:pPr>
        <w:pStyle w:val="Lista2"/>
      </w:pPr>
      <w:r>
        <w:t>the dotted circle ◌ is to be ignored</w:t>
      </w:r>
    </w:p>
    <w:p w14:paraId="525C299E" w14:textId="33387F0F">
      <w:pPr>
        <w:pStyle w:val="Lista"/>
      </w:pPr>
      <w:r>
        <w:t xml:space="preserve">if some of the components involved are </w:t>
      </w:r>
      <w:r>
        <w:rPr>
          <w:b/>
          <w:bCs/>
        </w:rPr>
        <w:t>unclear</w:t>
      </w:r>
      <w:r>
        <w:t xml:space="preserve"> </w:t>
      </w:r>
      <w:r>
        <w:rPr>
          <w:noProof/>
        </w:rPr>
        <w:t>(</w:t>
      </w:r>
      <w:r>
        <w:t>§</w:t>
      </w:r>
      <w:r>
        <w:fldChar w:fldCharType="begin"/>
      </w:r>
      <w:r>
        <w:instrText xml:space="preserve"> REF _Ref43981505 \r \h </w:instrText>
      </w:r>
      <w:r>
        <w:fldChar w:fldCharType="separate"/>
      </w:r>
      <w:r>
        <w:t>6.3</w:t>
      </w:r>
      <w:r>
        <w:fldChar w:fldCharType="end"/>
      </w:r>
      <w:r>
        <w:t>)</w:t>
      </w:r>
    </w:p>
    <w:p w14:paraId="34B56785" w14:textId="77777777">
      <w:pPr>
        <w:pStyle w:val="Lista2"/>
      </w:pPr>
      <w:r>
        <w:t>apply this tag to whichever target graphemes are affected, but not to unaffected ones</w:t>
      </w:r>
    </w:p>
    <w:p w14:paraId="2E5119FB" w14:textId="77777777">
      <w:pPr>
        <w:pStyle w:val="Lista2"/>
      </w:pPr>
      <w:r>
        <w:t>if and only if the split-off component is itself affected, apply the tag to the placeholder and to the corresponding target grapheme separately, without including the encoded interruption</w:t>
      </w:r>
    </w:p>
    <w:p w14:paraId="785E82A7" w14:textId="77777777">
      <w:pPr>
        <w:pStyle w:val="Lista2"/>
      </w:pPr>
      <w:r>
        <w:t>for example:</w:t>
      </w:r>
    </w:p>
    <w:p w14:paraId="5CC74404" w14:textId="77777777">
      <w:pPr>
        <w:pStyle w:val="Lista3"/>
      </w:pPr>
      <w:r>
        <w:rPr>
          <w:rStyle w:val="ForeignTamilScript"/>
          <w:cs/>
        </w:rPr>
        <w:t>கெ</w:t>
      </w:r>
      <w:r>
        <w:t>&lt;&gt;</w:t>
      </w:r>
      <w:r>
        <w:rPr>
          <w:rStyle w:val="ForeignTamilScript"/>
          <w:color w:val="808080" w:themeColor="background1" w:themeShade="80"/>
          <w:cs/>
        </w:rPr>
        <w:t xml:space="preserve"> ா</w:t>
      </w:r>
      <w:r>
        <w:rPr>
          <w:cs/>
        </w:rPr>
        <w:t xml:space="preserve"> </w:t>
      </w:r>
      <w:r>
        <w:rPr>
          <w:rFonts w:cs="Gentium"/>
        </w:rPr>
        <w:t>→</w:t>
      </w:r>
      <w:r>
        <w:rPr>
          <w:rStyle w:val="ForeignTamilScript"/>
        </w:rPr>
        <w:t xml:space="preserve"> </w:t>
      </w:r>
      <w:r>
        <w:rPr>
          <w:rStyle w:val="Codetext"/>
        </w:rPr>
        <w:t>k</w:t>
      </w:r>
      <w:r>
        <w:rPr>
          <w:rStyle w:val="Code"/>
        </w:rPr>
        <w:t>&lt;unclear&gt;</w:t>
      </w:r>
      <w:r>
        <w:rPr>
          <w:rStyle w:val="Codetext"/>
        </w:rPr>
        <w:t>o</w:t>
      </w:r>
      <w:r>
        <w:rPr>
          <w:rStyle w:val="Code"/>
        </w:rPr>
        <w:t>&lt;/unclear&gt;&lt;&gt;&lt;unclear&gt;</w:t>
      </w:r>
      <w:r>
        <w:rPr>
          <w:rStyle w:val="Codetext"/>
          <w:rFonts w:ascii="Cambria Math" w:hAnsi="Cambria Math" w:cs="Cambria Math"/>
        </w:rPr>
        <w:t>⌉</w:t>
      </w:r>
      <w:r>
        <w:rPr>
          <w:rStyle w:val="Code"/>
        </w:rPr>
        <w:t>&lt;/unclear&gt;</w:t>
      </w:r>
    </w:p>
    <w:p w14:paraId="63893753" w14:textId="77777777">
      <w:pPr>
        <w:pStyle w:val="Lista3"/>
      </w:pPr>
      <w:r>
        <w:rPr>
          <w:rStyle w:val="ForeignTamilScript"/>
          <w:color w:val="808080" w:themeColor="background1" w:themeShade="80"/>
          <w:cs/>
        </w:rPr>
        <w:t>கெ</w:t>
      </w:r>
      <w:r>
        <w:t>&lt;&gt;</w:t>
      </w:r>
      <w:r>
        <w:rPr>
          <w:rStyle w:val="ForeignTamilScript"/>
          <w:cs/>
        </w:rPr>
        <w:t xml:space="preserve"> ா </w:t>
      </w:r>
      <w:r>
        <w:rPr>
          <w:rFonts w:cs="Gentium"/>
        </w:rPr>
        <w:t>→</w:t>
      </w:r>
      <w:r>
        <w:t xml:space="preserve"> </w:t>
      </w:r>
      <w:r>
        <w:rPr>
          <w:rStyle w:val="Code"/>
        </w:rPr>
        <w:t>&lt;unclear&gt;</w:t>
      </w:r>
      <w:r>
        <w:rPr>
          <w:rStyle w:val="Codetext"/>
        </w:rPr>
        <w:t>ko</w:t>
      </w:r>
      <w:r>
        <w:rPr>
          <w:rStyle w:val="Code"/>
        </w:rPr>
        <w:t>&lt;/unclear&gt;&lt;&gt;</w:t>
      </w:r>
      <w:r>
        <w:rPr>
          <w:rStyle w:val="Codetext"/>
          <w:rFonts w:ascii="Cambria Math" w:hAnsi="Cambria Math" w:cs="Cambria Math"/>
        </w:rPr>
        <w:t>⌉</w:t>
      </w:r>
    </w:p>
    <w:p w14:paraId="221C5E3F" w14:textId="77777777">
      <w:pPr>
        <w:pStyle w:val="Lista3"/>
      </w:pPr>
      <w:r>
        <w:rPr>
          <w:rStyle w:val="ForeignTamilScript"/>
          <w:color w:val="808080" w:themeColor="background1" w:themeShade="80"/>
          <w:cs/>
        </w:rPr>
        <w:t>ெ</w:t>
      </w:r>
      <w:r>
        <w:t>&lt;&gt;</w:t>
      </w:r>
      <w:r>
        <w:rPr>
          <w:rStyle w:val="ForeignTamilScript"/>
          <w:cs/>
        </w:rPr>
        <w:t>கா</w:t>
      </w:r>
      <w:r>
        <w:rPr>
          <w:cs/>
        </w:rPr>
        <w:t xml:space="preserve"> </w:t>
      </w:r>
      <w:r>
        <w:rPr>
          <w:rFonts w:cs="Gentium"/>
        </w:rPr>
        <w:t>→</w:t>
      </w:r>
      <w:r>
        <w:t xml:space="preserve"> </w:t>
      </w:r>
      <w:r>
        <w:rPr>
          <w:rStyle w:val="Code"/>
        </w:rPr>
        <w:t>&lt;unclear&gt;</w:t>
      </w:r>
      <w:r>
        <w:rPr>
          <w:rStyle w:val="Codetext"/>
          <w:rFonts w:ascii="Cambria Math" w:hAnsi="Cambria Math" w:cs="Cambria Math"/>
        </w:rPr>
        <w:t>⌈</w:t>
      </w:r>
      <w:r>
        <w:rPr>
          <w:rStyle w:val="Code"/>
        </w:rPr>
        <w:t>&lt;/unclear&gt;&lt;&gt;</w:t>
      </w:r>
      <w:r>
        <w:rPr>
          <w:rStyle w:val="Codetext"/>
        </w:rPr>
        <w:t>k</w:t>
      </w:r>
      <w:r>
        <w:rPr>
          <w:rStyle w:val="Code"/>
        </w:rPr>
        <w:t>&lt;unclear&gt;</w:t>
      </w:r>
      <w:r>
        <w:rPr>
          <w:rStyle w:val="Codetext"/>
        </w:rPr>
        <w:t>o</w:t>
      </w:r>
      <w:r>
        <w:rPr>
          <w:rStyle w:val="Code"/>
        </w:rPr>
        <w:t>&lt;/unclear&gt;</w:t>
      </w:r>
    </w:p>
    <w:p w14:paraId="35584A5D" w14:textId="59DEE645">
      <w:pPr>
        <w:pStyle w:val="Lista2"/>
      </w:pPr>
      <w:r>
        <w:t xml:space="preserve">if the reading of some components is </w:t>
      </w:r>
      <w:r>
        <w:rPr>
          <w:b/>
          <w:bCs/>
        </w:rPr>
        <w:t>ambivalent</w:t>
      </w:r>
      <w:r>
        <w:t xml:space="preserve"> </w:t>
      </w:r>
      <w:r>
        <w:rPr>
          <w:noProof/>
        </w:rPr>
        <w:t>(</w:t>
      </w:r>
      <w:r>
        <w:t>§</w:t>
      </w:r>
      <w:r>
        <w:fldChar w:fldCharType="begin"/>
      </w:r>
      <w:r>
        <w:instrText xml:space="preserve"> REF _Ref43987339 \w \h  \* MERGEFORMAT </w:instrText>
      </w:r>
      <w:r>
        <w:fldChar w:fldCharType="separate"/>
      </w:r>
      <w:r>
        <w:t>6.3.2</w:t>
      </w:r>
      <w:r>
        <w:fldChar w:fldCharType="end"/>
      </w:r>
      <w:r>
        <w:t>)</w:t>
      </w:r>
    </w:p>
    <w:p w14:paraId="1729A376" w14:textId="77777777">
      <w:pPr>
        <w:pStyle w:val="Lista3"/>
      </w:pPr>
      <w:r>
        <w:t>consider alternatives in the interest of minimising complexity</w:t>
      </w:r>
    </w:p>
    <w:p w14:paraId="337098E5" w14:textId="77777777">
      <w:pPr>
        <w:pStyle w:val="Lista4"/>
      </w:pPr>
      <w:r>
        <w:t xml:space="preserve">encoding the </w:t>
      </w:r>
      <w:r>
        <w:rPr>
          <w:rStyle w:val="Foreign"/>
        </w:rPr>
        <w:t>akṣara</w:t>
      </w:r>
      <w:r>
        <w:t xml:space="preserve"> as unclear may be sufficient for a reader familiar with the script to deduce the possible alternatives</w:t>
      </w:r>
    </w:p>
    <w:p w14:paraId="01A6576C" w14:textId="77777777">
      <w:pPr>
        <w:pStyle w:val="Lista4"/>
      </w:pPr>
      <w:r>
        <w:t>annotation may be added to explain the nature of the problem to the human end user</w:t>
      </w:r>
    </w:p>
    <w:p w14:paraId="65746F9F" w14:textId="77777777">
      <w:pPr>
        <w:pStyle w:val="Lista3"/>
      </w:pPr>
      <w:r>
        <w:t>if you deem that encoding ambivalence is essential</w:t>
      </w:r>
    </w:p>
    <w:p w14:paraId="3EEB191B" w14:textId="77777777">
      <w:pPr>
        <w:pStyle w:val="Lista4"/>
      </w:pPr>
      <w:r>
        <w:t>do so for the target graphemes concerned</w:t>
      </w:r>
    </w:p>
    <w:p w14:paraId="5C2EE6CA" w14:textId="77777777">
      <w:pPr>
        <w:pStyle w:val="Lista4"/>
      </w:pPr>
      <w:r>
        <w:t>add an unclear tag to the placeholder if the split-off component is affected</w:t>
      </w:r>
    </w:p>
    <w:p w14:paraId="0E58C640" w14:textId="77777777">
      <w:pPr>
        <w:pStyle w:val="Lista4"/>
      </w:pPr>
      <w:r>
        <w:t>do not include the placeholder in the markup for ambivalence, and do not include the interruption itself in any markup</w:t>
      </w:r>
    </w:p>
    <w:p w14:paraId="7EBA4A2E" w14:textId="77777777">
      <w:pPr>
        <w:pStyle w:val="Lista3"/>
      </w:pPr>
      <w:r>
        <w:t>for example:</w:t>
      </w:r>
    </w:p>
    <w:p w14:paraId="4BBCCB1C" w14:textId="77777777">
      <w:pPr>
        <w:pStyle w:val="Lista4"/>
      </w:pPr>
      <w:r>
        <w:rPr>
          <w:rStyle w:val="ForeignTamilScript"/>
          <w:cs/>
        </w:rPr>
        <w:t>கெ</w:t>
      </w:r>
      <w:r>
        <w:t>&lt;&gt;</w:t>
      </w:r>
      <w:r>
        <w:rPr>
          <w:rStyle w:val="ForeignTamilScript"/>
          <w:color w:val="808080" w:themeColor="background1" w:themeShade="80"/>
          <w:cs/>
        </w:rPr>
        <w:t xml:space="preserve"> ா</w:t>
      </w:r>
      <w:r>
        <w:rPr>
          <w:rStyle w:val="ForeignTamilScript"/>
          <w:cs/>
        </w:rPr>
        <w:t xml:space="preserve"> </w:t>
      </w:r>
      <w:r>
        <w:rPr>
          <w:rStyle w:val="ForeignTamilScript"/>
        </w:rPr>
        <w:t>(</w:t>
      </w:r>
      <w:r>
        <w:t xml:space="preserve">where the unclear element after the interruption may be the glyph </w:t>
      </w:r>
      <w:r>
        <w:rPr>
          <w:rStyle w:val="ForeignTamilScript"/>
          <w:cs/>
        </w:rPr>
        <w:t xml:space="preserve">ர </w:t>
      </w:r>
      <w:r>
        <w:rPr>
          <w:rStyle w:val="Foreign"/>
        </w:rPr>
        <w:t>ra</w:t>
      </w:r>
      <w:r>
        <w:t xml:space="preserve"> instead of the vowel marker </w:t>
      </w:r>
      <w:r>
        <w:rPr>
          <w:rStyle w:val="ForeignTamilScript"/>
          <w:cs/>
        </w:rPr>
        <w:t>ா</w:t>
      </w:r>
      <w:r>
        <w:t xml:space="preserve">) </w:t>
      </w:r>
      <w:r>
        <w:rPr>
          <w:rFonts w:cs="Gentium"/>
        </w:rPr>
        <w:t>→</w:t>
      </w:r>
    </w:p>
    <w:p w14:paraId="24C8C984" w14:textId="77777777">
      <w:pPr>
        <w:pStyle w:val="Lista5"/>
      </w:pPr>
      <w:r>
        <w:rPr>
          <w:rStyle w:val="Codetext"/>
        </w:rPr>
        <w:t>k</w:t>
      </w:r>
      <w:r>
        <w:rPr>
          <w:rStyle w:val="Code"/>
        </w:rPr>
        <w:t>&lt;choice&gt;&lt;unclear&gt;</w:t>
      </w:r>
      <w:r>
        <w:rPr>
          <w:rStyle w:val="Codetext"/>
        </w:rPr>
        <w:t>o</w:t>
      </w:r>
      <w:r>
        <w:rPr>
          <w:rStyle w:val="Code"/>
        </w:rPr>
        <w:t>&lt;/unclear&gt;&lt;unclear&gt;</w:t>
      </w:r>
      <w:r>
        <w:rPr>
          <w:rStyle w:val="Codetext"/>
        </w:rPr>
        <w:t>era</w:t>
      </w:r>
      <w:r>
        <w:rPr>
          <w:rStyle w:val="Code"/>
        </w:rPr>
        <w:t>&lt;/unclear&gt;&lt;/choice&gt;</w:t>
      </w:r>
      <w:r>
        <w:rPr>
          <w:rStyle w:val="Code"/>
        </w:rPr>
        <w:br/>
        <w:t>&lt;&gt;&lt;unclear&gt;</w:t>
      </w:r>
      <w:r>
        <w:rPr>
          <w:rStyle w:val="Codetext"/>
          <w:rFonts w:ascii="Cambria Math" w:hAnsi="Cambria Math" w:cs="Cambria Math"/>
        </w:rPr>
        <w:t>⌉</w:t>
      </w:r>
      <w:r>
        <w:rPr>
          <w:rStyle w:val="Code"/>
        </w:rPr>
        <w:t>&lt;/unclear&gt;</w:t>
      </w:r>
    </w:p>
    <w:p w14:paraId="45E78659" w14:textId="77777777">
      <w:pPr>
        <w:pStyle w:val="Lista5"/>
      </w:pPr>
      <w:r>
        <w:t xml:space="preserve">note that in this case the second option of the </w:t>
      </w:r>
      <w:r>
        <w:rPr>
          <w:rStyle w:val="Code"/>
        </w:rPr>
        <w:t>&lt;choice&gt;</w:t>
      </w:r>
      <w:r>
        <w:t xml:space="preserve"> element produces the text </w:t>
      </w:r>
      <w:r>
        <w:rPr>
          <w:noProof/>
        </w:rPr>
        <w:t>“</w:t>
      </w:r>
      <w:r>
        <w:rPr>
          <w:rStyle w:val="Foreign"/>
        </w:rPr>
        <w:t>kera</w:t>
      </w:r>
      <w:r>
        <w:t xml:space="preserve">&lt;&gt;⌉”, where the placeholder sign must be understood to mean that the entire preceding </w:t>
      </w:r>
      <w:r>
        <w:rPr>
          <w:rStyle w:val="Foreign"/>
        </w:rPr>
        <w:t>akṣara</w:t>
      </w:r>
      <w:r>
        <w:t xml:space="preserve"> </w:t>
      </w:r>
      <w:r>
        <w:rPr>
          <w:noProof/>
        </w:rPr>
        <w:t>(</w:t>
      </w:r>
      <w:r>
        <w:t xml:space="preserve">i.e. </w:t>
      </w:r>
      <w:r>
        <w:rPr>
          <w:rStyle w:val="Foreign"/>
        </w:rPr>
        <w:t>ra</w:t>
      </w:r>
      <w:r>
        <w:t>), rather than just one component of it, is located after the interruption</w:t>
      </w:r>
      <w:r>
        <w:rPr>
          <w:rStyle w:val="Lbjegyzet-hivatkozs"/>
        </w:rPr>
        <w:footnoteReference w:id="19"/>
      </w:r>
    </w:p>
    <w:p w14:paraId="5E19E36A" w14:textId="219A4D45">
      <w:pPr>
        <w:pStyle w:val="Lista2"/>
      </w:pPr>
      <w:r>
        <w:t xml:space="preserve">if an adjacent </w:t>
      </w:r>
      <w:r>
        <w:rPr>
          <w:b/>
          <w:bCs/>
        </w:rPr>
        <w:t>lacuna</w:t>
      </w:r>
      <w:r>
        <w:t xml:space="preserve"> has obliterated a split-off component which you </w:t>
      </w:r>
      <w:r>
        <w:rPr>
          <w:b/>
          <w:bCs/>
        </w:rPr>
        <w:t>supply</w:t>
      </w:r>
      <w:r>
        <w:t xml:space="preserve"> </w:t>
      </w:r>
      <w:r>
        <w:rPr>
          <w:noProof/>
        </w:rPr>
        <w:t>(</w:t>
      </w:r>
      <w:r>
        <w:t>§</w:t>
      </w:r>
      <w:r>
        <w:fldChar w:fldCharType="begin"/>
      </w:r>
      <w:r>
        <w:instrText xml:space="preserve"> REF _Ref228459751 \r \h </w:instrText>
      </w:r>
      <w:r>
        <w:fldChar w:fldCharType="separate"/>
      </w:r>
      <w:r>
        <w:t>6.4</w:t>
      </w:r>
      <w:r>
        <w:fldChar w:fldCharType="end"/>
      </w:r>
      <w:r>
        <w:t>)</w:t>
      </w:r>
    </w:p>
    <w:p w14:paraId="2236469B" w14:textId="77777777">
      <w:pPr>
        <w:pStyle w:val="Lista3"/>
      </w:pPr>
      <w:r>
        <w:t>mark up the affected vowel</w:t>
      </w:r>
    </w:p>
    <w:p w14:paraId="173F6DC5" w14:textId="77777777">
      <w:pPr>
        <w:pStyle w:val="Lista4"/>
      </w:pPr>
      <w:r>
        <w:t>as supplied if it consists only of the supplied split-off component</w:t>
      </w:r>
    </w:p>
    <w:p w14:paraId="7762E0A6" w14:textId="77777777">
      <w:pPr>
        <w:pStyle w:val="Lista4"/>
      </w:pPr>
      <w:r>
        <w:t xml:space="preserve">as unclear if it consists of an extant component </w:t>
      </w:r>
      <w:r>
        <w:rPr>
          <w:rStyle w:val="Foreign"/>
        </w:rPr>
        <w:t>and</w:t>
      </w:r>
      <w:r>
        <w:t xml:space="preserve"> a supplied split-off component</w:t>
      </w:r>
    </w:p>
    <w:p w14:paraId="27514874" w14:textId="77777777">
      <w:pPr>
        <w:pStyle w:val="Lista3"/>
      </w:pPr>
      <w:r>
        <w:t>mark up the placeholder as supplied</w:t>
      </w:r>
    </w:p>
    <w:p w14:paraId="74553F43" w14:textId="77777777">
      <w:pPr>
        <w:pStyle w:val="Lista3"/>
      </w:pPr>
      <w:r>
        <w:t>do not include the interruption itself in any markup</w:t>
      </w:r>
    </w:p>
    <w:p w14:paraId="0568E53B" w14:textId="77777777">
      <w:pPr>
        <w:pStyle w:val="Lista3"/>
      </w:pPr>
      <w:r>
        <w:t>for example</w:t>
      </w:r>
    </w:p>
    <w:p w14:paraId="242EAD86" w14:textId="77777777">
      <w:pPr>
        <w:pStyle w:val="Lista4"/>
      </w:pPr>
      <w:r>
        <w:rPr>
          <w:rStyle w:val="ForeignTamilScript"/>
          <w:cs/>
        </w:rPr>
        <w:t>கெ</w:t>
      </w:r>
      <w:r>
        <w:t>&lt;&gt;</w:t>
      </w:r>
      <w:r>
        <w:rPr>
          <w:rStyle w:val="ForeignTamilScript"/>
          <w:color w:val="808080" w:themeColor="background1" w:themeShade="80"/>
          <w:cs/>
        </w:rPr>
        <w:t xml:space="preserve"> ா</w:t>
      </w:r>
      <w:r>
        <w:rPr>
          <w:cs/>
        </w:rPr>
        <w:t xml:space="preserve"> </w:t>
      </w:r>
      <w:r>
        <w:t xml:space="preserve">(with grey text for the restored lacuna) </w:t>
      </w:r>
      <w:r>
        <w:rPr>
          <w:rFonts w:cs="Gentium"/>
        </w:rPr>
        <w:t>→</w:t>
      </w:r>
    </w:p>
    <w:p w14:paraId="2DC3C426" w14:textId="77777777">
      <w:pPr>
        <w:pStyle w:val="Lista5"/>
      </w:pPr>
      <w:r>
        <w:rPr>
          <w:rStyle w:val="Codetext"/>
        </w:rPr>
        <w:t>k</w:t>
      </w:r>
      <w:r>
        <w:rPr>
          <w:rStyle w:val="Code"/>
        </w:rPr>
        <w:t>&lt;unclear&gt;</w:t>
      </w:r>
      <w:r>
        <w:rPr>
          <w:rStyle w:val="Codetext"/>
        </w:rPr>
        <w:t>o</w:t>
      </w:r>
      <w:r>
        <w:rPr>
          <w:rStyle w:val="Code"/>
        </w:rPr>
        <w:t>&lt;/unclear&gt;</w:t>
      </w:r>
      <w:r>
        <w:rPr>
          <w:rStyle w:val="Code"/>
        </w:rPr>
        <w:br/>
        <w:t xml:space="preserve">&lt;&gt;&lt;supplied </w:t>
      </w:r>
      <w:r>
        <w:rPr>
          <w:rStyle w:val="Codeattribute"/>
        </w:rPr>
        <w:t>reason</w:t>
      </w:r>
      <w:r>
        <w:rPr>
          <w:rStyle w:val="Code"/>
        </w:rPr>
        <w:t>=</w:t>
      </w:r>
      <w:r>
        <w:rPr>
          <w:rStyle w:val="Codevalue"/>
        </w:rPr>
        <w:t>"lost"</w:t>
      </w:r>
      <w:r>
        <w:rPr>
          <w:rStyle w:val="Code"/>
        </w:rPr>
        <w:t>&gt;</w:t>
      </w:r>
      <w:r>
        <w:rPr>
          <w:rStyle w:val="Codetext"/>
          <w:rFonts w:ascii="Cambria Math" w:hAnsi="Cambria Math" w:cs="Cambria Math"/>
        </w:rPr>
        <w:t>⌉</w:t>
      </w:r>
      <w:r>
        <w:rPr>
          <w:rStyle w:val="Code"/>
        </w:rPr>
        <w:t>&lt;/supplied&gt;</w:t>
      </w:r>
    </w:p>
    <w:p w14:paraId="4A48B0CF" w14:textId="77777777">
      <w:pPr>
        <w:pStyle w:val="Lista4"/>
      </w:pPr>
      <w:r>
        <w:rPr>
          <w:rStyle w:val="ForeignTamilScript"/>
          <w:color w:val="808080" w:themeColor="background1" w:themeShade="80"/>
          <w:cs/>
        </w:rPr>
        <w:t>ெ</w:t>
      </w:r>
      <w:r>
        <w:t>&lt;&gt;</w:t>
      </w:r>
      <w:r>
        <w:rPr>
          <w:rStyle w:val="ForeignTamilScript"/>
          <w:cs/>
        </w:rPr>
        <w:t>க</w:t>
      </w:r>
      <w:r>
        <w:rPr>
          <w:cs/>
        </w:rPr>
        <w:t xml:space="preserve"> </w:t>
      </w:r>
      <w:r>
        <w:rPr>
          <w:rFonts w:cs="Gentium"/>
        </w:rPr>
        <w:t>→</w:t>
      </w:r>
    </w:p>
    <w:p w14:paraId="61B3C838" w14:textId="77777777">
      <w:pPr>
        <w:pStyle w:val="Lista5"/>
      </w:pPr>
      <w:r>
        <w:rPr>
          <w:rStyle w:val="Code"/>
        </w:rPr>
        <w:t xml:space="preserve">&lt;supplied </w:t>
      </w:r>
      <w:r>
        <w:rPr>
          <w:rStyle w:val="Codeattribute"/>
        </w:rPr>
        <w:t>reason</w:t>
      </w:r>
      <w:r>
        <w:rPr>
          <w:rStyle w:val="Code"/>
        </w:rPr>
        <w:t>=</w:t>
      </w:r>
      <w:r>
        <w:rPr>
          <w:rStyle w:val="Codevalue"/>
        </w:rPr>
        <w:t>"lost"</w:t>
      </w:r>
      <w:r>
        <w:rPr>
          <w:rStyle w:val="Code"/>
        </w:rPr>
        <w:t>&gt;</w:t>
      </w:r>
      <w:r>
        <w:rPr>
          <w:rStyle w:val="Codetext"/>
          <w:rFonts w:ascii="Cambria Math" w:hAnsi="Cambria Math" w:cs="Cambria Math"/>
        </w:rPr>
        <w:t>⌈</w:t>
      </w:r>
      <w:r>
        <w:rPr>
          <w:rStyle w:val="Code"/>
        </w:rPr>
        <w:t>&lt;/supplied&gt;</w:t>
      </w:r>
      <w:r>
        <w:rPr>
          <w:rStyle w:val="Code"/>
        </w:rPr>
        <w:br/>
        <w:t>&lt;&gt;</w:t>
      </w:r>
      <w:r>
        <w:rPr>
          <w:rStyle w:val="Codetext"/>
        </w:rPr>
        <w:t>k</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e</w:t>
      </w:r>
      <w:r>
        <w:rPr>
          <w:rStyle w:val="Code"/>
        </w:rPr>
        <w:t>&lt;/supplied&gt;</w:t>
      </w:r>
    </w:p>
    <w:p w14:paraId="4914F013" w14:textId="77777777">
      <w:pPr>
        <w:pStyle w:val="Lista2"/>
      </w:pPr>
      <w:r>
        <w:t xml:space="preserve">if an adjacent </w:t>
      </w:r>
      <w:r>
        <w:rPr>
          <w:b/>
          <w:bCs/>
        </w:rPr>
        <w:t>lacuna</w:t>
      </w:r>
      <w:r>
        <w:t xml:space="preserve"> may have obliterated a split-off component but you </w:t>
      </w:r>
      <w:r>
        <w:rPr>
          <w:b/>
          <w:bCs/>
        </w:rPr>
        <w:t xml:space="preserve">do not supply </w:t>
      </w:r>
      <w:r>
        <w:t>this even tentatively</w:t>
      </w:r>
    </w:p>
    <w:p w14:paraId="434AD9AD" w14:textId="77777777">
      <w:pPr>
        <w:pStyle w:val="Lista3"/>
      </w:pPr>
      <w:r>
        <w:t xml:space="preserve">simply mark up the </w:t>
      </w:r>
      <w:r>
        <w:rPr>
          <w:rStyle w:val="Foreign"/>
        </w:rPr>
        <w:t>extant</w:t>
      </w:r>
      <w:r>
        <w:t xml:space="preserve"> vowel component as unclear and leave it to the proficient reader to deduce the fact that an additional component may have been destroyed in the lacuna</w:t>
      </w:r>
    </w:p>
    <w:p w14:paraId="298D9458" w14:textId="77777777">
      <w:pPr>
        <w:pStyle w:val="Cmsor3"/>
      </w:pPr>
      <w:bookmarkStart w:id="390" w:name="_Ref226033790"/>
      <w:bookmarkStart w:id="391" w:name="_Toc243922642"/>
      <w:r>
        <w:lastRenderedPageBreak/>
        <w:t>Phonographic glyphs in a different function</w:t>
      </w:r>
      <w:bookmarkEnd w:id="390"/>
      <w:bookmarkEnd w:id="391"/>
    </w:p>
    <w:p w14:paraId="3780CD49" w14:textId="1F2F4F55">
      <w:pPr>
        <w:rPr>
          <w:lang w:eastAsia="en-US" w:bidi="ar-SA"/>
        </w:rPr>
      </w:pPr>
      <w:r>
        <w:rPr>
          <w:lang w:eastAsia="en-US" w:bidi="ar-SA"/>
        </w:rPr>
        <w:t xml:space="preserve">The glyphs that normally manifest phonographic graphemes or </w:t>
      </w:r>
      <w:r>
        <w:rPr>
          <w:rStyle w:val="Foreign"/>
        </w:rPr>
        <w:t>akṣara</w:t>
      </w:r>
      <w:r>
        <w:rPr>
          <w:noProof/>
          <w:lang w:eastAsia="en-US" w:bidi="ar-SA"/>
        </w:rPr>
        <w:t>s</w:t>
      </w:r>
      <w:r>
        <w:rPr>
          <w:lang w:eastAsia="en-US" w:bidi="ar-SA"/>
        </w:rPr>
        <w:t xml:space="preserve"> may occasionally be used in other graphemic functions. </w:t>
      </w:r>
      <w:r>
        <w:t xml:space="preserve">For example, the glyphs for |ka|, |kha| etc. may be used for numeration, while those for </w:t>
      </w:r>
      <w:r>
        <w:rPr>
          <w:rStyle w:val="ForeignIndic"/>
        </w:rPr>
        <w:t>|tha|</w:t>
      </w:r>
      <w:r>
        <w:t xml:space="preserve">, </w:t>
      </w:r>
      <w:r>
        <w:rPr>
          <w:rStyle w:val="ForeignIndic"/>
        </w:rPr>
        <w:t>|cha|</w:t>
      </w:r>
      <w:r>
        <w:t xml:space="preserve"> or </w:t>
      </w:r>
      <w:r>
        <w:rPr>
          <w:rStyle w:val="ForeignIndic"/>
        </w:rPr>
        <w:t>|chaḥ|</w:t>
      </w:r>
      <w:r>
        <w:t xml:space="preserve"> may be employed as closing symbols at the end of texts. In such cases, transliterate the glyph with the appropriate phonographic target graphemes</w:t>
      </w:r>
      <w:r>
        <w:rPr>
          <w:lang w:eastAsia="en-US" w:bidi="ar-SA"/>
        </w:rPr>
        <w:t>. However, as per TG §6.2, symbol glyphs whose shape is similar to a phonographic glyph but not identical to that glyph as attested or expected in the given writing system shall be treated as peripheral graphemes and encoded accordingly (§</w:t>
      </w:r>
      <w:r>
        <w:rPr>
          <w:lang w:eastAsia="en-US" w:bidi="ar-SA"/>
        </w:rPr>
        <w:fldChar w:fldCharType="begin"/>
      </w:r>
      <w:r>
        <w:rPr>
          <w:lang w:eastAsia="en-US" w:bidi="ar-SA"/>
        </w:rPr>
        <w:instrText xml:space="preserve"> REF _Ref226033363 \r \h </w:instrText>
      </w:r>
      <w:r>
        <w:rPr>
          <w:lang w:eastAsia="en-US" w:bidi="ar-SA"/>
        </w:rPr>
      </w:r>
      <w:r>
        <w:rPr>
          <w:lang w:eastAsia="en-US" w:bidi="ar-SA"/>
        </w:rPr>
        <w:fldChar w:fldCharType="separate"/>
      </w:r>
      <w:r>
        <w:rPr>
          <w:lang w:eastAsia="en-US" w:bidi="ar-SA"/>
        </w:rPr>
        <w:t>5.3</w:t>
      </w:r>
      <w:r>
        <w:rPr>
          <w:lang w:eastAsia="en-US" w:bidi="ar-SA"/>
        </w:rPr>
        <w:fldChar w:fldCharType="end"/>
      </w:r>
      <w:r>
        <w:rPr>
          <w:lang w:eastAsia="en-US" w:bidi="ar-SA"/>
        </w:rPr>
        <w:t>).</w:t>
      </w:r>
    </w:p>
    <w:p w14:paraId="635030C6" w14:textId="77777777">
      <w:pPr>
        <w:pStyle w:val="Cmsor2"/>
      </w:pPr>
      <w:bookmarkStart w:id="392" w:name="_f8rlfquf7u2o" w:colFirst="0" w:colLast="0"/>
      <w:bookmarkStart w:id="393" w:name="_Ref226015920"/>
      <w:bookmarkStart w:id="394" w:name="_Toc243922643"/>
      <w:bookmarkEnd w:id="392"/>
      <w:r>
        <w:t>Numeral signs</w:t>
      </w:r>
      <w:bookmarkEnd w:id="393"/>
      <w:bookmarkEnd w:id="394"/>
    </w:p>
    <w:p w14:paraId="166C122B" w14:textId="17476B04">
      <w:pPr>
        <w:rPr>
          <w:lang w:eastAsia="en-US" w:bidi="ar-SA"/>
        </w:rPr>
      </w:pPr>
      <w:r>
        <w:rPr>
          <w:lang w:eastAsia="en-US" w:bidi="ar-SA"/>
        </w:rPr>
        <w:t>As core graphemes of our transliteration system, numerals are rendered with Arabic numerals in transliteration, and this transliteration identifies the applicable source grapheme with sufficient accuracy. However, source numeral graphemes which are represented by something other than a single Arabic numeral require encoding as per §</w:t>
      </w:r>
      <w:r>
        <w:rPr>
          <w:lang w:eastAsia="en-US" w:bidi="ar-SA"/>
        </w:rPr>
        <w:fldChar w:fldCharType="begin"/>
      </w:r>
      <w:r>
        <w:rPr>
          <w:lang w:eastAsia="en-US" w:bidi="ar-SA"/>
        </w:rPr>
        <w:instrText xml:space="preserve"> REF _Ref225950738 \r \h </w:instrText>
      </w:r>
      <w:r>
        <w:rPr>
          <w:lang w:eastAsia="en-US" w:bidi="ar-SA"/>
        </w:rPr>
      </w:r>
      <w:r>
        <w:rPr>
          <w:lang w:eastAsia="en-US" w:bidi="ar-SA"/>
        </w:rPr>
        <w:fldChar w:fldCharType="separate"/>
      </w:r>
      <w:r>
        <w:rPr>
          <w:lang w:eastAsia="en-US" w:bidi="ar-SA"/>
        </w:rPr>
        <w:t>5.2.1</w:t>
      </w:r>
      <w:r>
        <w:rPr>
          <w:lang w:eastAsia="en-US" w:bidi="ar-SA"/>
        </w:rPr>
        <w:fldChar w:fldCharType="end"/>
      </w:r>
      <w:r>
        <w:rPr>
          <w:lang w:eastAsia="en-US" w:bidi="ar-SA"/>
        </w:rPr>
        <w:t xml:space="preserve"> when used in an XML context, in order to make it clear that a cluster of target graphemes represents a single numeral in the source. </w:t>
      </w:r>
    </w:p>
    <w:p w14:paraId="4B01C739" w14:textId="77777777">
      <w:pPr>
        <w:pStyle w:val="Lista"/>
      </w:pPr>
      <w:r>
        <w:t>in addition to the glyph encoding presented in this section, in DHARMA practice all numbers are also encoded for their semantic value</w:t>
      </w:r>
    </w:p>
    <w:p w14:paraId="1E44BA1D" w14:textId="3D4B278C">
      <w:pPr>
        <w:pStyle w:val="Lista2"/>
      </w:pPr>
      <w:r>
        <w:t>because value encoding can also apply to numbers represented in words, it is described in §</w:t>
      </w:r>
      <w:r>
        <w:fldChar w:fldCharType="begin"/>
      </w:r>
      <w:r>
        <w:instrText xml:space="preserve"> REF _Ref43980607 \r \h  \* MERGEFORMAT </w:instrText>
      </w:r>
      <w:r>
        <w:fldChar w:fldCharType="separate"/>
      </w:r>
      <w:r>
        <w:t>9.1</w:t>
      </w:r>
      <w:r>
        <w:fldChar w:fldCharType="end"/>
      </w:r>
      <w:r>
        <w:t xml:space="preserve"> under the generic section on encoding semantic information</w:t>
      </w:r>
    </w:p>
    <w:p w14:paraId="4DA4AD4C" w14:textId="3270F3C9">
      <w:pPr>
        <w:pStyle w:val="Lista"/>
      </w:pPr>
      <w:r>
        <w:t>occasionally, a glyph that normally represents a numeral is employed in a different function, which is to be handled according to §</w:t>
      </w:r>
      <w:r>
        <w:fldChar w:fldCharType="begin"/>
      </w:r>
      <w:r>
        <w:instrText xml:space="preserve"> REF _Ref226033797 \r \h </w:instrText>
      </w:r>
      <w:r>
        <w:fldChar w:fldCharType="separate"/>
      </w:r>
      <w:r>
        <w:t>5.2.3</w:t>
      </w:r>
      <w:r>
        <w:fldChar w:fldCharType="end"/>
      </w:r>
      <w:r>
        <w:t xml:space="preserve"> </w:t>
      </w:r>
    </w:p>
    <w:p w14:paraId="41991061" w14:textId="77777777">
      <w:pPr>
        <w:pStyle w:val="Cmsor3"/>
      </w:pPr>
      <w:bookmarkStart w:id="395" w:name="_Ref225950738"/>
      <w:bookmarkStart w:id="396" w:name="_Toc243922644"/>
      <w:r>
        <w:t>Glyph encoding for numerals</w:t>
      </w:r>
      <w:bookmarkEnd w:id="395"/>
      <w:bookmarkEnd w:id="396"/>
    </w:p>
    <w:p w14:paraId="281635ED" w14:textId="77777777">
      <w:pPr>
        <w:rPr>
          <w:lang w:eastAsia="en-US" w:bidi="ar-SA"/>
        </w:rPr>
      </w:pPr>
      <w:r>
        <w:t xml:space="preserve">We use the TEI element </w:t>
      </w:r>
      <w:r>
        <w:rPr>
          <w:rStyle w:val="Code"/>
        </w:rPr>
        <w:t>&lt;g&gt;</w:t>
      </w:r>
      <w:r>
        <w:t xml:space="preserve"> </w:t>
      </w:r>
      <w:r>
        <w:rPr>
          <w:noProof/>
        </w:rPr>
        <w:t>(</w:t>
      </w:r>
      <w:r>
        <w:t>for “glyph” or “gaiji”</w:t>
      </w:r>
      <w:r>
        <w:rPr>
          <w:rStyle w:val="Lbjegyzet-hivatkozs"/>
        </w:rPr>
        <w:footnoteReference w:id="20"/>
      </w:r>
      <w:r>
        <w:t>) in the encoding of all glyphs other than phonographic ones and decimal digits. The use of this element indicates that our set of target graphemes provides no direct equivalent to the original glyph, and that the contents of this element represent a single source grapheme.</w:t>
      </w:r>
    </w:p>
    <w:p w14:paraId="771F9305" w14:textId="77777777">
      <w:pPr>
        <w:pStyle w:val="Lista"/>
      </w:pPr>
      <w:r>
        <w:t xml:space="preserve">when a single source numeral glyph is represented in transliteration with anything other than a single Arabic numeral, wrap the transliterated grapheme(s) in </w:t>
      </w:r>
      <w:r>
        <w:rPr>
          <w:rStyle w:val="Code"/>
        </w:rPr>
        <w:t xml:space="preserve">&lt;g </w:t>
      </w:r>
      <w:r>
        <w:rPr>
          <w:rStyle w:val="Codeattribute"/>
        </w:rPr>
        <w:t>type</w:t>
      </w:r>
      <w:r>
        <w:rPr>
          <w:rStyle w:val="Code"/>
        </w:rPr>
        <w:t>=</w:t>
      </w:r>
      <w:r>
        <w:rPr>
          <w:rStyle w:val="Codevalue"/>
        </w:rPr>
        <w:t>"numeral"</w:t>
      </w:r>
      <w:r>
        <w:rPr>
          <w:rStyle w:val="Code"/>
        </w:rPr>
        <w:t>&gt;</w:t>
      </w:r>
    </w:p>
    <w:p w14:paraId="1158236D" w14:textId="77777777">
      <w:pPr>
        <w:pStyle w:val="Cmsor4"/>
      </w:pPr>
      <w:r>
        <w:t>No glyph encoding for digital numerals</w:t>
      </w:r>
    </w:p>
    <w:tbl>
      <w:tblPr>
        <w:tblStyle w:val="CodeSampleTable"/>
        <w:tblpPr w:leftFromText="180" w:rightFromText="180" w:vertAnchor="text" w:tblpXSpec="right" w:tblpY="1"/>
        <w:tblOverlap w:val="never"/>
        <w:tblW w:w="3686" w:type="dxa"/>
        <w:tblLook w:val="04A0" w:firstRow="1" w:lastRow="0" w:firstColumn="1" w:lastColumn="0" w:noHBand="0" w:noVBand="1"/>
      </w:tblPr>
      <w:tblGrid>
        <w:gridCol w:w="3686"/>
      </w:tblGrid>
      <w:tr w14:paraId="1163E5E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53C2C4" w14:textId="34736A40">
            <w:pPr>
              <w:pStyle w:val="Kpalrs"/>
            </w:pPr>
            <w:bookmarkStart w:id="397" w:name="_Ref225951763"/>
            <w:r>
              <w:t xml:space="preserve">Exhibit </w:t>
            </w:r>
            <w:fldSimple w:instr=" STYLEREF 2 \s ">
              <w:r>
                <w:rPr>
                  <w:noProof/>
                </w:rPr>
                <w:t>5.2</w:t>
              </w:r>
            </w:fldSimple>
            <w:r>
              <w:t>.</w:t>
            </w:r>
            <w:fldSimple w:instr=" SEQ Exhibit \* ALPHABETIC \s 2 ">
              <w:r>
                <w:rPr>
                  <w:noProof/>
                </w:rPr>
                <w:t>A</w:t>
              </w:r>
            </w:fldSimple>
            <w:bookmarkEnd w:id="397"/>
            <w:r>
              <w:t>: a digital numeral</w:t>
            </w:r>
          </w:p>
        </w:tc>
      </w:tr>
      <w:tr w14:paraId="6148DB03" w14:textId="77777777">
        <w:tc>
          <w:tcPr>
            <w:tcW w:w="0" w:type="auto"/>
          </w:tcPr>
          <w:p w14:paraId="40784701" w14:textId="77777777">
            <w:pPr>
              <w:pStyle w:val="Image"/>
            </w:pPr>
            <w:r>
              <w:drawing>
                <wp:inline distT="0" distB="0" distL="0" distR="0" wp14:anchorId="1ECF3722" wp14:editId="0E82C9AE">
                  <wp:extent cx="1796400" cy="720000"/>
                  <wp:effectExtent l="0" t="0" r="0" b="4445"/>
                  <wp:docPr id="924498984"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796400" cy="720000"/>
                          </a:xfrm>
                          <a:prstGeom prst="rect">
                            <a:avLst/>
                          </a:prstGeom>
                          <a:noFill/>
                          <a:ln>
                            <a:noFill/>
                          </a:ln>
                        </pic:spPr>
                      </pic:pic>
                    </a:graphicData>
                  </a:graphic>
                </wp:inline>
              </w:drawing>
            </w:r>
          </w:p>
        </w:tc>
      </w:tr>
      <w:tr w14:paraId="79D6C3A1" w14:textId="77777777">
        <w:tc>
          <w:tcPr>
            <w:tcW w:w="0" w:type="auto"/>
          </w:tcPr>
          <w:p w14:paraId="4306E046" w14:textId="77777777">
            <w:pPr>
              <w:pStyle w:val="CodeParagraph"/>
              <w:rPr>
                <w:rStyle w:val="Codetext"/>
                <w:rFonts w:ascii="Gentium" w:hAnsi="Gentium" w:cs="Tiro Devanagari Sanskrit"/>
                <w:noProof w:val="0"/>
                <w:color w:val="auto"/>
                <w:shd w:val="clear" w:color="auto" w:fill="auto"/>
              </w:rPr>
            </w:pPr>
            <w:r>
              <w:rPr>
                <w:rStyle w:val="Code"/>
              </w:rPr>
              <w:t xml:space="preserve">&lt;num </w:t>
            </w:r>
            <w:r>
              <w:rPr>
                <w:rStyle w:val="Codeattribute"/>
              </w:rPr>
              <w:t>value</w:t>
            </w:r>
            <w:r>
              <w:rPr>
                <w:rStyle w:val="Codetext"/>
              </w:rPr>
              <w:t>=</w:t>
            </w:r>
            <w:r>
              <w:rPr>
                <w:rStyle w:val="Codevalue"/>
              </w:rPr>
              <w:t>"1218"</w:t>
            </w:r>
            <w:r>
              <w:rPr>
                <w:rStyle w:val="Code"/>
              </w:rPr>
              <w:t>&gt;</w:t>
            </w:r>
            <w:r>
              <w:rPr>
                <w:rStyle w:val="Codetext"/>
              </w:rPr>
              <w:t>1218</w:t>
            </w:r>
            <w:r>
              <w:rPr>
                <w:rStyle w:val="Code"/>
              </w:rPr>
              <w:t>&lt;/num&gt;</w:t>
            </w:r>
          </w:p>
        </w:tc>
      </w:tr>
      <w:tr w14:paraId="609E4946" w14:textId="77777777">
        <w:tc>
          <w:tcPr>
            <w:tcW w:w="0" w:type="auto"/>
          </w:tcPr>
          <w:p w14:paraId="3F1BEE66" w14:textId="77777777">
            <w:pPr>
              <w:pStyle w:val="TableNote"/>
            </w:pPr>
            <w:r>
              <w:t>decimal digits need no glyph markup</w:t>
            </w:r>
          </w:p>
          <w:p w14:paraId="2D95A316" w14:textId="3CEF784B">
            <w:pPr>
              <w:pStyle w:val="TableNote"/>
              <w:rPr>
                <w:rStyle w:val="Codetext"/>
                <w:color w:val="002060"/>
              </w:rPr>
            </w:pPr>
            <w:r>
              <w:t>semantic markup added as per §</w:t>
            </w:r>
            <w:r>
              <w:fldChar w:fldCharType="begin"/>
            </w:r>
            <w:r>
              <w:instrText xml:space="preserve"> REF _Ref43980607 \r \h  \* MERGEFORMAT </w:instrText>
            </w:r>
            <w:r>
              <w:fldChar w:fldCharType="separate"/>
            </w:r>
            <w:r>
              <w:t>9.1</w:t>
            </w:r>
            <w:r>
              <w:fldChar w:fldCharType="end"/>
            </w:r>
          </w:p>
        </w:tc>
      </w:tr>
    </w:tbl>
    <w:p w14:paraId="336DEACE" w14:textId="77777777">
      <w:r>
        <w:t xml:space="preserve">Encoding with </w:t>
      </w:r>
      <w:r>
        <w:rPr>
          <w:rStyle w:val="Code"/>
        </w:rPr>
        <w:t>&lt;g&gt;</w:t>
      </w:r>
      <w:r>
        <w:t xml:space="preserve"> is not needed (and must not be added) to decimal digits, i.e. the integers 0 to 9 represented in the source by an individual grapheme.</w:t>
      </w:r>
    </w:p>
    <w:p w14:paraId="1AD5BBA7" w14:textId="77777777">
      <w:pPr>
        <w:pStyle w:val="Lista"/>
      </w:pPr>
      <w:r>
        <w:t>do not use glyph markup for</w:t>
      </w:r>
    </w:p>
    <w:p w14:paraId="148CAED7" w14:textId="2475A164">
      <w:pPr>
        <w:pStyle w:val="Lista2"/>
      </w:pPr>
      <w:r>
        <w:t xml:space="preserve">standalone digits, as the second 8 in </w:t>
      </w:r>
      <w:r>
        <w:fldChar w:fldCharType="begin"/>
      </w:r>
      <w:r>
        <w:instrText xml:space="preserve"> REF _Ref182560821 \h </w:instrText>
      </w:r>
      <w:r>
        <w:fldChar w:fldCharType="separate"/>
      </w:r>
      <w:r>
        <w:t xml:space="preserve">Exhibit </w:t>
      </w:r>
      <w:r>
        <w:rPr>
          <w:noProof/>
        </w:rPr>
        <w:t>9.1</w:t>
      </w:r>
      <w:r>
        <w:t>.</w:t>
      </w:r>
      <w:r>
        <w:rPr>
          <w:noProof/>
        </w:rPr>
        <w:t>A</w:t>
      </w:r>
      <w:r>
        <w:fldChar w:fldCharType="end"/>
      </w:r>
    </w:p>
    <w:p w14:paraId="741C3848" w14:textId="6CC061EE">
      <w:pPr>
        <w:pStyle w:val="Lista2"/>
      </w:pPr>
      <w:r>
        <w:t xml:space="preserve">digits conjoined additively to non-digital numeral signs, as the first 8 and the 5 in </w:t>
      </w:r>
      <w:r>
        <w:fldChar w:fldCharType="begin"/>
      </w:r>
      <w:r>
        <w:instrText xml:space="preserve"> REF _Ref182560821 \h </w:instrText>
      </w:r>
      <w:r>
        <w:fldChar w:fldCharType="separate"/>
      </w:r>
      <w:r>
        <w:t xml:space="preserve">Exhibit </w:t>
      </w:r>
      <w:r>
        <w:rPr>
          <w:noProof/>
        </w:rPr>
        <w:t>9.1</w:t>
      </w:r>
      <w:r>
        <w:t>.</w:t>
      </w:r>
      <w:r>
        <w:rPr>
          <w:noProof/>
        </w:rPr>
        <w:t>A</w:t>
      </w:r>
      <w:r>
        <w:fldChar w:fldCharType="end"/>
      </w:r>
    </w:p>
    <w:p w14:paraId="79A81B9D" w14:textId="25002EA6">
      <w:pPr>
        <w:pStyle w:val="Lista2"/>
      </w:pPr>
      <w:r>
        <w:t xml:space="preserve">multiple digits used in place-value notation for a larger number, as in </w:t>
      </w:r>
      <w:r>
        <w:fldChar w:fldCharType="begin"/>
      </w:r>
      <w:r>
        <w:instrText xml:space="preserve"> REF _Ref225951763 \h </w:instrText>
      </w:r>
      <w:r>
        <w:fldChar w:fldCharType="separate"/>
      </w:r>
      <w:r>
        <w:t xml:space="preserve">Exhibit </w:t>
      </w:r>
      <w:r>
        <w:rPr>
          <w:noProof/>
        </w:rPr>
        <w:t>5.2</w:t>
      </w:r>
      <w:r>
        <w:t>.</w:t>
      </w:r>
      <w:r>
        <w:rPr>
          <w:noProof/>
        </w:rPr>
        <w:t>A</w:t>
      </w:r>
      <w:r>
        <w:fldChar w:fldCharType="end"/>
      </w:r>
    </w:p>
    <w:p w14:paraId="413840CF" w14:textId="77777777">
      <w:pPr>
        <w:pStyle w:val="Cmsor4"/>
      </w:pPr>
      <w:r>
        <w:t>Encoding non-digital numerals</w:t>
      </w:r>
    </w:p>
    <w:p w14:paraId="261B18E5" w14:textId="1077A465">
      <w:r>
        <w:t xml:space="preserve">All non-digital numerals must be individually wrapped in </w:t>
      </w:r>
      <w:r>
        <w:rPr>
          <w:rStyle w:val="Code"/>
        </w:rPr>
        <w:t xml:space="preserve">&lt;g </w:t>
      </w:r>
      <w:r>
        <w:rPr>
          <w:rStyle w:val="Codeattribute"/>
        </w:rPr>
        <w:t>type</w:t>
      </w:r>
      <w:r>
        <w:rPr>
          <w:rStyle w:val="Code"/>
        </w:rPr>
        <w:t>=</w:t>
      </w:r>
      <w:r>
        <w:rPr>
          <w:rStyle w:val="Codevalue"/>
        </w:rPr>
        <w:t>"numeral"</w:t>
      </w:r>
      <w:r>
        <w:rPr>
          <w:rStyle w:val="Code"/>
        </w:rPr>
        <w:t>&gt;</w:t>
      </w:r>
      <w:r>
        <w:t>. This glyph markup disambiguates the transliteration from other meanings in which the same target graphemes might be used and, for clusters of target graphemes, clarifies the demarcation of the source grapheme. The semantic markup for number values (§</w:t>
      </w:r>
      <w:r>
        <w:fldChar w:fldCharType="begin"/>
      </w:r>
      <w:r>
        <w:instrText xml:space="preserve"> REF _Ref43980607 \r \h  \* MERGEFORMAT </w:instrText>
      </w:r>
      <w:r>
        <w:fldChar w:fldCharType="separate"/>
      </w:r>
      <w:r>
        <w:t>9.1</w:t>
      </w:r>
      <w:r>
        <w:fldChar w:fldCharType="end"/>
      </w:r>
      <w:r>
        <w:t>) clarifies the denoted number even when this is not self-evident from a series of glyphs. Non-digital numerals encountered in our practice are of the following kinds.</w:t>
      </w:r>
    </w:p>
    <w:p w14:paraId="7896DEE8" w14:textId="77777777">
      <w:pPr>
        <w:pStyle w:val="Lista"/>
      </w:pPr>
      <w:r>
        <w:t xml:space="preserve">numeral </w:t>
      </w:r>
      <w:r>
        <w:rPr>
          <w:b/>
          <w:bCs/>
        </w:rPr>
        <w:t>glyphs denoting</w:t>
      </w:r>
      <w:r>
        <w:t xml:space="preserve"> </w:t>
      </w:r>
      <w:r>
        <w:rPr>
          <w:b/>
          <w:bCs/>
        </w:rPr>
        <w:t>powers of 10</w:t>
      </w:r>
      <w:r>
        <w:t xml:space="preserve"> and their multiples, transliterated with multi-digit Arabic numerals as per TG §4.2.2</w:t>
      </w:r>
    </w:p>
    <w:p w14:paraId="4EF262B1" w14:textId="77777777">
      <w:pPr>
        <w:pStyle w:val="Lista2"/>
      </w:pPr>
      <w:r>
        <w:lastRenderedPageBreak/>
        <w:t>standing alone, e.g.</w:t>
      </w:r>
    </w:p>
    <w:p w14:paraId="43C0F63E" w14:textId="77777777">
      <w:pPr>
        <w:pStyle w:val="Lista3"/>
      </w:pPr>
      <w:r>
        <w:rPr>
          <w:rStyle w:val="ForeignBrahmiScript"/>
        </w:rPr>
        <w:t>𑁤𑁿𑁓</w:t>
      </w:r>
      <w:r>
        <w:t xml:space="preserve"> = |200| </w:t>
      </w:r>
      <w:r>
        <w:rPr>
          <w:rFonts w:cs="Gentium"/>
        </w:rPr>
        <w:t>→</w:t>
      </w:r>
      <w:r>
        <w:t xml:space="preserve">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200</w:t>
      </w:r>
      <w:r>
        <w:rPr>
          <w:rStyle w:val="Code"/>
        </w:rPr>
        <w:t>&lt;/g&gt;</w:t>
      </w:r>
      <w:r>
        <w:t xml:space="preserve"> </w:t>
      </w:r>
    </w:p>
    <w:p w14:paraId="5CB38F79" w14:textId="77777777">
      <w:pPr>
        <w:pStyle w:val="Lista2"/>
      </w:pPr>
      <w:r>
        <w:t>combined additively with other numeral glyphs, e.g.</w:t>
      </w:r>
    </w:p>
    <w:p w14:paraId="6F9404D3" w14:textId="77777777">
      <w:pPr>
        <w:pStyle w:val="Lista3"/>
      </w:pPr>
      <w:r>
        <w:rPr>
          <w:rFonts w:ascii="Segoe UI Historic" w:hAnsi="Segoe UI Historic" w:cs="Segoe UI Historic"/>
        </w:rPr>
        <w:t>𑁤𑁜𑁔</w:t>
      </w:r>
      <w:r>
        <w:t xml:space="preserve"> = |100| + |20| + |3| </w:t>
      </w:r>
      <w:r>
        <w:rPr>
          <w:rFonts w:cs="Gentium"/>
        </w:rPr>
        <w:t>→</w:t>
      </w:r>
      <w:r>
        <w:t xml:space="preserve">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100</w:t>
      </w:r>
      <w:r>
        <w:rPr>
          <w:rStyle w:val="Code"/>
        </w:rPr>
        <w:t>&lt;/g&gt;</w:t>
      </w:r>
      <w:r>
        <w:rPr>
          <w:rStyle w:val="Codetext"/>
        </w:rPr>
        <w:t xml:space="preserve">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20</w:t>
      </w:r>
      <w:r>
        <w:rPr>
          <w:rStyle w:val="Code"/>
        </w:rPr>
        <w:t>&lt;/g&gt;</w:t>
      </w:r>
      <w:r>
        <w:rPr>
          <w:rStyle w:val="Codetext"/>
        </w:rPr>
        <w:t xml:space="preserve"> 3</w:t>
      </w:r>
      <w:r>
        <w:t xml:space="preserve"> </w:t>
      </w:r>
    </w:p>
    <w:p w14:paraId="1C89F3C3" w14:textId="77777777">
      <w:pPr>
        <w:pStyle w:val="Lista4"/>
      </w:pPr>
      <w:r>
        <w:t xml:space="preserve">note that the transliterated 3 is not wrapped in </w:t>
      </w:r>
      <w:r>
        <w:rPr>
          <w:rStyle w:val="Code"/>
        </w:rPr>
        <w:t>&lt;g&gt;</w:t>
      </w:r>
      <w:r>
        <w:t>, because it is a single Arabic digit</w:t>
      </w:r>
    </w:p>
    <w:tbl>
      <w:tblPr>
        <w:tblStyle w:val="CodeSampleTable"/>
        <w:tblpPr w:leftFromText="180" w:rightFromText="180" w:vertAnchor="text" w:tblpXSpec="right" w:tblpY="1"/>
        <w:tblOverlap w:val="never"/>
        <w:tblW w:w="4253" w:type="dxa"/>
        <w:tblLook w:val="04A0" w:firstRow="1" w:lastRow="0" w:firstColumn="1" w:lastColumn="0" w:noHBand="0" w:noVBand="1"/>
      </w:tblPr>
      <w:tblGrid>
        <w:gridCol w:w="4253"/>
      </w:tblGrid>
      <w:tr w14:paraId="4268613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35942E6" w14:textId="5AE13548">
            <w:pPr>
              <w:pStyle w:val="Kpalrs"/>
              <w:keepLines/>
            </w:pPr>
            <w:bookmarkStart w:id="398" w:name="_Ref225952270"/>
            <w:r>
              <w:t xml:space="preserve">Exhibit </w:t>
            </w:r>
            <w:fldSimple w:instr=" STYLEREF 2 \s ">
              <w:r>
                <w:rPr>
                  <w:noProof/>
                </w:rPr>
                <w:t>5.2</w:t>
              </w:r>
            </w:fldSimple>
            <w:r>
              <w:t>.</w:t>
            </w:r>
            <w:fldSimple w:instr=" SEQ Exhibit \* ALPHABETIC \s 2 ">
              <w:r>
                <w:rPr>
                  <w:noProof/>
                </w:rPr>
                <w:t>B</w:t>
              </w:r>
            </w:fldSimple>
            <w:bookmarkEnd w:id="398"/>
            <w:r>
              <w:t>: multiplicative combination</w:t>
            </w:r>
          </w:p>
        </w:tc>
      </w:tr>
      <w:tr w14:paraId="0CCC6E1A" w14:textId="77777777">
        <w:tc>
          <w:tcPr>
            <w:tcW w:w="0" w:type="auto"/>
          </w:tcPr>
          <w:p w14:paraId="3965ADE1" w14:textId="77777777">
            <w:pPr>
              <w:pStyle w:val="Image"/>
            </w:pPr>
            <w:r>
              <w:drawing>
                <wp:inline distT="0" distB="0" distL="0" distR="0" wp14:anchorId="4A7FBFC6" wp14:editId="27E749FB">
                  <wp:extent cx="2685600" cy="540000"/>
                  <wp:effectExtent l="0" t="0" r="635" b="0"/>
                  <wp:docPr id="1219481461" name="Kép 121948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685600" cy="540000"/>
                          </a:xfrm>
                          <a:prstGeom prst="rect">
                            <a:avLst/>
                          </a:prstGeom>
                          <a:noFill/>
                          <a:ln>
                            <a:noFill/>
                          </a:ln>
                        </pic:spPr>
                      </pic:pic>
                    </a:graphicData>
                  </a:graphic>
                </wp:inline>
              </w:drawing>
            </w:r>
          </w:p>
        </w:tc>
      </w:tr>
    </w:tbl>
    <w:p w14:paraId="19A89B5D" w14:textId="33669FF2">
      <w:pPr>
        <w:pStyle w:val="Lista2"/>
      </w:pPr>
      <w:r>
        <w:t xml:space="preserve">combined multiplicatively (as well as additively) with other numeral glyphs, e.g. </w:t>
      </w:r>
      <w:r>
        <w:fldChar w:fldCharType="begin"/>
      </w:r>
      <w:r>
        <w:instrText xml:space="preserve"> REF _Ref225952270 \h </w:instrText>
      </w:r>
      <w:r>
        <w:fldChar w:fldCharType="separate"/>
      </w:r>
      <w:r>
        <w:t xml:space="preserve">Exhibit </w:t>
      </w:r>
      <w:r>
        <w:rPr>
          <w:noProof/>
        </w:rPr>
        <w:t>5.2</w:t>
      </w:r>
      <w:r>
        <w:t>.</w:t>
      </w:r>
      <w:r>
        <w:rPr>
          <w:noProof/>
        </w:rPr>
        <w:t>B</w:t>
      </w:r>
      <w:r>
        <w:fldChar w:fldCharType="end"/>
      </w:r>
    </w:p>
    <w:p w14:paraId="745CEFEF" w14:textId="77777777">
      <w:pPr>
        <w:pStyle w:val="Lista3"/>
      </w:pPr>
      <w:r>
        <w:t xml:space="preserve">|1000| × |8| + |100| × |3| + |10| </w:t>
      </w:r>
      <w:r>
        <w:rPr>
          <w:rFonts w:cs="Gentium"/>
        </w:rPr>
        <w:t>→</w:t>
      </w:r>
      <w:r>
        <w:t xml:space="preserve"> </w:t>
      </w:r>
      <w:r>
        <w:rPr>
          <w:rStyle w:val="Code"/>
        </w:rPr>
        <w:t xml:space="preserve">&lt;g </w:t>
      </w:r>
      <w:r>
        <w:rPr>
          <w:rStyle w:val="Codeattribute"/>
        </w:rPr>
        <w:t>type=</w:t>
      </w:r>
      <w:r>
        <w:rPr>
          <w:rStyle w:val="Codevalue"/>
        </w:rPr>
        <w:t>"numeral"</w:t>
      </w:r>
      <w:r>
        <w:rPr>
          <w:rStyle w:val="Code"/>
        </w:rPr>
        <w:t>&gt;</w:t>
      </w:r>
      <w:r>
        <w:rPr>
          <w:rStyle w:val="Codetext"/>
        </w:rPr>
        <w:t>1000</w:t>
      </w:r>
      <w:r>
        <w:rPr>
          <w:rStyle w:val="Code"/>
        </w:rPr>
        <w:t>&lt;/g&gt;</w:t>
      </w:r>
      <w:r>
        <w:rPr>
          <w:rStyle w:val="Codetext"/>
        </w:rPr>
        <w:t xml:space="preserve"> 8 </w:t>
      </w:r>
      <w:r>
        <w:rPr>
          <w:rStyle w:val="Code"/>
        </w:rPr>
        <w:t xml:space="preserve">&lt;g </w:t>
      </w:r>
      <w:r>
        <w:rPr>
          <w:rStyle w:val="Codeattribute"/>
        </w:rPr>
        <w:t>type=</w:t>
      </w:r>
      <w:r>
        <w:rPr>
          <w:rStyle w:val="Codevalue"/>
        </w:rPr>
        <w:t>"numeral"</w:t>
      </w:r>
      <w:r>
        <w:rPr>
          <w:rStyle w:val="Code"/>
        </w:rPr>
        <w:t>&gt;</w:t>
      </w:r>
      <w:r>
        <w:rPr>
          <w:rStyle w:val="Codetext"/>
        </w:rPr>
        <w:t>100</w:t>
      </w:r>
      <w:r>
        <w:rPr>
          <w:rStyle w:val="Code"/>
        </w:rPr>
        <w:t>&lt;/g&gt;</w:t>
      </w:r>
      <w:r>
        <w:rPr>
          <w:rStyle w:val="Codetext"/>
        </w:rPr>
        <w:t xml:space="preserve"> 3 </w:t>
      </w:r>
      <w:r>
        <w:rPr>
          <w:rStyle w:val="Code"/>
        </w:rPr>
        <w:t xml:space="preserve">&lt;g </w:t>
      </w:r>
      <w:r>
        <w:rPr>
          <w:rStyle w:val="Codeattribute"/>
        </w:rPr>
        <w:t>type=</w:t>
      </w:r>
      <w:r>
        <w:rPr>
          <w:rStyle w:val="Codevalue"/>
        </w:rPr>
        <w:t>"numeral"</w:t>
      </w:r>
      <w:r>
        <w:rPr>
          <w:rStyle w:val="Code"/>
        </w:rPr>
        <w:t>&gt;</w:t>
      </w:r>
      <w:r>
        <w:rPr>
          <w:rStyle w:val="Codetext"/>
        </w:rPr>
        <w:t>10</w:t>
      </w:r>
      <w:r>
        <w:rPr>
          <w:rStyle w:val="Code"/>
        </w:rPr>
        <w:t>&lt;/g&gt;</w:t>
      </w:r>
      <w:r>
        <w:t xml:space="preserve"> </w:t>
      </w:r>
    </w:p>
    <w:p w14:paraId="2C6DAA06" w14:textId="77777777">
      <w:pPr>
        <w:pStyle w:val="Lista4"/>
      </w:pPr>
      <w:r>
        <w:t xml:space="preserve">8 and 3 are not wrapped in </w:t>
      </w:r>
      <w:r>
        <w:rPr>
          <w:rStyle w:val="Code"/>
        </w:rPr>
        <w:t>&lt;g&gt;</w:t>
      </w:r>
      <w:r>
        <w:t>, because they are single Arabic digits</w:t>
      </w:r>
    </w:p>
    <w:p w14:paraId="062067F3" w14:textId="77777777">
      <w:pPr>
        <w:pStyle w:val="Lista2"/>
      </w:pPr>
      <w:r>
        <w:rPr>
          <w:b/>
          <w:bCs/>
        </w:rPr>
        <w:t>vertical bars denoting |1|</w:t>
      </w:r>
      <w:r>
        <w:t xml:space="preserve"> in Cambodian inscriptions, transliterated with I (uppercase </w:t>
      </w:r>
      <w:r>
        <w:rPr>
          <w:noProof/>
        </w:rPr>
        <w:t>i</w:t>
      </w:r>
      <w:r>
        <w:t>) as per TG §4.2.3</w:t>
      </w:r>
    </w:p>
    <w:p w14:paraId="2440787F" w14:textId="77777777">
      <w:pPr>
        <w:pStyle w:val="Lista3"/>
      </w:pPr>
      <w:r>
        <w:t xml:space="preserve">used singly, e.g.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I</w:t>
      </w:r>
      <w:r>
        <w:rPr>
          <w:rStyle w:val="Code"/>
        </w:rPr>
        <w:t>&lt;/g&gt;</w:t>
      </w:r>
      <w:r>
        <w:t xml:space="preserve"> </w:t>
      </w:r>
    </w:p>
    <w:p w14:paraId="585B61D9" w14:textId="77777777">
      <w:pPr>
        <w:pStyle w:val="Lista3"/>
      </w:pPr>
      <w:r>
        <w:t xml:space="preserve">or in groups, e.g.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III</w:t>
      </w:r>
      <w:r>
        <w:rPr>
          <w:rStyle w:val="Code"/>
        </w:rPr>
        <w:t>&lt;/g&gt;</w:t>
      </w:r>
    </w:p>
    <w:p w14:paraId="44C5A723" w14:textId="77777777">
      <w:pPr>
        <w:pStyle w:val="Lista2"/>
      </w:pPr>
      <w:r>
        <w:rPr>
          <w:b/>
          <w:bCs/>
        </w:rPr>
        <w:t>glyphs</w:t>
      </w:r>
      <w:r>
        <w:t xml:space="preserve"> </w:t>
      </w:r>
      <w:r>
        <w:rPr>
          <w:b/>
          <w:bCs/>
        </w:rPr>
        <w:t>denoting fractions</w:t>
      </w:r>
      <w:r>
        <w:t>, transliterated as per TG §4.2.3 with common fractions (involving a slash)</w:t>
      </w:r>
    </w:p>
    <w:p w14:paraId="6DA9B35E" w14:textId="77777777">
      <w:pPr>
        <w:pStyle w:val="Lista3"/>
      </w:pPr>
      <w:r>
        <w:t xml:space="preserve">e.g. a source glyph meaning “one eighth” </w:t>
      </w:r>
      <w:r>
        <w:rPr>
          <w:rFonts w:cs="Gentium"/>
        </w:rPr>
        <w:t>→</w:t>
      </w:r>
      <w:r>
        <w:t xml:space="preserve">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1/8</w:t>
      </w:r>
      <w:r>
        <w:rPr>
          <w:rStyle w:val="Code"/>
        </w:rPr>
        <w:t>&lt;/g&gt;</w:t>
      </w:r>
      <w:r>
        <w:t xml:space="preserve"> </w:t>
      </w:r>
    </w:p>
    <w:p w14:paraId="22530C32" w14:textId="77777777">
      <w:pPr>
        <w:pStyle w:val="Cmsor3"/>
      </w:pPr>
      <w:bookmarkStart w:id="399" w:name="_Toc243922645"/>
      <w:r>
        <w:t>Numeral signs and their context</w:t>
      </w:r>
      <w:bookmarkEnd w:id="399"/>
    </w:p>
    <w:p w14:paraId="67079521" w14:textId="77777777">
      <w:pPr>
        <w:pStyle w:val="Lista"/>
      </w:pPr>
      <w:r>
        <w:t xml:space="preserve">use spaces around transliterated numerals as instructed in TG §7.3.4.2, i.e. essentially: </w:t>
      </w:r>
    </w:p>
    <w:p w14:paraId="28F11152" w14:textId="77777777">
      <w:pPr>
        <w:pStyle w:val="Lista2"/>
      </w:pPr>
      <w:r>
        <w:t xml:space="preserve">add spaces to separate the transliterated (and, if applicable, encoded) representation of any and all numerals from any and all adjacent graphemes except: </w:t>
      </w:r>
    </w:p>
    <w:p w14:paraId="433233B5" w14:textId="77777777">
      <w:pPr>
        <w:pStyle w:val="Lista3"/>
      </w:pPr>
      <w:r>
        <w:t>use no spaces between numerals used together in place-value notation</w:t>
      </w:r>
    </w:p>
    <w:p w14:paraId="77F67414" w14:textId="77777777">
      <w:pPr>
        <w:pStyle w:val="Lista3"/>
      </w:pPr>
      <w:r>
        <w:t>use no spaces around a numeral sign that interrupts a word</w:t>
      </w:r>
    </w:p>
    <w:p w14:paraId="44D00E7D" w14:textId="77777777">
      <w:pPr>
        <w:pStyle w:val="Cmsor3"/>
      </w:pPr>
      <w:bookmarkStart w:id="400" w:name="_Ref226033797"/>
      <w:bookmarkStart w:id="401" w:name="_Toc243922646"/>
      <w:r>
        <w:t>Numeral glyphs in a non-numeral function</w:t>
      </w:r>
      <w:bookmarkEnd w:id="400"/>
      <w:bookmarkEnd w:id="401"/>
    </w:p>
    <w:p w14:paraId="7CC8A88C" w14:textId="02FDC38D">
      <w:pPr>
        <w:rPr>
          <w:lang w:eastAsia="en-US" w:bidi="ar-SA"/>
        </w:rPr>
      </w:pPr>
      <w:r>
        <w:rPr>
          <w:lang w:eastAsia="en-US" w:bidi="ar-SA"/>
        </w:rPr>
        <w:t>The glyphs that normally manifest numeral graphemes may occasionally be used in other graphemic functions, which shall be treated as follows. The semantic tags for numbers introduced in §</w:t>
      </w:r>
      <w:r>
        <w:rPr>
          <w:lang w:eastAsia="en-US" w:bidi="ar-SA"/>
        </w:rPr>
        <w:fldChar w:fldCharType="begin"/>
      </w:r>
      <w:r>
        <w:rPr>
          <w:lang w:eastAsia="en-US" w:bidi="ar-SA"/>
        </w:rPr>
        <w:instrText xml:space="preserve"> REF _Ref231894384 \r \h </w:instrText>
      </w:r>
      <w:r>
        <w:rPr>
          <w:lang w:eastAsia="en-US" w:bidi="ar-SA"/>
        </w:rPr>
      </w:r>
      <w:r>
        <w:rPr>
          <w:lang w:eastAsia="en-US" w:bidi="ar-SA"/>
        </w:rPr>
        <w:fldChar w:fldCharType="separate"/>
      </w:r>
      <w:r>
        <w:rPr>
          <w:lang w:eastAsia="en-US" w:bidi="ar-SA"/>
        </w:rPr>
        <w:t>9.1</w:t>
      </w:r>
      <w:r>
        <w:rPr>
          <w:lang w:eastAsia="en-US" w:bidi="ar-SA"/>
        </w:rPr>
        <w:fldChar w:fldCharType="end"/>
      </w:r>
      <w:r>
        <w:rPr>
          <w:lang w:eastAsia="en-US" w:bidi="ar-SA"/>
        </w:rPr>
        <w:t xml:space="preserve"> are not applicable in any of these cases.</w:t>
      </w:r>
    </w:p>
    <w:p w14:paraId="38F70C94" w14:textId="2D2A0329">
      <w:pPr>
        <w:pStyle w:val="Lista"/>
        <w:rPr>
          <w:lang w:eastAsia="en-US" w:bidi="ar-SA"/>
        </w:rPr>
      </w:pPr>
      <w:r>
        <w:rPr>
          <w:lang w:eastAsia="en-US" w:bidi="ar-SA"/>
        </w:rPr>
        <w:t>as per TG §6.2, symbol glyphs whose shape is similar to (and/or derived from) a numeral glyph but not identical to the regular numeral attested or expected in the given writing system shall be treated as peripheral graphemes and encoded accordingly (§</w:t>
      </w:r>
      <w:r>
        <w:rPr>
          <w:lang w:eastAsia="en-US" w:bidi="ar-SA"/>
        </w:rPr>
        <w:fldChar w:fldCharType="begin"/>
      </w:r>
      <w:r>
        <w:rPr>
          <w:lang w:eastAsia="en-US" w:bidi="ar-SA"/>
        </w:rPr>
        <w:instrText xml:space="preserve"> REF _Ref226033363 \r \h </w:instrText>
      </w:r>
      <w:r>
        <w:rPr>
          <w:lang w:eastAsia="en-US" w:bidi="ar-SA"/>
        </w:rPr>
      </w:r>
      <w:r>
        <w:rPr>
          <w:lang w:eastAsia="en-US" w:bidi="ar-SA"/>
        </w:rPr>
        <w:fldChar w:fldCharType="separate"/>
      </w:r>
      <w:r>
        <w:rPr>
          <w:lang w:eastAsia="en-US" w:bidi="ar-SA"/>
        </w:rPr>
        <w:t>5.3</w:t>
      </w:r>
      <w:r>
        <w:rPr>
          <w:lang w:eastAsia="en-US" w:bidi="ar-SA"/>
        </w:rPr>
        <w:fldChar w:fldCharType="end"/>
      </w:r>
      <w:r>
        <w:rPr>
          <w:lang w:eastAsia="en-US" w:bidi="ar-SA"/>
        </w:rPr>
        <w:t>)</w:t>
      </w:r>
    </w:p>
    <w:p w14:paraId="78AA5E35" w14:textId="77777777">
      <w:pPr>
        <w:pStyle w:val="Lista"/>
        <w:rPr>
          <w:lang w:eastAsia="en-US" w:bidi="ar-SA"/>
        </w:rPr>
      </w:pPr>
      <w:r>
        <w:rPr>
          <w:lang w:eastAsia="en-US" w:bidi="ar-SA"/>
        </w:rPr>
        <w:t>regular numeral glyphs used for functions other than to represent numbers shall be transliterated as numbers, including the following</w:t>
      </w:r>
    </w:p>
    <w:p w14:paraId="3AED0C4B" w14:textId="77777777">
      <w:pPr>
        <w:pStyle w:val="Lista2"/>
        <w:rPr>
          <w:lang w:eastAsia="en-US" w:bidi="ar-SA"/>
        </w:rPr>
      </w:pPr>
      <w:r>
        <w:rPr>
          <w:lang w:eastAsia="en-US" w:bidi="ar-SA"/>
        </w:rPr>
        <w:t>symbolic use: if a regular numeral sign (rather than a shape derived from one) is used as a symbol</w:t>
      </w:r>
    </w:p>
    <w:p w14:paraId="32FD6899" w14:textId="77777777">
      <w:pPr>
        <w:pStyle w:val="Lista3"/>
        <w:rPr>
          <w:lang w:eastAsia="en-US" w:bidi="ar-SA"/>
        </w:rPr>
      </w:pPr>
      <w:r>
        <w:rPr>
          <w:lang w:eastAsia="en-US" w:bidi="ar-SA"/>
        </w:rPr>
        <w:t>such as the glyph |1| used as an auspicious opening symbol</w:t>
      </w:r>
    </w:p>
    <w:p w14:paraId="3EA276C5" w14:textId="77777777">
      <w:pPr>
        <w:pStyle w:val="Lista2"/>
        <w:rPr>
          <w:lang w:eastAsia="en-US" w:bidi="ar-SA"/>
        </w:rPr>
      </w:pPr>
      <w:r>
        <w:rPr>
          <w:lang w:eastAsia="en-US" w:bidi="ar-SA"/>
        </w:rPr>
        <w:t>phonographic use: if a numeral sign represents a phonographic value</w:t>
      </w:r>
    </w:p>
    <w:p w14:paraId="79B33E74" w14:textId="77777777">
      <w:pPr>
        <w:pStyle w:val="Lista3"/>
        <w:rPr>
          <w:lang w:eastAsia="en-US" w:bidi="ar-SA"/>
        </w:rPr>
      </w:pPr>
      <w:r>
        <w:rPr>
          <w:lang w:eastAsia="en-US" w:bidi="ar-SA"/>
        </w:rPr>
        <w:t xml:space="preserve">such as the </w:t>
      </w:r>
      <w:r>
        <w:t xml:space="preserve">glyph |2| used in Old Sundanese to represent the phonemes </w:t>
      </w:r>
      <w:r>
        <w:rPr>
          <w:rStyle w:val="Foreign"/>
        </w:rPr>
        <w:t>/ro/</w:t>
      </w:r>
      <w:r>
        <w:t>)</w:t>
      </w:r>
    </w:p>
    <w:p w14:paraId="6C6FCEA4" w14:textId="77777777">
      <w:pPr>
        <w:pStyle w:val="Lista2"/>
        <w:rPr>
          <w:lang w:eastAsia="en-US" w:bidi="ar-SA"/>
        </w:rPr>
      </w:pPr>
      <w:r>
        <w:t>“metalinguistic” use: numeral signs signifying vowel length, accent type or word repetition</w:t>
      </w:r>
    </w:p>
    <w:p w14:paraId="18575601" w14:textId="77777777">
      <w:pPr>
        <w:pStyle w:val="Lista"/>
        <w:rPr>
          <w:lang w:eastAsia="en-US" w:bidi="ar-SA"/>
        </w:rPr>
      </w:pPr>
      <w:r>
        <w:rPr>
          <w:lang w:eastAsia="en-US" w:bidi="ar-SA"/>
        </w:rPr>
        <w:t>when in doubt, rely on the following rules of thumb</w:t>
      </w:r>
    </w:p>
    <w:p w14:paraId="698B118B" w14:textId="77777777">
      <w:pPr>
        <w:pStyle w:val="Lista2"/>
        <w:rPr>
          <w:lang w:eastAsia="en-US" w:bidi="ar-SA"/>
        </w:rPr>
      </w:pPr>
      <w:r>
        <w:rPr>
          <w:lang w:eastAsia="en-US" w:bidi="ar-SA"/>
        </w:rPr>
        <w:t>transliterate numeral signs as numbers unless both of the following conditions are met:</w:t>
      </w:r>
    </w:p>
    <w:p w14:paraId="172CEFA5" w14:textId="77777777">
      <w:pPr>
        <w:pStyle w:val="Lista3"/>
        <w:rPr>
          <w:lang w:eastAsia="en-US" w:bidi="ar-SA"/>
        </w:rPr>
      </w:pPr>
      <w:r>
        <w:rPr>
          <w:lang w:eastAsia="en-US" w:bidi="ar-SA"/>
        </w:rPr>
        <w:t>their graphetic shape is clearly different from the regular sign for the same number found or expected in the document</w:t>
      </w:r>
    </w:p>
    <w:p w14:paraId="31F240DE" w14:textId="77777777">
      <w:pPr>
        <w:pStyle w:val="Lista3"/>
        <w:rPr>
          <w:lang w:eastAsia="en-US" w:bidi="ar-SA"/>
        </w:rPr>
      </w:pPr>
      <w:r>
        <w:rPr>
          <w:lang w:eastAsia="en-US" w:bidi="ar-SA"/>
        </w:rPr>
        <w:t>and you are confident that they do not represent a number in their semantic context</w:t>
      </w:r>
    </w:p>
    <w:p w14:paraId="35AF59C5" w14:textId="79F97ED6">
      <w:pPr>
        <w:pStyle w:val="Lista2"/>
        <w:rPr>
          <w:lang w:eastAsia="en-US" w:bidi="ar-SA"/>
        </w:rPr>
      </w:pPr>
      <w:r>
        <w:rPr>
          <w:lang w:eastAsia="en-US" w:bidi="ar-SA"/>
        </w:rPr>
        <w:t>add the semantic encoding for numbers (§</w:t>
      </w:r>
      <w:r>
        <w:rPr>
          <w:lang w:eastAsia="en-US" w:bidi="ar-SA"/>
        </w:rPr>
        <w:fldChar w:fldCharType="begin"/>
      </w:r>
      <w:r>
        <w:rPr>
          <w:lang w:eastAsia="en-US" w:bidi="ar-SA"/>
        </w:rPr>
        <w:instrText xml:space="preserve"> REF _Ref43980607 \r \h </w:instrText>
      </w:r>
      <w:r>
        <w:rPr>
          <w:lang w:eastAsia="en-US" w:bidi="ar-SA"/>
        </w:rPr>
      </w:r>
      <w:r>
        <w:rPr>
          <w:lang w:eastAsia="en-US" w:bidi="ar-SA"/>
        </w:rPr>
        <w:fldChar w:fldCharType="separate"/>
      </w:r>
      <w:r>
        <w:rPr>
          <w:lang w:eastAsia="en-US" w:bidi="ar-SA"/>
        </w:rPr>
        <w:t>9.1</w:t>
      </w:r>
      <w:r>
        <w:rPr>
          <w:lang w:eastAsia="en-US" w:bidi="ar-SA"/>
        </w:rPr>
        <w:fldChar w:fldCharType="end"/>
      </w:r>
      <w:r>
        <w:rPr>
          <w:lang w:eastAsia="en-US" w:bidi="ar-SA"/>
        </w:rPr>
        <w:t>) only for signs that represent a number which is part of the document’s content</w:t>
      </w:r>
    </w:p>
    <w:p w14:paraId="23139B3B" w14:textId="77777777">
      <w:pPr>
        <w:pStyle w:val="Lista3"/>
        <w:rPr>
          <w:lang w:eastAsia="en-US" w:bidi="ar-SA"/>
        </w:rPr>
      </w:pPr>
      <w:r>
        <w:rPr>
          <w:lang w:eastAsia="en-US" w:bidi="ar-SA"/>
        </w:rPr>
        <w:t>imagine the document being read out loud by a contemporary reader: if they would read a number, then number encoding is applicable</w:t>
      </w:r>
    </w:p>
    <w:p w14:paraId="4236F6E8" w14:textId="77777777">
      <w:pPr>
        <w:pStyle w:val="Cmsor2"/>
      </w:pPr>
      <w:bookmarkStart w:id="402" w:name="_Ref226033363"/>
      <w:bookmarkStart w:id="403" w:name="_Toc243922647"/>
      <w:r>
        <w:lastRenderedPageBreak/>
        <w:t>Peripheral graphemes</w:t>
      </w:r>
      <w:bookmarkEnd w:id="402"/>
      <w:bookmarkEnd w:id="403"/>
    </w:p>
    <w:p w14:paraId="51AAFF44" w14:textId="77777777">
      <w:pPr>
        <w:pStyle w:val="Cmsor3"/>
      </w:pPr>
      <w:bookmarkStart w:id="404" w:name="_4mw6s39lu6fq" w:colFirst="0" w:colLast="0"/>
      <w:bookmarkStart w:id="405" w:name="_Toc243922648"/>
      <w:bookmarkEnd w:id="404"/>
      <w:r>
        <w:t>Representing peripheral graphemes in a digital edition</w:t>
      </w:r>
      <w:bookmarkEnd w:id="405"/>
    </w:p>
    <w:p w14:paraId="280FBD81" w14:textId="2350D8A0">
      <w:r>
        <w:rPr>
          <w:lang w:eastAsia="en-US" w:bidi="ar-SA"/>
        </w:rPr>
        <w:t xml:space="preserve">Peripheral graphemes, informally also called </w:t>
      </w:r>
      <w:r>
        <w:rPr>
          <w:i/>
          <w:iCs/>
          <w:lang w:eastAsia="en-US" w:bidi="ar-SA"/>
        </w:rPr>
        <w:t>symbols</w:t>
      </w:r>
      <w:r>
        <w:rPr>
          <w:lang w:eastAsia="en-US" w:bidi="ar-SA"/>
        </w:rPr>
        <w:t>, are graphemes which we represent in transliteration by means of a placeholder grapheme dedicated to one of the basic functional classes, namely ideograms, punctuation marks, connectors and abstract symbols as defined in TG §5 and §</w:t>
      </w:r>
      <w:r>
        <w:rPr>
          <w:lang w:eastAsia="en-US" w:bidi="ar-SA"/>
        </w:rPr>
        <w:fldChar w:fldCharType="begin"/>
      </w:r>
      <w:r>
        <w:rPr>
          <w:lang w:eastAsia="en-US" w:bidi="ar-SA"/>
        </w:rPr>
        <w:instrText xml:space="preserve"> REF _Ref226023506 \r \h </w:instrText>
      </w:r>
      <w:r>
        <w:rPr>
          <w:lang w:eastAsia="en-US" w:bidi="ar-SA"/>
        </w:rPr>
      </w:r>
      <w:r>
        <w:rPr>
          <w:lang w:eastAsia="en-US" w:bidi="ar-SA"/>
        </w:rPr>
        <w:fldChar w:fldCharType="separate"/>
      </w:r>
      <w:r>
        <w:rPr>
          <w:lang w:eastAsia="en-US" w:bidi="ar-SA"/>
        </w:rPr>
        <w:t>5.3.2</w:t>
      </w:r>
      <w:r>
        <w:rPr>
          <w:lang w:eastAsia="en-US" w:bidi="ar-SA"/>
        </w:rPr>
        <w:fldChar w:fldCharType="end"/>
      </w:r>
      <w:r>
        <w:rPr>
          <w:lang w:eastAsia="en-US" w:bidi="ar-SA"/>
        </w:rPr>
        <w:t xml:space="preserve"> below.</w:t>
      </w:r>
      <w:r>
        <w:rPr>
          <w:rStyle w:val="Lbjegyzet-hivatkozs"/>
          <w:lang w:eastAsia="en-US" w:bidi="ar-SA"/>
        </w:rPr>
        <w:footnoteReference w:id="21"/>
      </w:r>
    </w:p>
    <w:p w14:paraId="4F8E88B9" w14:textId="5A637CDA">
      <w:pPr>
        <w:pStyle w:val="Normlbehzs"/>
      </w:pPr>
      <w:r>
        <w:t xml:space="preserve">Since the glyph shapes of peripheral graphemes only rarely show a consistent correlation with their graphemic functions across the corpora of texts we deal with, our encoding conveys information separately about the physical appearance of the glyph where applicable, and about the editor’s interpretation of its function where applicable. Specifically, at the level of transliteration we use </w:t>
      </w:r>
      <w:r>
        <w:rPr>
          <w:lang w:eastAsia="en-US" w:bidi="ar-SA"/>
        </w:rPr>
        <w:t>a narrow range of default placeholders (§</w:t>
      </w:r>
      <w:r>
        <w:rPr>
          <w:lang w:eastAsia="en-US" w:bidi="ar-SA"/>
        </w:rPr>
        <w:fldChar w:fldCharType="begin"/>
      </w:r>
      <w:r>
        <w:rPr>
          <w:lang w:eastAsia="en-US" w:bidi="ar-SA"/>
        </w:rPr>
        <w:instrText xml:space="preserve"> REF _Ref226036268 \r \h </w:instrText>
      </w:r>
      <w:r>
        <w:rPr>
          <w:lang w:eastAsia="en-US" w:bidi="ar-SA"/>
        </w:rPr>
      </w:r>
      <w:r>
        <w:rPr>
          <w:lang w:eastAsia="en-US" w:bidi="ar-SA"/>
        </w:rPr>
        <w:fldChar w:fldCharType="separate"/>
      </w:r>
      <w:r>
        <w:rPr>
          <w:lang w:eastAsia="en-US" w:bidi="ar-SA"/>
        </w:rPr>
        <w:t>5.3.3.1</w:t>
      </w:r>
      <w:r>
        <w:rPr>
          <w:lang w:eastAsia="en-US" w:bidi="ar-SA"/>
        </w:rPr>
        <w:fldChar w:fldCharType="end"/>
      </w:r>
      <w:r>
        <w:rPr>
          <w:lang w:eastAsia="en-US" w:bidi="ar-SA"/>
        </w:rPr>
        <w:t>), with one placeholder dedicated to each functional class of peripheral grapheme; in addition, we optionally allow arbitrary placeholders (§</w:t>
      </w:r>
      <w:r>
        <w:rPr>
          <w:lang w:eastAsia="en-US" w:bidi="ar-SA"/>
        </w:rPr>
        <w:fldChar w:fldCharType="begin"/>
      </w:r>
      <w:r>
        <w:rPr>
          <w:lang w:eastAsia="en-US" w:bidi="ar-SA"/>
        </w:rPr>
        <w:instrText xml:space="preserve"> REF _Ref225955892 \r \h </w:instrText>
      </w:r>
      <w:r>
        <w:rPr>
          <w:lang w:eastAsia="en-US" w:bidi="ar-SA"/>
        </w:rPr>
      </w:r>
      <w:r>
        <w:rPr>
          <w:lang w:eastAsia="en-US" w:bidi="ar-SA"/>
        </w:rPr>
        <w:fldChar w:fldCharType="separate"/>
      </w:r>
      <w:r>
        <w:rPr>
          <w:lang w:eastAsia="en-US" w:bidi="ar-SA"/>
        </w:rPr>
        <w:t>5.3.3.2</w:t>
      </w:r>
      <w:r>
        <w:rPr>
          <w:lang w:eastAsia="en-US" w:bidi="ar-SA"/>
        </w:rPr>
        <w:fldChar w:fldCharType="end"/>
      </w:r>
      <w:r>
        <w:rPr>
          <w:lang w:eastAsia="en-US" w:bidi="ar-SA"/>
        </w:rPr>
        <w:t>) for greater variety and more accurate human-friendly representation. The placeholders may be combined with glyph encoding (§</w:t>
      </w:r>
      <w:r>
        <w:rPr>
          <w:lang w:eastAsia="en-US" w:bidi="ar-SA"/>
        </w:rPr>
        <w:fldChar w:fldCharType="begin"/>
      </w:r>
      <w:r>
        <w:rPr>
          <w:lang w:eastAsia="en-US" w:bidi="ar-SA"/>
        </w:rPr>
        <w:instrText xml:space="preserve"> REF _Ref225955927 \r \h </w:instrText>
      </w:r>
      <w:r>
        <w:rPr>
          <w:lang w:eastAsia="en-US" w:bidi="ar-SA"/>
        </w:rPr>
      </w:r>
      <w:r>
        <w:rPr>
          <w:lang w:eastAsia="en-US" w:bidi="ar-SA"/>
        </w:rPr>
        <w:fldChar w:fldCharType="separate"/>
      </w:r>
      <w:r>
        <w:rPr>
          <w:lang w:eastAsia="en-US" w:bidi="ar-SA"/>
        </w:rPr>
        <w:t>5.3.4</w:t>
      </w:r>
      <w:r>
        <w:rPr>
          <w:lang w:eastAsia="en-US" w:bidi="ar-SA"/>
        </w:rPr>
        <w:fldChar w:fldCharType="end"/>
      </w:r>
      <w:r>
        <w:rPr>
          <w:lang w:eastAsia="en-US" w:bidi="ar-SA"/>
        </w:rPr>
        <w:t xml:space="preserve">), which can represent the same basic functional classification as the default placeholders and, in addition, allow a fairly precise differentiation based either on the glyph’s visual appearance or on its name in a source writing tradition. The synergy of transliteration and encoding is illustrated in </w:t>
      </w:r>
      <w:r>
        <w:rPr>
          <w:lang w:eastAsia="en-US" w:bidi="ar-SA"/>
        </w:rPr>
        <w:fldChar w:fldCharType="begin"/>
      </w:r>
      <w:r>
        <w:rPr>
          <w:lang w:eastAsia="en-US" w:bidi="ar-SA"/>
        </w:rPr>
        <w:instrText xml:space="preserve"> REF _Ref225956032 \h </w:instrText>
      </w:r>
      <w:r>
        <w:rPr>
          <w:lang w:eastAsia="en-US" w:bidi="ar-SA"/>
        </w:rPr>
      </w:r>
      <w:r>
        <w:rPr>
          <w:lang w:eastAsia="en-US" w:bidi="ar-SA"/>
        </w:rPr>
        <w:fldChar w:fldCharType="separate"/>
      </w:r>
      <w:r>
        <w:t xml:space="preserve">Exhibit </w:t>
      </w:r>
      <w:r>
        <w:rPr>
          <w:noProof/>
        </w:rPr>
        <w:t>5.3</w:t>
      </w:r>
      <w:r>
        <w:t>.</w:t>
      </w:r>
      <w:r>
        <w:rPr>
          <w:noProof/>
        </w:rPr>
        <w:t>A</w:t>
      </w:r>
      <w:r>
        <w:rPr>
          <w:lang w:eastAsia="en-US" w:bidi="ar-SA"/>
        </w:rPr>
        <w:fldChar w:fldCharType="end"/>
      </w:r>
      <w:r>
        <w:rPr>
          <w:lang w:eastAsia="en-US" w:bidi="ar-SA"/>
        </w:rPr>
        <w:t xml:space="preserve"> (identical to the figure in TG §5.1). Strategies for combining the available transliteration and encoding options are outlined in TG §5.1.3.</w:t>
      </w:r>
    </w:p>
    <w:tbl>
      <w:tblPr>
        <w:tblStyle w:val="FigureTable"/>
        <w:tblW w:w="5000" w:type="pct"/>
        <w:tblBorders>
          <w:insideV w:val="single" w:sz="4" w:space="0" w:color="auto"/>
        </w:tblBorders>
        <w:tblLook w:val="04A0" w:firstRow="1" w:lastRow="0" w:firstColumn="1" w:lastColumn="0" w:noHBand="0" w:noVBand="1"/>
      </w:tblPr>
      <w:tblGrid>
        <w:gridCol w:w="1537"/>
        <w:gridCol w:w="2132"/>
        <w:gridCol w:w="2811"/>
        <w:gridCol w:w="901"/>
        <w:gridCol w:w="2247"/>
      </w:tblGrid>
      <w:tr w14:paraId="26ACDB85"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5"/>
          </w:tcPr>
          <w:p w14:paraId="2A1FF2A8" w14:textId="573FCF8A">
            <w:pPr>
              <w:pStyle w:val="Kpalrs"/>
              <w:keepLines/>
              <w:rPr>
                <w:szCs w:val="20"/>
                <w:lang w:eastAsia="en-US" w:bidi="ar-SA"/>
              </w:rPr>
            </w:pPr>
            <w:bookmarkStart w:id="406" w:name="_Ref225956032"/>
            <w:r>
              <w:t xml:space="preserve">Exhibit </w:t>
            </w:r>
            <w:fldSimple w:instr=" STYLEREF 2 \s ">
              <w:r>
                <w:rPr>
                  <w:noProof/>
                </w:rPr>
                <w:t>5.3</w:t>
              </w:r>
            </w:fldSimple>
            <w:r>
              <w:t>.</w:t>
            </w:r>
            <w:fldSimple w:instr=" SEQ Exhibit \* ALPHABETIC \s 2 ">
              <w:r>
                <w:rPr>
                  <w:noProof/>
                </w:rPr>
                <w:t>A</w:t>
              </w:r>
            </w:fldSimple>
            <w:bookmarkEnd w:id="406"/>
            <w:r>
              <w:t>: representation of peripheral graphemes through transliteration and encoding</w:t>
            </w:r>
          </w:p>
        </w:tc>
      </w:tr>
      <w:tr w14:paraId="69143B1E" w14:textId="77777777">
        <w:tc>
          <w:tcPr>
            <w:tcW w:w="798" w:type="pct"/>
            <w:vMerge w:val="restart"/>
            <w:shd w:val="clear" w:color="auto" w:fill="F0F7D7"/>
            <w:vAlign w:val="bottom"/>
          </w:tcPr>
          <w:p w14:paraId="506E318A" w14:textId="77777777">
            <w:pPr>
              <w:keepNext/>
              <w:keepLines/>
              <w:jc w:val="right"/>
              <w:rPr>
                <w:b/>
                <w:bCs/>
                <w:sz w:val="20"/>
                <w:szCs w:val="20"/>
                <w:lang w:eastAsia="en-US" w:bidi="ar-SA"/>
              </w:rPr>
            </w:pPr>
            <w:r>
              <w:rPr>
                <w:b/>
                <w:bCs/>
                <w:sz w:val="20"/>
                <w:szCs w:val="20"/>
                <w:lang w:eastAsia="en-US" w:bidi="ar-SA"/>
              </w:rPr>
              <w:t>method</w:t>
            </w:r>
          </w:p>
        </w:tc>
        <w:tc>
          <w:tcPr>
            <w:tcW w:w="1107" w:type="pct"/>
            <w:vMerge w:val="restart"/>
            <w:shd w:val="clear" w:color="auto" w:fill="F0F7D7"/>
            <w:vAlign w:val="bottom"/>
          </w:tcPr>
          <w:p w14:paraId="2E6F6C20" w14:textId="77777777">
            <w:pPr>
              <w:keepNext/>
              <w:keepLines/>
              <w:rPr>
                <w:b/>
                <w:bCs/>
                <w:sz w:val="20"/>
                <w:szCs w:val="20"/>
                <w:lang w:eastAsia="en-US" w:bidi="ar-SA"/>
              </w:rPr>
            </w:pPr>
            <w:r>
              <w:rPr>
                <w:b/>
                <w:bCs/>
                <w:sz w:val="20"/>
                <w:szCs w:val="20"/>
                <w:lang w:eastAsia="en-US" w:bidi="ar-SA"/>
              </w:rPr>
              <w:t>solution</w:t>
            </w:r>
          </w:p>
        </w:tc>
        <w:tc>
          <w:tcPr>
            <w:tcW w:w="1460" w:type="pct"/>
            <w:vMerge w:val="restart"/>
            <w:shd w:val="clear" w:color="auto" w:fill="F0F7D7"/>
            <w:vAlign w:val="bottom"/>
          </w:tcPr>
          <w:p w14:paraId="0393DE2C" w14:textId="77777777">
            <w:pPr>
              <w:keepNext/>
              <w:keepLines/>
              <w:rPr>
                <w:b/>
                <w:bCs/>
                <w:sz w:val="20"/>
                <w:szCs w:val="20"/>
                <w:lang w:eastAsia="en-US" w:bidi="ar-SA"/>
              </w:rPr>
            </w:pPr>
            <w:r>
              <w:rPr>
                <w:b/>
                <w:bCs/>
                <w:sz w:val="20"/>
                <w:szCs w:val="20"/>
                <w:lang w:eastAsia="en-US" w:bidi="ar-SA"/>
              </w:rPr>
              <w:t>demarcation</w:t>
            </w:r>
          </w:p>
        </w:tc>
        <w:tc>
          <w:tcPr>
            <w:tcW w:w="1635" w:type="pct"/>
            <w:gridSpan w:val="2"/>
            <w:shd w:val="clear" w:color="auto" w:fill="F0F7D7"/>
            <w:vAlign w:val="bottom"/>
          </w:tcPr>
          <w:p w14:paraId="5ABEE997" w14:textId="77777777">
            <w:pPr>
              <w:keepNext/>
              <w:keepLines/>
              <w:rPr>
                <w:b/>
                <w:bCs/>
                <w:sz w:val="20"/>
                <w:szCs w:val="20"/>
                <w:lang w:eastAsia="en-US" w:bidi="ar-SA"/>
              </w:rPr>
            </w:pPr>
            <w:r>
              <w:rPr>
                <w:b/>
                <w:bCs/>
                <w:sz w:val="20"/>
                <w:szCs w:val="20"/>
                <w:lang w:eastAsia="en-US" w:bidi="ar-SA"/>
              </w:rPr>
              <w:t>individuation</w:t>
            </w:r>
          </w:p>
        </w:tc>
      </w:tr>
      <w:tr w14:paraId="6C3C4D17" w14:textId="77777777">
        <w:tc>
          <w:tcPr>
            <w:tcW w:w="798" w:type="pct"/>
            <w:vMerge/>
            <w:shd w:val="clear" w:color="auto" w:fill="F0F7D7"/>
            <w:vAlign w:val="bottom"/>
            <w:hideMark/>
          </w:tcPr>
          <w:p w14:paraId="482CD201" w14:textId="77777777">
            <w:pPr>
              <w:keepNext/>
              <w:keepLines/>
              <w:jc w:val="right"/>
              <w:rPr>
                <w:b/>
                <w:bCs/>
                <w:sz w:val="20"/>
                <w:szCs w:val="20"/>
                <w:lang w:eastAsia="en-US" w:bidi="ar-SA"/>
              </w:rPr>
            </w:pPr>
          </w:p>
        </w:tc>
        <w:tc>
          <w:tcPr>
            <w:tcW w:w="1107" w:type="pct"/>
            <w:vMerge/>
            <w:shd w:val="clear" w:color="auto" w:fill="F0F7D7"/>
            <w:vAlign w:val="bottom"/>
            <w:hideMark/>
          </w:tcPr>
          <w:p w14:paraId="7A813D9C" w14:textId="77777777">
            <w:pPr>
              <w:keepNext/>
              <w:keepLines/>
              <w:rPr>
                <w:b/>
                <w:bCs/>
                <w:sz w:val="20"/>
                <w:szCs w:val="20"/>
                <w:lang w:eastAsia="en-US" w:bidi="ar-SA"/>
              </w:rPr>
            </w:pPr>
          </w:p>
        </w:tc>
        <w:tc>
          <w:tcPr>
            <w:tcW w:w="1460" w:type="pct"/>
            <w:vMerge/>
            <w:shd w:val="clear" w:color="auto" w:fill="F0F7D7"/>
            <w:vAlign w:val="bottom"/>
            <w:hideMark/>
          </w:tcPr>
          <w:p w14:paraId="4B25944A" w14:textId="77777777">
            <w:pPr>
              <w:keepNext/>
              <w:keepLines/>
              <w:rPr>
                <w:b/>
                <w:bCs/>
                <w:sz w:val="20"/>
                <w:szCs w:val="20"/>
                <w:lang w:eastAsia="en-US" w:bidi="ar-SA"/>
              </w:rPr>
            </w:pPr>
          </w:p>
        </w:tc>
        <w:tc>
          <w:tcPr>
            <w:tcW w:w="468" w:type="pct"/>
            <w:shd w:val="clear" w:color="auto" w:fill="F0F7D7"/>
            <w:vAlign w:val="bottom"/>
            <w:hideMark/>
          </w:tcPr>
          <w:p w14:paraId="7BB6B638" w14:textId="77777777">
            <w:pPr>
              <w:keepNext/>
              <w:keepLines/>
              <w:rPr>
                <w:b/>
                <w:bCs/>
                <w:sz w:val="20"/>
                <w:szCs w:val="20"/>
                <w:lang w:eastAsia="en-US" w:bidi="ar-SA"/>
              </w:rPr>
            </w:pPr>
            <w:r>
              <w:rPr>
                <w:b/>
                <w:bCs/>
                <w:sz w:val="20"/>
                <w:szCs w:val="20"/>
                <w:lang w:eastAsia="en-US" w:bidi="ar-SA"/>
              </w:rPr>
              <w:t>by form</w:t>
            </w:r>
          </w:p>
        </w:tc>
        <w:tc>
          <w:tcPr>
            <w:tcW w:w="1167" w:type="pct"/>
            <w:shd w:val="clear" w:color="auto" w:fill="F0F7D7"/>
            <w:vAlign w:val="bottom"/>
            <w:hideMark/>
          </w:tcPr>
          <w:p w14:paraId="2B796C4B" w14:textId="77777777">
            <w:pPr>
              <w:keepNext/>
              <w:keepLines/>
              <w:rPr>
                <w:b/>
                <w:bCs/>
                <w:sz w:val="20"/>
                <w:szCs w:val="20"/>
                <w:lang w:eastAsia="en-US" w:bidi="ar-SA"/>
              </w:rPr>
            </w:pPr>
            <w:r>
              <w:rPr>
                <w:b/>
                <w:bCs/>
                <w:sz w:val="20"/>
                <w:szCs w:val="20"/>
                <w:lang w:eastAsia="en-US" w:bidi="ar-SA"/>
              </w:rPr>
              <w:t>by function</w:t>
            </w:r>
          </w:p>
        </w:tc>
      </w:tr>
      <w:tr w14:paraId="0A6CA7C7" w14:textId="77777777">
        <w:trPr>
          <w:trHeight w:val="440"/>
        </w:trPr>
        <w:tc>
          <w:tcPr>
            <w:tcW w:w="798" w:type="pct"/>
            <w:vMerge w:val="restart"/>
            <w:shd w:val="clear" w:color="auto" w:fill="F0F7D7"/>
            <w:vAlign w:val="center"/>
            <w:hideMark/>
          </w:tcPr>
          <w:p w14:paraId="60664F02" w14:textId="77777777">
            <w:pPr>
              <w:keepNext/>
              <w:keepLines/>
              <w:jc w:val="right"/>
              <w:rPr>
                <w:b/>
                <w:bCs/>
                <w:sz w:val="20"/>
                <w:szCs w:val="20"/>
                <w:lang w:eastAsia="en-US" w:bidi="ar-SA"/>
              </w:rPr>
            </w:pPr>
            <w:r>
              <w:rPr>
                <w:b/>
                <w:bCs/>
                <w:sz w:val="20"/>
                <w:szCs w:val="20"/>
                <w:lang w:eastAsia="en-US" w:bidi="ar-SA"/>
              </w:rPr>
              <w:t>transliteration</w:t>
            </w:r>
          </w:p>
        </w:tc>
        <w:tc>
          <w:tcPr>
            <w:tcW w:w="1107" w:type="pct"/>
            <w:shd w:val="clear" w:color="auto" w:fill="F0F7D7"/>
            <w:vAlign w:val="center"/>
            <w:hideMark/>
          </w:tcPr>
          <w:p w14:paraId="4FF1F00B" w14:textId="77777777">
            <w:pPr>
              <w:keepNext/>
              <w:keepLines/>
              <w:rPr>
                <w:sz w:val="20"/>
                <w:szCs w:val="20"/>
                <w:lang w:eastAsia="en-US" w:bidi="ar-SA"/>
              </w:rPr>
            </w:pPr>
            <w:r>
              <w:rPr>
                <w:sz w:val="20"/>
                <w:szCs w:val="20"/>
                <w:lang w:eastAsia="en-US" w:bidi="ar-SA"/>
              </w:rPr>
              <w:t>default placeholders</w:t>
            </w:r>
          </w:p>
        </w:tc>
        <w:tc>
          <w:tcPr>
            <w:tcW w:w="1460" w:type="pct"/>
            <w:vAlign w:val="center"/>
            <w:hideMark/>
          </w:tcPr>
          <w:p w14:paraId="0F92BA8E" w14:textId="77777777">
            <w:pPr>
              <w:keepNext/>
              <w:keepLines/>
              <w:rPr>
                <w:sz w:val="20"/>
                <w:szCs w:val="20"/>
                <w:lang w:eastAsia="en-US" w:bidi="ar-SA"/>
              </w:rPr>
            </w:pPr>
            <w:r>
              <w:rPr>
                <w:sz w:val="20"/>
                <w:szCs w:val="20"/>
                <w:lang w:eastAsia="en-US" w:bidi="ar-SA"/>
              </w:rPr>
              <w:t>clear</w:t>
            </w:r>
          </w:p>
        </w:tc>
        <w:tc>
          <w:tcPr>
            <w:tcW w:w="468" w:type="pct"/>
            <w:vAlign w:val="center"/>
            <w:hideMark/>
          </w:tcPr>
          <w:p w14:paraId="0B0B83ED" w14:textId="77777777">
            <w:pPr>
              <w:keepNext/>
              <w:keepLines/>
              <w:rPr>
                <w:sz w:val="20"/>
                <w:szCs w:val="20"/>
                <w:lang w:eastAsia="en-US" w:bidi="ar-SA"/>
              </w:rPr>
            </w:pPr>
            <w:r>
              <w:rPr>
                <w:sz w:val="20"/>
                <w:szCs w:val="20"/>
                <w:lang w:eastAsia="en-US" w:bidi="ar-SA"/>
              </w:rPr>
              <w:t>—</w:t>
            </w:r>
          </w:p>
        </w:tc>
        <w:tc>
          <w:tcPr>
            <w:tcW w:w="1167" w:type="pct"/>
            <w:vAlign w:val="center"/>
            <w:hideMark/>
          </w:tcPr>
          <w:p w14:paraId="53D0C043" w14:textId="77777777">
            <w:pPr>
              <w:keepNext/>
              <w:keepLines/>
              <w:rPr>
                <w:sz w:val="20"/>
                <w:szCs w:val="20"/>
                <w:lang w:eastAsia="en-US" w:bidi="ar-SA"/>
              </w:rPr>
            </w:pPr>
            <w:r>
              <w:rPr>
                <w:sz w:val="20"/>
                <w:szCs w:val="20"/>
                <w:lang w:eastAsia="en-US" w:bidi="ar-SA"/>
              </w:rPr>
              <w:t>basic</w:t>
            </w:r>
          </w:p>
        </w:tc>
      </w:tr>
      <w:tr w14:paraId="7D9E8F24" w14:textId="77777777">
        <w:trPr>
          <w:trHeight w:val="440"/>
        </w:trPr>
        <w:tc>
          <w:tcPr>
            <w:tcW w:w="798" w:type="pct"/>
            <w:vMerge/>
            <w:shd w:val="clear" w:color="auto" w:fill="F0F7D7"/>
            <w:vAlign w:val="center"/>
            <w:hideMark/>
          </w:tcPr>
          <w:p w14:paraId="056D442E" w14:textId="77777777">
            <w:pPr>
              <w:keepNext/>
              <w:keepLines/>
              <w:jc w:val="right"/>
              <w:rPr>
                <w:b/>
                <w:bCs/>
                <w:sz w:val="20"/>
                <w:szCs w:val="20"/>
                <w:lang w:eastAsia="en-US" w:bidi="ar-SA"/>
              </w:rPr>
            </w:pPr>
          </w:p>
        </w:tc>
        <w:tc>
          <w:tcPr>
            <w:tcW w:w="1107" w:type="pct"/>
            <w:shd w:val="clear" w:color="auto" w:fill="F0F7D7"/>
            <w:vAlign w:val="center"/>
            <w:hideMark/>
          </w:tcPr>
          <w:p w14:paraId="4BDD45BE" w14:textId="77777777">
            <w:pPr>
              <w:keepNext/>
              <w:keepLines/>
              <w:rPr>
                <w:sz w:val="20"/>
                <w:szCs w:val="20"/>
                <w:lang w:eastAsia="en-US" w:bidi="ar-SA"/>
              </w:rPr>
            </w:pPr>
            <w:r>
              <w:rPr>
                <w:sz w:val="20"/>
                <w:szCs w:val="20"/>
                <w:lang w:eastAsia="en-US" w:bidi="ar-SA"/>
              </w:rPr>
              <w:t>arbitrary placeholders</w:t>
            </w:r>
          </w:p>
        </w:tc>
        <w:tc>
          <w:tcPr>
            <w:tcW w:w="1460" w:type="pct"/>
            <w:vAlign w:val="center"/>
            <w:hideMark/>
          </w:tcPr>
          <w:p w14:paraId="02C96A3C" w14:textId="77777777">
            <w:pPr>
              <w:keepNext/>
              <w:keepLines/>
              <w:rPr>
                <w:sz w:val="20"/>
                <w:szCs w:val="20"/>
                <w:lang w:eastAsia="en-US" w:bidi="ar-SA"/>
              </w:rPr>
            </w:pPr>
            <w:r>
              <w:rPr>
                <w:sz w:val="20"/>
                <w:szCs w:val="20"/>
                <w:lang w:eastAsia="en-US" w:bidi="ar-SA"/>
              </w:rPr>
              <w:t>unclear when multi-character</w:t>
            </w:r>
          </w:p>
        </w:tc>
        <w:tc>
          <w:tcPr>
            <w:tcW w:w="468" w:type="pct"/>
            <w:vAlign w:val="center"/>
            <w:hideMark/>
          </w:tcPr>
          <w:p w14:paraId="03FD3BF8" w14:textId="77777777">
            <w:pPr>
              <w:keepNext/>
              <w:keepLines/>
              <w:rPr>
                <w:sz w:val="20"/>
                <w:szCs w:val="20"/>
                <w:lang w:eastAsia="en-US" w:bidi="ar-SA"/>
              </w:rPr>
            </w:pPr>
            <w:r>
              <w:rPr>
                <w:sz w:val="20"/>
                <w:szCs w:val="20"/>
                <w:lang w:eastAsia="en-US" w:bidi="ar-SA"/>
              </w:rPr>
              <w:t>vague</w:t>
            </w:r>
          </w:p>
        </w:tc>
        <w:tc>
          <w:tcPr>
            <w:tcW w:w="1167" w:type="pct"/>
            <w:vAlign w:val="center"/>
            <w:hideMark/>
          </w:tcPr>
          <w:p w14:paraId="24F2471B" w14:textId="77777777">
            <w:pPr>
              <w:keepNext/>
              <w:keepLines/>
              <w:rPr>
                <w:sz w:val="20"/>
                <w:szCs w:val="20"/>
                <w:lang w:eastAsia="en-US" w:bidi="ar-SA"/>
              </w:rPr>
            </w:pPr>
            <w:r>
              <w:rPr>
                <w:sz w:val="20"/>
                <w:szCs w:val="20"/>
                <w:lang w:eastAsia="en-US" w:bidi="ar-SA"/>
              </w:rPr>
              <w:t>vague, implied</w:t>
            </w:r>
          </w:p>
        </w:tc>
      </w:tr>
      <w:tr w14:paraId="61D63F71" w14:textId="77777777">
        <w:trPr>
          <w:trHeight w:val="440"/>
        </w:trPr>
        <w:tc>
          <w:tcPr>
            <w:tcW w:w="798" w:type="pct"/>
            <w:vMerge w:val="restart"/>
            <w:shd w:val="clear" w:color="auto" w:fill="F0F7D7"/>
            <w:vAlign w:val="center"/>
            <w:hideMark/>
          </w:tcPr>
          <w:p w14:paraId="46E65FD0" w14:textId="77777777">
            <w:pPr>
              <w:keepNext/>
              <w:keepLines/>
              <w:jc w:val="right"/>
              <w:rPr>
                <w:b/>
                <w:bCs/>
                <w:sz w:val="20"/>
                <w:szCs w:val="20"/>
                <w:lang w:eastAsia="en-US" w:bidi="ar-SA"/>
              </w:rPr>
            </w:pPr>
            <w:r>
              <w:rPr>
                <w:b/>
                <w:bCs/>
                <w:sz w:val="20"/>
                <w:szCs w:val="20"/>
                <w:lang w:eastAsia="en-US" w:bidi="ar-SA"/>
              </w:rPr>
              <w:t>encoding</w:t>
            </w:r>
          </w:p>
        </w:tc>
        <w:tc>
          <w:tcPr>
            <w:tcW w:w="1107" w:type="pct"/>
            <w:shd w:val="clear" w:color="auto" w:fill="F0F7D7"/>
            <w:vAlign w:val="center"/>
            <w:hideMark/>
          </w:tcPr>
          <w:p w14:paraId="0EF676DF" w14:textId="77777777">
            <w:pPr>
              <w:keepNext/>
              <w:keepLines/>
              <w:rPr>
                <w:noProof/>
                <w:sz w:val="20"/>
                <w:szCs w:val="20"/>
                <w:lang w:eastAsia="en-US" w:bidi="ar-SA"/>
              </w:rPr>
            </w:pPr>
            <w:r>
              <w:rPr>
                <w:noProof/>
                <w:sz w:val="20"/>
                <w:szCs w:val="20"/>
                <w:lang w:eastAsia="en-US" w:bidi="ar-SA"/>
              </w:rPr>
              <w:t>&lt;g&gt;</w:t>
            </w:r>
          </w:p>
        </w:tc>
        <w:tc>
          <w:tcPr>
            <w:tcW w:w="1460" w:type="pct"/>
            <w:vAlign w:val="center"/>
            <w:hideMark/>
          </w:tcPr>
          <w:p w14:paraId="203B075B" w14:textId="77777777">
            <w:pPr>
              <w:keepNext/>
              <w:keepLines/>
              <w:rPr>
                <w:sz w:val="20"/>
                <w:szCs w:val="20"/>
                <w:lang w:eastAsia="en-US" w:bidi="ar-SA"/>
              </w:rPr>
            </w:pPr>
            <w:r>
              <w:rPr>
                <w:sz w:val="20"/>
                <w:szCs w:val="20"/>
                <w:lang w:eastAsia="en-US" w:bidi="ar-SA"/>
              </w:rPr>
              <w:t>clear</w:t>
            </w:r>
          </w:p>
        </w:tc>
        <w:tc>
          <w:tcPr>
            <w:tcW w:w="468" w:type="pct"/>
            <w:vAlign w:val="center"/>
            <w:hideMark/>
          </w:tcPr>
          <w:p w14:paraId="1395E655" w14:textId="77777777">
            <w:pPr>
              <w:keepNext/>
              <w:keepLines/>
              <w:rPr>
                <w:sz w:val="20"/>
                <w:szCs w:val="20"/>
                <w:lang w:eastAsia="en-US" w:bidi="ar-SA"/>
              </w:rPr>
            </w:pPr>
            <w:r>
              <w:rPr>
                <w:sz w:val="20"/>
                <w:szCs w:val="20"/>
                <w:lang w:eastAsia="en-US" w:bidi="ar-SA"/>
              </w:rPr>
              <w:t>—</w:t>
            </w:r>
          </w:p>
        </w:tc>
        <w:tc>
          <w:tcPr>
            <w:tcW w:w="1167" w:type="pct"/>
            <w:vAlign w:val="center"/>
            <w:hideMark/>
          </w:tcPr>
          <w:p w14:paraId="78B20E29" w14:textId="77777777">
            <w:pPr>
              <w:keepNext/>
              <w:keepLines/>
              <w:rPr>
                <w:sz w:val="20"/>
                <w:szCs w:val="20"/>
                <w:lang w:eastAsia="en-US" w:bidi="ar-SA"/>
              </w:rPr>
            </w:pPr>
            <w:r>
              <w:rPr>
                <w:sz w:val="20"/>
                <w:szCs w:val="20"/>
                <w:lang w:eastAsia="en-US" w:bidi="ar-SA"/>
              </w:rPr>
              <w:t>—</w:t>
            </w:r>
          </w:p>
        </w:tc>
      </w:tr>
      <w:tr w14:paraId="14D9E9A1" w14:textId="77777777">
        <w:trPr>
          <w:trHeight w:val="440"/>
        </w:trPr>
        <w:tc>
          <w:tcPr>
            <w:tcW w:w="798" w:type="pct"/>
            <w:vMerge/>
            <w:shd w:val="clear" w:color="auto" w:fill="F0F7D7"/>
            <w:vAlign w:val="center"/>
            <w:hideMark/>
          </w:tcPr>
          <w:p w14:paraId="734CB853" w14:textId="77777777">
            <w:pPr>
              <w:keepNext/>
              <w:keepLines/>
              <w:rPr>
                <w:sz w:val="20"/>
                <w:szCs w:val="20"/>
                <w:lang w:eastAsia="en-US" w:bidi="ar-SA"/>
              </w:rPr>
            </w:pPr>
          </w:p>
        </w:tc>
        <w:tc>
          <w:tcPr>
            <w:tcW w:w="1107" w:type="pct"/>
            <w:shd w:val="clear" w:color="auto" w:fill="F0F7D7"/>
            <w:vAlign w:val="center"/>
            <w:hideMark/>
          </w:tcPr>
          <w:p w14:paraId="61484608" w14:textId="77777777">
            <w:pPr>
              <w:keepNext/>
              <w:keepLines/>
              <w:rPr>
                <w:noProof/>
                <w:sz w:val="20"/>
                <w:szCs w:val="20"/>
                <w:lang w:eastAsia="en-US" w:bidi="ar-SA"/>
              </w:rPr>
            </w:pPr>
            <w:r>
              <w:rPr>
                <w:noProof/>
                <w:sz w:val="20"/>
                <w:szCs w:val="20"/>
                <w:lang w:eastAsia="en-US" w:bidi="ar-SA"/>
              </w:rPr>
              <w:t>@type</w:t>
            </w:r>
          </w:p>
        </w:tc>
        <w:tc>
          <w:tcPr>
            <w:tcW w:w="1460" w:type="pct"/>
            <w:vAlign w:val="center"/>
            <w:hideMark/>
          </w:tcPr>
          <w:p w14:paraId="2CB380BE" w14:textId="77777777">
            <w:pPr>
              <w:keepNext/>
              <w:keepLines/>
              <w:rPr>
                <w:sz w:val="20"/>
                <w:szCs w:val="20"/>
                <w:lang w:eastAsia="en-US" w:bidi="ar-SA"/>
              </w:rPr>
            </w:pPr>
            <w:r>
              <w:rPr>
                <w:sz w:val="20"/>
                <w:szCs w:val="20"/>
                <w:lang w:eastAsia="en-US" w:bidi="ar-SA"/>
              </w:rPr>
              <w:t>—</w:t>
            </w:r>
          </w:p>
        </w:tc>
        <w:tc>
          <w:tcPr>
            <w:tcW w:w="468" w:type="pct"/>
            <w:vAlign w:val="center"/>
            <w:hideMark/>
          </w:tcPr>
          <w:p w14:paraId="7D5EB8B6" w14:textId="77777777">
            <w:pPr>
              <w:keepNext/>
              <w:keepLines/>
              <w:rPr>
                <w:sz w:val="20"/>
                <w:szCs w:val="20"/>
                <w:lang w:eastAsia="en-US" w:bidi="ar-SA"/>
              </w:rPr>
            </w:pPr>
            <w:r>
              <w:rPr>
                <w:sz w:val="20"/>
                <w:szCs w:val="20"/>
                <w:lang w:eastAsia="en-US" w:bidi="ar-SA"/>
              </w:rPr>
              <w:t>—</w:t>
            </w:r>
          </w:p>
        </w:tc>
        <w:tc>
          <w:tcPr>
            <w:tcW w:w="1167" w:type="pct"/>
            <w:vAlign w:val="center"/>
            <w:hideMark/>
          </w:tcPr>
          <w:p w14:paraId="35E10718" w14:textId="77777777">
            <w:pPr>
              <w:keepNext/>
              <w:keepLines/>
              <w:rPr>
                <w:sz w:val="20"/>
                <w:szCs w:val="20"/>
                <w:lang w:eastAsia="en-US" w:bidi="ar-SA"/>
              </w:rPr>
            </w:pPr>
            <w:r>
              <w:rPr>
                <w:sz w:val="20"/>
                <w:szCs w:val="20"/>
                <w:lang w:eastAsia="en-US" w:bidi="ar-SA"/>
              </w:rPr>
              <w:t>basic</w:t>
            </w:r>
          </w:p>
        </w:tc>
      </w:tr>
      <w:tr w14:paraId="1EDC5221" w14:textId="77777777">
        <w:trPr>
          <w:trHeight w:val="440"/>
        </w:trPr>
        <w:tc>
          <w:tcPr>
            <w:tcW w:w="798" w:type="pct"/>
            <w:vMerge/>
            <w:shd w:val="clear" w:color="auto" w:fill="F0F7D7"/>
            <w:vAlign w:val="center"/>
            <w:hideMark/>
          </w:tcPr>
          <w:p w14:paraId="06E48B07" w14:textId="77777777">
            <w:pPr>
              <w:rPr>
                <w:sz w:val="20"/>
                <w:szCs w:val="20"/>
                <w:lang w:eastAsia="en-US" w:bidi="ar-SA"/>
              </w:rPr>
            </w:pPr>
          </w:p>
        </w:tc>
        <w:tc>
          <w:tcPr>
            <w:tcW w:w="1107" w:type="pct"/>
            <w:shd w:val="clear" w:color="auto" w:fill="F0F7D7"/>
            <w:vAlign w:val="center"/>
            <w:hideMark/>
          </w:tcPr>
          <w:p w14:paraId="08B62E3D" w14:textId="77777777">
            <w:pPr>
              <w:rPr>
                <w:noProof/>
                <w:sz w:val="20"/>
                <w:szCs w:val="20"/>
                <w:lang w:eastAsia="en-US" w:bidi="ar-SA"/>
              </w:rPr>
            </w:pPr>
            <w:r>
              <w:rPr>
                <w:noProof/>
                <w:sz w:val="20"/>
                <w:szCs w:val="20"/>
                <w:lang w:eastAsia="en-US" w:bidi="ar-SA"/>
              </w:rPr>
              <w:t>@ref</w:t>
            </w:r>
          </w:p>
        </w:tc>
        <w:tc>
          <w:tcPr>
            <w:tcW w:w="1460" w:type="pct"/>
            <w:vAlign w:val="center"/>
            <w:hideMark/>
          </w:tcPr>
          <w:p w14:paraId="50189175" w14:textId="77777777">
            <w:pPr>
              <w:rPr>
                <w:sz w:val="20"/>
                <w:szCs w:val="20"/>
                <w:lang w:eastAsia="en-US" w:bidi="ar-SA"/>
              </w:rPr>
            </w:pPr>
            <w:r>
              <w:rPr>
                <w:sz w:val="20"/>
                <w:szCs w:val="20"/>
                <w:lang w:eastAsia="en-US" w:bidi="ar-SA"/>
              </w:rPr>
              <w:t>—</w:t>
            </w:r>
          </w:p>
        </w:tc>
        <w:tc>
          <w:tcPr>
            <w:tcW w:w="468" w:type="pct"/>
            <w:vAlign w:val="center"/>
            <w:hideMark/>
          </w:tcPr>
          <w:p w14:paraId="5991114A" w14:textId="77777777">
            <w:pPr>
              <w:rPr>
                <w:sz w:val="20"/>
                <w:szCs w:val="20"/>
                <w:lang w:eastAsia="en-US" w:bidi="ar-SA"/>
              </w:rPr>
            </w:pPr>
            <w:r>
              <w:rPr>
                <w:sz w:val="20"/>
                <w:szCs w:val="20"/>
                <w:lang w:eastAsia="en-US" w:bidi="ar-SA"/>
              </w:rPr>
              <w:t>specific</w:t>
            </w:r>
          </w:p>
        </w:tc>
        <w:tc>
          <w:tcPr>
            <w:tcW w:w="1167" w:type="pct"/>
            <w:vAlign w:val="center"/>
            <w:hideMark/>
          </w:tcPr>
          <w:p w14:paraId="2D513148" w14:textId="77777777">
            <w:pPr>
              <w:rPr>
                <w:sz w:val="20"/>
                <w:szCs w:val="20"/>
                <w:lang w:eastAsia="en-US" w:bidi="ar-SA"/>
              </w:rPr>
            </w:pPr>
            <w:r>
              <w:rPr>
                <w:noProof/>
                <w:sz w:val="20"/>
                <w:szCs w:val="20"/>
                <w:lang w:eastAsia="en-US" w:bidi="ar-SA"/>
              </w:rPr>
              <w:t>(</w:t>
            </w:r>
            <w:r>
              <w:rPr>
                <w:sz w:val="20"/>
                <w:szCs w:val="20"/>
                <w:lang w:eastAsia="en-US" w:bidi="ar-SA"/>
              </w:rPr>
              <w:t>implied for ideograms)</w:t>
            </w:r>
          </w:p>
        </w:tc>
      </w:tr>
    </w:tbl>
    <w:p w14:paraId="05476D98" w14:textId="77777777">
      <w:pPr>
        <w:pStyle w:val="Cmsor4"/>
      </w:pPr>
      <w:r>
        <w:t>What counts as a symbol?</w:t>
      </w:r>
    </w:p>
    <w:p w14:paraId="20441D23" w14:textId="77777777">
      <w:pPr>
        <w:rPr>
          <w:lang w:eastAsia="en-US" w:bidi="ar-SA"/>
        </w:rPr>
      </w:pPr>
      <w:r>
        <w:rPr>
          <w:lang w:eastAsia="en-US" w:bidi="ar-SA"/>
        </w:rPr>
        <w:t>The symbols discussed in this section are graphemes, with the implication that they signify information that pertains, however vaguely, to language. Any other graphic content in an original document may be described in annotation, but shall not be represented in transliteration and through symbol encoding, as discussed in TG §3.1.4.3. In particular, the following features are not symbols:</w:t>
      </w:r>
    </w:p>
    <w:p w14:paraId="701E950A" w14:textId="77777777">
      <w:pPr>
        <w:pStyle w:val="Lista"/>
        <w:rPr>
          <w:lang w:eastAsia="en-US" w:bidi="ar-SA"/>
        </w:rPr>
      </w:pPr>
      <w:r>
        <w:rPr>
          <w:lang w:eastAsia="en-US" w:bidi="ar-SA"/>
        </w:rPr>
        <w:t>decorative or illustrative imagery, which is to be annotated</w:t>
      </w:r>
    </w:p>
    <w:p w14:paraId="60488BDB" w14:textId="0801E281">
      <w:pPr>
        <w:pStyle w:val="Lista"/>
        <w:rPr>
          <w:lang w:eastAsia="en-US" w:bidi="ar-SA"/>
        </w:rPr>
      </w:pPr>
      <w:r>
        <w:rPr>
          <w:lang w:eastAsia="en-US" w:bidi="ar-SA"/>
        </w:rPr>
        <w:t xml:space="preserve">scribal (premodern editorial) marks, which are represented in the encoding but not in the text </w:t>
      </w:r>
      <w:r>
        <w:t>(see §</w:t>
      </w:r>
      <w:r>
        <w:fldChar w:fldCharType="begin"/>
      </w:r>
      <w:r>
        <w:instrText xml:space="preserve"> REF _Ref156807687 \r \h </w:instrText>
      </w:r>
      <w:r>
        <w:fldChar w:fldCharType="separate"/>
      </w:r>
      <w:r>
        <w:t>5.4.2.1</w:t>
      </w:r>
      <w:r>
        <w:fldChar w:fldCharType="end"/>
      </w:r>
      <w:r>
        <w:t xml:space="preserve"> about marks used in lieu of text not inscribed; §</w:t>
      </w:r>
      <w:r>
        <w:fldChar w:fldCharType="begin"/>
      </w:r>
      <w:r>
        <w:instrText xml:space="preserve"> REF _Ref183012048 \r \h </w:instrText>
      </w:r>
      <w:r>
        <w:fldChar w:fldCharType="separate"/>
      </w:r>
      <w:r>
        <w:t>5.4.4</w:t>
      </w:r>
      <w:r>
        <w:fldChar w:fldCharType="end"/>
      </w:r>
      <w:r>
        <w:t xml:space="preserve"> about marks for scribal correction)</w:t>
      </w:r>
    </w:p>
    <w:p w14:paraId="5A2A27B3" w14:textId="721AC897">
      <w:pPr>
        <w:pStyle w:val="Lista"/>
      </w:pPr>
      <w:r>
        <w:t>as per §</w:t>
      </w:r>
      <w:r>
        <w:fldChar w:fldCharType="begin"/>
      </w:r>
      <w:r>
        <w:instrText xml:space="preserve"> REF _Ref226033790 \r \h </w:instrText>
      </w:r>
      <w:r>
        <w:fldChar w:fldCharType="separate"/>
      </w:r>
      <w:r>
        <w:t>5.1.5</w:t>
      </w:r>
      <w:r>
        <w:fldChar w:fldCharType="end"/>
      </w:r>
      <w:r>
        <w:t xml:space="preserve"> and §</w:t>
      </w:r>
      <w:r>
        <w:fldChar w:fldCharType="begin"/>
      </w:r>
      <w:r>
        <w:instrText xml:space="preserve"> REF _Ref226033797 \r \h </w:instrText>
      </w:r>
      <w:r>
        <w:fldChar w:fldCharType="separate"/>
      </w:r>
      <w:r>
        <w:t>5.2.3</w:t>
      </w:r>
      <w:r>
        <w:fldChar w:fldCharType="end"/>
      </w:r>
      <w:r>
        <w:t>, core glyphs (i.e. phonographic and numeral glyphs) are not symbols in this sense even when they are employed in a symbolic function, and shall therefore be transliterated according to their primary signification and not wrapped in glyph encoding for symbols</w:t>
      </w:r>
    </w:p>
    <w:p w14:paraId="1E41E162" w14:textId="77777777">
      <w:pPr>
        <w:pStyle w:val="Lista2"/>
      </w:pPr>
      <w:r>
        <w:t xml:space="preserve">however, as per </w:t>
      </w:r>
      <w:r>
        <w:rPr>
          <w:lang w:eastAsia="en-US" w:bidi="ar-SA"/>
        </w:rPr>
        <w:t xml:space="preserve">TG §6.2, symbol glyphs whose shape is similar to a core glyph but not identical to that glyph as attested or expected in the given writing system (e.g. the glyph </w:t>
      </w:r>
      <w:r>
        <w:rPr>
          <w:rStyle w:val="Foreign"/>
        </w:rPr>
        <w:t>oṁ</w:t>
      </w:r>
      <w:r>
        <w:t xml:space="preserve"> written in a conspicuously archaic or </w:t>
      </w:r>
      <w:r>
        <w:rPr>
          <w:lang w:eastAsia="en-US" w:bidi="ar-SA"/>
        </w:rPr>
        <w:t>stylised form) shall be treated as peripheral graphemes</w:t>
      </w:r>
    </w:p>
    <w:p w14:paraId="607040E5" w14:textId="77777777">
      <w:pPr>
        <w:pStyle w:val="Cmsor3"/>
      </w:pPr>
      <w:bookmarkStart w:id="407" w:name="_Ref226023506"/>
      <w:bookmarkStart w:id="408" w:name="_Toc243922649"/>
      <w:r>
        <w:lastRenderedPageBreak/>
        <w:t>Classifying symbols by function</w:t>
      </w:r>
      <w:bookmarkEnd w:id="407"/>
      <w:bookmarkEnd w:id="408"/>
    </w:p>
    <w:p w14:paraId="4D76784B" w14:textId="77777777">
      <w:pPr>
        <w:rPr>
          <w:lang w:eastAsia="en-US" w:bidi="ar-SA"/>
        </w:rPr>
      </w:pPr>
      <w:r>
        <w:rPr>
          <w:lang w:eastAsia="en-US" w:bidi="ar-SA"/>
        </w:rPr>
        <w:t xml:space="preserve">For the purposes of transliteration as well as encoding, we categorise peripheral graphemes into four broad functional classes: ideograms, punctuation marks, connectors and abstract symbols. These classes are discussed in TG §5 and only briefly summarised here. We find that because of the vague nature of many symbols a more precise differentiation by function would entail difficulty in defining functions and inconsistency in applying the classification. Moreover, across the writing systems in our scope — and even within a single writing tradition or a single document — any particular glyph may be used in any of these basic functions (or without a clear function). Therefore, even though particular shapes are often associated with particular functions, functional classification must be judged on a case-by-case basis, and the assignment of a grapheme to a particular function never implies any particular shape. </w:t>
      </w:r>
    </w:p>
    <w:p w14:paraId="54F1ACB0" w14:textId="77777777">
      <w:pPr>
        <w:pStyle w:val="Cmsor4"/>
      </w:pPr>
      <w:r>
        <w:t>Ideograms</w:t>
      </w:r>
    </w:p>
    <w:p w14:paraId="567AB4CD" w14:textId="77777777">
      <w:pPr>
        <w:pStyle w:val="Lista"/>
      </w:pPr>
      <w:r>
        <w:t xml:space="preserve">ideograms (TG §5.2) are graphemes </w:t>
      </w:r>
      <w:r>
        <w:rPr>
          <w:lang w:eastAsia="en-US" w:bidi="ar-SA"/>
        </w:rPr>
        <w:t xml:space="preserve">that signify </w:t>
      </w:r>
      <w:r>
        <w:t>words, morphemes or abstract concepts</w:t>
      </w:r>
    </w:p>
    <w:p w14:paraId="3C7706A6" w14:textId="77777777">
      <w:pPr>
        <w:pStyle w:val="Lista"/>
      </w:pPr>
      <w:r>
        <w:t>modern international examples include |+| |%| |$| |€|</w:t>
      </w:r>
    </w:p>
    <w:p w14:paraId="3D46D08B" w14:textId="77777777">
      <w:pPr>
        <w:pStyle w:val="Lista"/>
      </w:pPr>
      <w:r>
        <w:t>examples in Indic writing systems include |</w:t>
      </w:r>
      <w:r>
        <w:rPr>
          <w:rStyle w:val="ForeignDevanagariAlt"/>
          <w:rFonts w:hint="cs"/>
          <w:cs/>
        </w:rPr>
        <w:t>ॐ</w:t>
      </w:r>
      <w:r>
        <w:t xml:space="preserve">| (Devanagari </w:t>
      </w:r>
      <w:r>
        <w:rPr>
          <w:rStyle w:val="Foreign"/>
        </w:rPr>
        <w:t>oṁ</w:t>
      </w:r>
      <w:r>
        <w:t>), |</w:t>
      </w:r>
      <w:r>
        <w:rPr>
          <w:rStyle w:val="ForeignTamilScript"/>
          <w:cs/>
          <w:lang w:bidi="ta-IN"/>
        </w:rPr>
        <w:t>௳</w:t>
      </w:r>
      <w:r>
        <w:t xml:space="preserve">| (Tamil </w:t>
      </w:r>
      <w:r>
        <w:rPr>
          <w:rStyle w:val="Foreign"/>
        </w:rPr>
        <w:t>piḷḷaiyār cuḻi</w:t>
      </w:r>
      <w:r>
        <w:t>)</w:t>
      </w:r>
    </w:p>
    <w:p w14:paraId="60BB2DD9" w14:textId="510F2A3D">
      <w:pPr>
        <w:pStyle w:val="Lista"/>
      </w:pPr>
      <w:r>
        <w:t>numerals are technically also ideograms, but from a practical point of view we treat them as core graphemes (§</w:t>
      </w:r>
      <w:r>
        <w:fldChar w:fldCharType="begin"/>
      </w:r>
      <w:r>
        <w:instrText xml:space="preserve"> REF _Ref226015920 \r \h </w:instrText>
      </w:r>
      <w:r>
        <w:fldChar w:fldCharType="separate"/>
      </w:r>
      <w:r>
        <w:t>5.2</w:t>
      </w:r>
      <w:r>
        <w:fldChar w:fldCharType="end"/>
      </w:r>
      <w:r>
        <w:t>)</w:t>
      </w:r>
    </w:p>
    <w:p w14:paraId="07DAD75F" w14:textId="77777777">
      <w:pPr>
        <w:pStyle w:val="Cmsor4"/>
      </w:pPr>
      <w:r>
        <w:t>Punctuation marks</w:t>
      </w:r>
    </w:p>
    <w:p w14:paraId="7184FC73" w14:textId="77777777">
      <w:pPr>
        <w:pStyle w:val="Lista"/>
      </w:pPr>
      <w:r>
        <w:t>punctuation marks (TG §5.3) are graphic signs employed for segmentation into syntactic or metrical units such as such as sentences, clauses, list items and stanzas or their subdivisions</w:t>
      </w:r>
    </w:p>
    <w:p w14:paraId="15D5B6AD" w14:textId="77777777">
      <w:pPr>
        <w:pStyle w:val="Lista2"/>
      </w:pPr>
      <w:r>
        <w:t>throughout this Guide, the term ‘punctuation mark’ is always used in this specific and restricted sense</w:t>
      </w:r>
    </w:p>
    <w:p w14:paraId="42CDB7BB" w14:textId="77777777">
      <w:pPr>
        <w:pStyle w:val="Lista2"/>
      </w:pPr>
      <w:r>
        <w:t>thus, figural and ornamental signs, as well as “typographic” signs used to mark the end or beginning of an entire text or a major section of text, are generally excluded from this class</w:t>
      </w:r>
    </w:p>
    <w:p w14:paraId="690E5334" w14:textId="77777777">
      <w:pPr>
        <w:pStyle w:val="Lista"/>
      </w:pPr>
      <w:r>
        <w:t>modern international examples include |.| |,| |!|</w:t>
      </w:r>
    </w:p>
    <w:p w14:paraId="659ADCA9" w14:textId="77777777">
      <w:pPr>
        <w:pStyle w:val="Lista"/>
      </w:pPr>
      <w:r>
        <w:t>examples in Indic writing systems include vertical bars, horizontal dashes and their variations</w:t>
      </w:r>
    </w:p>
    <w:p w14:paraId="01103962" w14:textId="77777777">
      <w:pPr>
        <w:pStyle w:val="Cmsor4"/>
      </w:pPr>
      <w:bookmarkStart w:id="409" w:name="_Ref226038881"/>
      <w:r>
        <w:t>Connectors</w:t>
      </w:r>
      <w:bookmarkEnd w:id="409"/>
    </w:p>
    <w:p w14:paraId="66760CFC" w14:textId="77777777">
      <w:pPr>
        <w:pStyle w:val="Lista"/>
      </w:pPr>
      <w:r>
        <w:t>connectors (TG §5.4) are a special set of marks which signify that a spatial interruption in the script is not to be understood as a break in linguistic structure</w:t>
      </w:r>
    </w:p>
    <w:p w14:paraId="59DD1C14" w14:textId="77777777">
      <w:pPr>
        <w:pStyle w:val="Lista2"/>
      </w:pPr>
      <w:r>
        <w:t>connectors include the marks called ‘space fillers’ in previous versions of this Guide, used where a part of the writing surface could not accommodate the text to be written, filling it up with one or more marks in order to preserve the continuity of the writing</w:t>
      </w:r>
    </w:p>
    <w:p w14:paraId="128B0C3A" w14:textId="77777777">
      <w:pPr>
        <w:pStyle w:val="Lista2"/>
      </w:pPr>
      <w:r>
        <w:t>as well as marks used singly at line ends to signify that a word break is not present (like a modern hyphen)</w:t>
      </w:r>
    </w:p>
    <w:p w14:paraId="7B60C231" w14:textId="64431F2D">
      <w:pPr>
        <w:pStyle w:val="Lista"/>
      </w:pPr>
      <w:r>
        <w:t>conversely, signs used by the scribe as placeholders for characters of text he was unable to provide (for example because they were illegible in the manuscript being copied) are not connectors and shall be encoded as per §</w:t>
      </w:r>
      <w:r>
        <w:fldChar w:fldCharType="begin"/>
      </w:r>
      <w:r>
        <w:instrText xml:space="preserve"> REF _Ref156807687 \r \h </w:instrText>
      </w:r>
      <w:r>
        <w:fldChar w:fldCharType="separate"/>
      </w:r>
      <w:r>
        <w:t>5.4.2.1</w:t>
      </w:r>
      <w:r>
        <w:fldChar w:fldCharType="end"/>
      </w:r>
    </w:p>
    <w:p w14:paraId="4A06C9B0" w14:textId="77777777">
      <w:pPr>
        <w:pStyle w:val="Cmsor4"/>
      </w:pPr>
      <w:bookmarkStart w:id="410" w:name="_Ref231893872"/>
      <w:r>
        <w:t>Abstract symbols</w:t>
      </w:r>
      <w:bookmarkEnd w:id="410"/>
    </w:p>
    <w:p w14:paraId="01743065" w14:textId="77777777">
      <w:pPr>
        <w:pStyle w:val="Lista"/>
      </w:pPr>
      <w:r>
        <w:t>abstract symbols (TG §5.5) are all peripheral graphemes that cannot be confidently assigned to either of the above three classes</w:t>
      </w:r>
    </w:p>
    <w:p w14:paraId="617142CB" w14:textId="77777777">
      <w:pPr>
        <w:pStyle w:val="Lista2"/>
      </w:pPr>
      <w:r>
        <w:t>abstract symbols are also called simply ‘symbols’, but we also use the term ‘symbol’ in a generic sense to refer to all peripheral graphemes</w:t>
      </w:r>
    </w:p>
    <w:p w14:paraId="511C571D" w14:textId="77777777">
      <w:pPr>
        <w:pStyle w:val="Lista"/>
        <w:rPr>
          <w:lang w:eastAsia="en-US" w:bidi="ar-SA"/>
        </w:rPr>
      </w:pPr>
      <w:r>
        <w:rPr>
          <w:lang w:eastAsia="en-US" w:bidi="ar-SA"/>
        </w:rPr>
        <w:t>classifying a grapheme as an abstract symbol means choosing not to assert any particular linguistic function for it, but is not an assertion that it has no function at all</w:t>
      </w:r>
    </w:p>
    <w:p w14:paraId="4746D205" w14:textId="77777777">
      <w:pPr>
        <w:pStyle w:val="Lista2"/>
        <w:rPr>
          <w:lang w:eastAsia="en-US" w:bidi="ar-SA"/>
        </w:rPr>
      </w:pPr>
      <w:r>
        <w:rPr>
          <w:lang w:eastAsia="en-US" w:bidi="ar-SA"/>
        </w:rPr>
        <w:t>thus, all graphemes whose function is ambiguous or uncertain shall be classified as abstract symbols, even if there is a chance that they might qualify for one of the specific classes</w:t>
      </w:r>
    </w:p>
    <w:p w14:paraId="02F3E588" w14:textId="77777777">
      <w:pPr>
        <w:pStyle w:val="Lista2"/>
        <w:rPr>
          <w:lang w:eastAsia="en-US" w:bidi="ar-SA"/>
        </w:rPr>
      </w:pPr>
      <w:r>
        <w:t>encoding an abstract symbol instead of a specific function is not an error and will have little ultimate impact on the quality of our corpus</w:t>
      </w:r>
    </w:p>
    <w:p w14:paraId="61B95278" w14:textId="77777777">
      <w:pPr>
        <w:pStyle w:val="Cmsor3"/>
      </w:pPr>
      <w:bookmarkStart w:id="411" w:name="_Toc243922650"/>
      <w:r>
        <w:lastRenderedPageBreak/>
        <w:t>Transliterating peripheral graphemes</w:t>
      </w:r>
      <w:bookmarkEnd w:id="411"/>
    </w:p>
    <w:p w14:paraId="1D9DAB0D" w14:textId="3AFD747F">
      <w:pPr>
        <w:rPr>
          <w:lang w:eastAsia="en-US" w:bidi="ar-SA"/>
        </w:rPr>
      </w:pPr>
      <w:r>
        <w:rPr>
          <w:lang w:eastAsia="en-US" w:bidi="ar-SA"/>
        </w:rPr>
        <w:t>The placeholders used for peripheral graphemes are a device of transliteration, and are accordingly discussed in TG §5. Here, we summarise only the essentials. We dedicate a default placeholder to each of the broad functional classes introduced in §</w:t>
      </w:r>
      <w:r>
        <w:rPr>
          <w:lang w:eastAsia="en-US" w:bidi="ar-SA"/>
        </w:rPr>
        <w:fldChar w:fldCharType="begin"/>
      </w:r>
      <w:r>
        <w:rPr>
          <w:lang w:eastAsia="en-US" w:bidi="ar-SA"/>
        </w:rPr>
        <w:instrText xml:space="preserve"> REF _Ref226023506 \r \h </w:instrText>
      </w:r>
      <w:r>
        <w:rPr>
          <w:lang w:eastAsia="en-US" w:bidi="ar-SA"/>
        </w:rPr>
      </w:r>
      <w:r>
        <w:rPr>
          <w:lang w:eastAsia="en-US" w:bidi="ar-SA"/>
        </w:rPr>
        <w:fldChar w:fldCharType="separate"/>
      </w:r>
      <w:r>
        <w:rPr>
          <w:lang w:eastAsia="en-US" w:bidi="ar-SA"/>
        </w:rPr>
        <w:t>5.3.2</w:t>
      </w:r>
      <w:r>
        <w:rPr>
          <w:lang w:eastAsia="en-US" w:bidi="ar-SA"/>
        </w:rPr>
        <w:fldChar w:fldCharType="end"/>
      </w:r>
      <w:r>
        <w:rPr>
          <w:lang w:eastAsia="en-US" w:bidi="ar-SA"/>
        </w:rPr>
        <w:t xml:space="preserve"> above. When an arbitrary placeholder (§</w:t>
      </w:r>
      <w:r>
        <w:rPr>
          <w:lang w:eastAsia="en-US" w:bidi="ar-SA"/>
        </w:rPr>
        <w:fldChar w:fldCharType="begin"/>
      </w:r>
      <w:r>
        <w:rPr>
          <w:lang w:eastAsia="en-US" w:bidi="ar-SA"/>
        </w:rPr>
        <w:instrText xml:space="preserve"> REF _Ref225955892 \r \h </w:instrText>
      </w:r>
      <w:r>
        <w:rPr>
          <w:lang w:eastAsia="en-US" w:bidi="ar-SA"/>
        </w:rPr>
      </w:r>
      <w:r>
        <w:rPr>
          <w:lang w:eastAsia="en-US" w:bidi="ar-SA"/>
        </w:rPr>
        <w:fldChar w:fldCharType="separate"/>
      </w:r>
      <w:r>
        <w:rPr>
          <w:lang w:eastAsia="en-US" w:bidi="ar-SA"/>
        </w:rPr>
        <w:t>5.3.3.2</w:t>
      </w:r>
      <w:r>
        <w:rPr>
          <w:lang w:eastAsia="en-US" w:bidi="ar-SA"/>
        </w:rPr>
        <w:fldChar w:fldCharType="end"/>
      </w:r>
      <w:r>
        <w:rPr>
          <w:lang w:eastAsia="en-US" w:bidi="ar-SA"/>
        </w:rPr>
        <w:t>) is not desired, every peripheral grapheme in the source must be transliterated with the default placeholder appropriate to its class.</w:t>
      </w:r>
    </w:p>
    <w:p w14:paraId="44B7D9F4" w14:textId="77777777">
      <w:pPr>
        <w:pStyle w:val="Cmsor4"/>
      </w:pPr>
      <w:bookmarkStart w:id="412" w:name="_Ref226036268"/>
      <w:r>
        <w:t>Default placeholders</w:t>
      </w:r>
      <w:bookmarkEnd w:id="412"/>
    </w:p>
    <w:p w14:paraId="5C314360" w14:textId="77777777">
      <w:pPr>
        <w:pStyle w:val="Lista"/>
      </w:pPr>
      <w:r>
        <w:t>the default placeholders for the classes are as follows</w:t>
      </w:r>
    </w:p>
    <w:p w14:paraId="68F29CA1" w14:textId="77777777">
      <w:pPr>
        <w:pStyle w:val="Lista2"/>
      </w:pPr>
      <w:r>
        <w:t xml:space="preserve">for ideograms: @ </w:t>
      </w:r>
      <w:r>
        <w:rPr>
          <w:noProof/>
        </w:rPr>
        <w:t>(</w:t>
      </w:r>
      <w:r>
        <w:t>at sign)</w:t>
      </w:r>
    </w:p>
    <w:p w14:paraId="3E6FB5C3" w14:textId="77777777">
      <w:pPr>
        <w:pStyle w:val="Lista2"/>
      </w:pPr>
      <w:r>
        <w:t xml:space="preserve">for punctuation marks: . </w:t>
      </w:r>
      <w:r>
        <w:rPr>
          <w:noProof/>
        </w:rPr>
        <w:t>(</w:t>
      </w:r>
      <w:r>
        <w:t>dot, period or full stop)</w:t>
      </w:r>
    </w:p>
    <w:p w14:paraId="5E9CDB8B" w14:textId="77777777">
      <w:pPr>
        <w:pStyle w:val="Lista2"/>
      </w:pPr>
      <w:r>
        <w:t xml:space="preserve">for connectors: § </w:t>
      </w:r>
      <w:r>
        <w:rPr>
          <w:noProof/>
        </w:rPr>
        <w:t>(</w:t>
      </w:r>
      <w:r>
        <w:t>section sign)</w:t>
      </w:r>
    </w:p>
    <w:p w14:paraId="429F5E4E" w14:textId="77777777">
      <w:pPr>
        <w:pStyle w:val="Lista2"/>
      </w:pPr>
      <w:r>
        <w:t xml:space="preserve">for abstract symbols: * </w:t>
      </w:r>
      <w:r>
        <w:rPr>
          <w:noProof/>
        </w:rPr>
        <w:t>(</w:t>
      </w:r>
      <w:r>
        <w:t>asterisk)</w:t>
      </w:r>
    </w:p>
    <w:p w14:paraId="76F1A502" w14:textId="2D27559D">
      <w:pPr>
        <w:pStyle w:val="Lista"/>
      </w:pPr>
      <w:r>
        <w:rPr>
          <w:lang w:eastAsia="en-US" w:bidi="ar-SA"/>
        </w:rPr>
        <w:t>in XML editions, the default placeholders will usually be combined with glyph encoding (§</w:t>
      </w:r>
      <w:r>
        <w:rPr>
          <w:lang w:eastAsia="en-US" w:bidi="ar-SA"/>
        </w:rPr>
        <w:fldChar w:fldCharType="begin"/>
      </w:r>
      <w:r>
        <w:rPr>
          <w:lang w:eastAsia="en-US" w:bidi="ar-SA"/>
        </w:rPr>
        <w:instrText xml:space="preserve"> REF _Ref226028934 \r \h </w:instrText>
      </w:r>
      <w:r>
        <w:rPr>
          <w:lang w:eastAsia="en-US" w:bidi="ar-SA"/>
        </w:rPr>
      </w:r>
      <w:r>
        <w:rPr>
          <w:lang w:eastAsia="en-US" w:bidi="ar-SA"/>
        </w:rPr>
        <w:fldChar w:fldCharType="separate"/>
      </w:r>
      <w:r>
        <w:rPr>
          <w:lang w:eastAsia="en-US" w:bidi="ar-SA"/>
        </w:rPr>
        <w:t>5.3.4</w:t>
      </w:r>
      <w:r>
        <w:rPr>
          <w:lang w:eastAsia="en-US" w:bidi="ar-SA"/>
        </w:rPr>
        <w:fldChar w:fldCharType="end"/>
      </w:r>
      <w:r>
        <w:rPr>
          <w:lang w:eastAsia="en-US" w:bidi="ar-SA"/>
        </w:rPr>
        <w:t>)</w:t>
      </w:r>
    </w:p>
    <w:p w14:paraId="2F54334A" w14:textId="77777777">
      <w:pPr>
        <w:pStyle w:val="Lista"/>
      </w:pPr>
      <w:r>
        <w:rPr>
          <w:lang w:eastAsia="en-US" w:bidi="ar-SA"/>
        </w:rPr>
        <w:t xml:space="preserve">default placeholders may be used without being wrapped in a </w:t>
      </w:r>
      <w:r>
        <w:rPr>
          <w:rStyle w:val="Code"/>
        </w:rPr>
        <w:t>&lt;g&gt;</w:t>
      </w:r>
      <w:r>
        <w:t xml:space="preserve"> element in the following circumstances:</w:t>
      </w:r>
    </w:p>
    <w:p w14:paraId="4C407792" w14:textId="44EF0F91">
      <w:pPr>
        <w:pStyle w:val="Lista2"/>
      </w:pPr>
      <w:r>
        <w:t>when supplying editorial punctuation for the purpose of semantic segmentation, as per §</w:t>
      </w:r>
      <w:r>
        <w:fldChar w:fldCharType="begin"/>
      </w:r>
      <w:r>
        <w:instrText xml:space="preserve"> REF _Ref229060537 \r \h </w:instrText>
      </w:r>
      <w:r>
        <w:fldChar w:fldCharType="separate"/>
      </w:r>
      <w:r>
        <w:t>7.8.3</w:t>
      </w:r>
      <w:r>
        <w:fldChar w:fldCharType="end"/>
      </w:r>
    </w:p>
    <w:p w14:paraId="60380623" w14:textId="77777777">
      <w:pPr>
        <w:pStyle w:val="Lista2"/>
      </w:pPr>
      <w:r>
        <w:t>when encoding a text from a previous edition, without access to the original or a surrogate, if that edition records the presence of a symbol without describing its appearance</w:t>
      </w:r>
    </w:p>
    <w:p w14:paraId="60504E58" w14:textId="77777777">
      <w:pPr>
        <w:pStyle w:val="Cmsor4"/>
      </w:pPr>
      <w:bookmarkStart w:id="413" w:name="_Ref225955892"/>
      <w:r>
        <w:t>Arbitrary placeholders</w:t>
      </w:r>
      <w:bookmarkEnd w:id="413"/>
    </w:p>
    <w:p w14:paraId="03DA79D0" w14:textId="77777777">
      <w:pPr>
        <w:rPr>
          <w:lang w:eastAsia="en-US" w:bidi="ar-SA"/>
        </w:rPr>
      </w:pPr>
      <w:r>
        <w:rPr>
          <w:lang w:eastAsia="en-US" w:bidi="ar-SA"/>
        </w:rPr>
        <w:t>At the editor’s discretion, arbitrary target graphemes (or strings of target graphemes) may be used for representing any peripheral grapheme in the source. Arbitrary placeholders can be Unicode characters chosen to resemble the source grapheme’s graphetic appearance or to imitate its perceived graphemic function, as well as strings alluding to an emic name of the source grapheme or describing it in etic terms (TG §5.1.2).</w:t>
      </w:r>
    </w:p>
    <w:p w14:paraId="6F7FCCFE" w14:textId="66BBECA4">
      <w:pPr>
        <w:pStyle w:val="Lista"/>
        <w:rPr>
          <w:lang w:eastAsia="en-US" w:bidi="ar-SA"/>
        </w:rPr>
      </w:pPr>
      <w:r>
        <w:rPr>
          <w:lang w:eastAsia="en-US" w:bidi="ar-SA"/>
        </w:rPr>
        <w:t>in XML editions, it is generally preferable to use only the default placeholders and combine them with glyph encoding (§</w:t>
      </w:r>
      <w:r>
        <w:rPr>
          <w:lang w:eastAsia="en-US" w:bidi="ar-SA"/>
        </w:rPr>
        <w:fldChar w:fldCharType="begin"/>
      </w:r>
      <w:r>
        <w:rPr>
          <w:lang w:eastAsia="en-US" w:bidi="ar-SA"/>
        </w:rPr>
        <w:instrText xml:space="preserve"> REF _Ref226016620 \r \h </w:instrText>
      </w:r>
      <w:r>
        <w:rPr>
          <w:lang w:eastAsia="en-US" w:bidi="ar-SA"/>
        </w:rPr>
      </w:r>
      <w:r>
        <w:rPr>
          <w:lang w:eastAsia="en-US" w:bidi="ar-SA"/>
        </w:rPr>
        <w:fldChar w:fldCharType="separate"/>
      </w:r>
      <w:r>
        <w:rPr>
          <w:lang w:eastAsia="en-US" w:bidi="ar-SA"/>
        </w:rPr>
        <w:t>5.3.4</w:t>
      </w:r>
      <w:r>
        <w:rPr>
          <w:lang w:eastAsia="en-US" w:bidi="ar-SA"/>
        </w:rPr>
        <w:fldChar w:fldCharType="end"/>
      </w:r>
      <w:r>
        <w:rPr>
          <w:lang w:eastAsia="en-US" w:bidi="ar-SA"/>
        </w:rPr>
        <w:t>)</w:t>
      </w:r>
    </w:p>
    <w:p w14:paraId="14E82177" w14:textId="77777777">
      <w:pPr>
        <w:pStyle w:val="Lista"/>
        <w:rPr>
          <w:lang w:eastAsia="en-US" w:bidi="ar-SA"/>
        </w:rPr>
      </w:pPr>
      <w:r>
        <w:rPr>
          <w:lang w:eastAsia="en-US" w:bidi="ar-SA"/>
        </w:rPr>
        <w:t>nonetheless, because they can help reduce code clutter, arbitrary placeholders are permitted in XML contexts if they are deemed to be satisfactory representations of the source grapheme</w:t>
      </w:r>
    </w:p>
    <w:p w14:paraId="28588901" w14:textId="77777777">
      <w:pPr>
        <w:pStyle w:val="Lista2"/>
      </w:pPr>
      <w:r>
        <w:rPr>
          <w:lang w:eastAsia="en-US" w:bidi="ar-SA"/>
        </w:rPr>
        <w:t>arbitrary placeholders may be used without glyph encoding provided that they consist of a single character</w:t>
      </w:r>
    </w:p>
    <w:p w14:paraId="678CBCBC" w14:textId="0466149C">
      <w:pPr>
        <w:pStyle w:val="Lista2"/>
        <w:rPr>
          <w:lang w:eastAsia="en-US" w:bidi="ar-SA"/>
        </w:rPr>
      </w:pPr>
      <w:r>
        <w:rPr>
          <w:lang w:eastAsia="en-US" w:bidi="ar-SA"/>
        </w:rPr>
        <w:t>multi-character arbitrary placeholders must, however, always be combined with glyph encoding (§</w:t>
      </w:r>
      <w:r>
        <w:rPr>
          <w:lang w:eastAsia="en-US" w:bidi="ar-SA"/>
        </w:rPr>
        <w:fldChar w:fldCharType="begin"/>
      </w:r>
      <w:r>
        <w:rPr>
          <w:lang w:eastAsia="en-US" w:bidi="ar-SA"/>
        </w:rPr>
        <w:instrText xml:space="preserve"> REF _Ref226028934 \r \h </w:instrText>
      </w:r>
      <w:r>
        <w:rPr>
          <w:lang w:eastAsia="en-US" w:bidi="ar-SA"/>
        </w:rPr>
      </w:r>
      <w:r>
        <w:rPr>
          <w:lang w:eastAsia="en-US" w:bidi="ar-SA"/>
        </w:rPr>
        <w:fldChar w:fldCharType="separate"/>
      </w:r>
      <w:r>
        <w:rPr>
          <w:lang w:eastAsia="en-US" w:bidi="ar-SA"/>
        </w:rPr>
        <w:t>5.3.4</w:t>
      </w:r>
      <w:r>
        <w:rPr>
          <w:lang w:eastAsia="en-US" w:bidi="ar-SA"/>
        </w:rPr>
        <w:fldChar w:fldCharType="end"/>
      </w:r>
      <w:r>
        <w:rPr>
          <w:lang w:eastAsia="en-US" w:bidi="ar-SA"/>
        </w:rPr>
        <w:t>) to make it clear that a particular string of target characters corresponds to a single source grapheme</w:t>
      </w:r>
    </w:p>
    <w:p w14:paraId="1D315C2E" w14:textId="77777777">
      <w:pPr>
        <w:pStyle w:val="Lista"/>
        <w:rPr>
          <w:lang w:eastAsia="en-US" w:bidi="ar-SA"/>
        </w:rPr>
      </w:pPr>
      <w:r>
        <w:rPr>
          <w:lang w:eastAsia="en-US" w:bidi="ar-SA"/>
        </w:rPr>
        <w:t>strategies for combining the available transliteration and encoding options are outlined in TG §5.1.3</w:t>
      </w:r>
    </w:p>
    <w:p w14:paraId="09AA0910" w14:textId="77777777">
      <w:pPr>
        <w:pStyle w:val="Lista"/>
        <w:rPr>
          <w:lang w:eastAsia="en-US" w:bidi="ar-SA"/>
        </w:rPr>
      </w:pPr>
      <w:r>
        <w:rPr>
          <w:lang w:eastAsia="en-US" w:bidi="ar-SA"/>
        </w:rPr>
        <w:t>in XML editions, arbitrary placeholders are most likely to be used for basic forms of punctuation marks, as follows</w:t>
      </w:r>
    </w:p>
    <w:p w14:paraId="5B2A4EB4" w14:textId="77777777">
      <w:pPr>
        <w:pStyle w:val="Lista3"/>
        <w:rPr>
          <w:rFonts w:eastAsia="Arial"/>
        </w:rPr>
      </w:pPr>
      <w:r>
        <w:t xml:space="preserve">| </w:t>
      </w:r>
      <w:r>
        <w:rPr>
          <w:noProof/>
        </w:rPr>
        <w:t>(</w:t>
      </w:r>
      <w:r>
        <w:rPr>
          <w:rStyle w:val="Code"/>
        </w:rPr>
        <w:t>U+007C</w:t>
      </w:r>
      <w:r>
        <w:t xml:space="preserve"> Vertical Line) for signs comprised of a single plain vertical bar</w:t>
      </w:r>
    </w:p>
    <w:p w14:paraId="011A2975" w14:textId="77777777">
      <w:pPr>
        <w:pStyle w:val="Lista3"/>
      </w:pPr>
      <w:r>
        <w:t xml:space="preserve">/ </w:t>
      </w:r>
      <w:r>
        <w:rPr>
          <w:noProof/>
        </w:rPr>
        <w:t>(</w:t>
      </w:r>
      <w:r>
        <w:t>slash) for signs comprised of a single vertical bar with a hook, crossbar or ornamental addition</w:t>
      </w:r>
    </w:p>
    <w:p w14:paraId="63B52DB7" w14:textId="77777777">
      <w:pPr>
        <w:pStyle w:val="Lista3"/>
      </w:pPr>
      <w:r>
        <w:t xml:space="preserve">, </w:t>
      </w:r>
      <w:r>
        <w:rPr>
          <w:noProof/>
        </w:rPr>
        <w:t>(</w:t>
      </w:r>
      <w:r>
        <w:t>comma) for short, predominantly vertical and often curved strokes at any height</w:t>
      </w:r>
    </w:p>
    <w:p w14:paraId="38A7B8DF" w14:textId="77777777">
      <w:pPr>
        <w:pStyle w:val="Lista2"/>
        <w:rPr>
          <w:lang w:eastAsia="en-US" w:bidi="ar-SA"/>
        </w:rPr>
      </w:pPr>
      <w:r>
        <w:rPr>
          <w:lang w:eastAsia="en-US" w:bidi="ar-SA"/>
        </w:rPr>
        <w:t>additional recommendations for arbitrary placeholders are available in the TG sections (under §5) discussing the functional classes</w:t>
      </w:r>
    </w:p>
    <w:p w14:paraId="156C1DD4" w14:textId="77777777">
      <w:pPr>
        <w:pStyle w:val="Cmsor3"/>
      </w:pPr>
      <w:bookmarkStart w:id="414" w:name="_Ref225955927"/>
      <w:bookmarkStart w:id="415" w:name="_Ref226016620"/>
      <w:bookmarkStart w:id="416" w:name="_Ref226028934"/>
      <w:bookmarkStart w:id="417" w:name="_Ref226032987"/>
      <w:bookmarkStart w:id="418" w:name="_Toc243922651"/>
      <w:r>
        <w:t>Glyph encoding for peripheral graphemes</w:t>
      </w:r>
      <w:bookmarkEnd w:id="414"/>
      <w:bookmarkEnd w:id="415"/>
      <w:bookmarkEnd w:id="416"/>
      <w:bookmarkEnd w:id="417"/>
      <w:bookmarkEnd w:id="418"/>
    </w:p>
    <w:p w14:paraId="6FC1072F" w14:textId="77777777">
      <w:r>
        <w:t xml:space="preserve">We use the TEI element </w:t>
      </w:r>
      <w:r>
        <w:rPr>
          <w:rStyle w:val="Code"/>
        </w:rPr>
        <w:t>&lt;g&gt;</w:t>
      </w:r>
      <w:r>
        <w:t xml:space="preserve"> </w:t>
      </w:r>
      <w:r>
        <w:rPr>
          <w:noProof/>
        </w:rPr>
        <w:t>(</w:t>
      </w:r>
      <w:r>
        <w:t>for “glyph” or “gaiji”</w:t>
      </w:r>
      <w:r>
        <w:rPr>
          <w:rStyle w:val="Lbjegyzet-hivatkozs"/>
        </w:rPr>
        <w:footnoteReference w:id="22"/>
      </w:r>
      <w:r>
        <w:t>) in the encoding of all glyphs other than phonographic ones and decimal digits. The use of this element indicates that our set of target graphemes provides no direct equivalent to the original glyph, and that the contents of this element represent a single source grapheme.</w:t>
      </w:r>
    </w:p>
    <w:p w14:paraId="5B3D869D" w14:textId="77777777">
      <w:pPr>
        <w:pStyle w:val="Lista"/>
      </w:pPr>
      <w:r>
        <w:lastRenderedPageBreak/>
        <w:t xml:space="preserve">the (default or arbitrary) placeholders that correspond in transliteration to a peripheral grapheme in the source may be wrapped in the element </w:t>
      </w:r>
      <w:r>
        <w:rPr>
          <w:rStyle w:val="Code"/>
        </w:rPr>
        <w:t>&lt;g&gt;</w:t>
      </w:r>
    </w:p>
    <w:p w14:paraId="62622EA4" w14:textId="77777777">
      <w:pPr>
        <w:pStyle w:val="Lista2"/>
      </w:pPr>
      <w:r>
        <w:t>this encoding is mandatory for arbitrary placeholders that consist of more than one character and optional but recommended for all other placeholders</w:t>
      </w:r>
    </w:p>
    <w:p w14:paraId="6BA44236" w14:textId="77777777">
      <w:pPr>
        <w:pStyle w:val="Lista2"/>
      </w:pPr>
      <w:r>
        <w:t xml:space="preserve">the </w:t>
      </w:r>
      <w:r>
        <w:rPr>
          <w:rStyle w:val="Code"/>
        </w:rPr>
        <w:t>&lt;g&gt;</w:t>
      </w:r>
      <w:r>
        <w:t xml:space="preserve"> element for peripheral graphemes can be supplemented with the following attributes</w:t>
      </w:r>
    </w:p>
    <w:p w14:paraId="178CFC65" w14:textId="10ECA603">
      <w:pPr>
        <w:pStyle w:val="Lista3"/>
      </w:pPr>
      <w:r>
        <w:t xml:space="preserve">optionally or as required, </w:t>
      </w:r>
      <w:r>
        <w:rPr>
          <w:rStyle w:val="Codeattribute"/>
        </w:rPr>
        <w:t>@type</w:t>
      </w:r>
      <w:r>
        <w:t xml:space="preserve"> to assign the grapheme to a functional class as per §</w:t>
      </w:r>
      <w:r>
        <w:fldChar w:fldCharType="begin"/>
      </w:r>
      <w:r>
        <w:instrText xml:space="preserve"> REF _Ref226017652 \r \h </w:instrText>
      </w:r>
      <w:r>
        <w:fldChar w:fldCharType="separate"/>
      </w:r>
      <w:r>
        <w:t>5.3.4.1</w:t>
      </w:r>
      <w:r>
        <w:fldChar w:fldCharType="end"/>
      </w:r>
    </w:p>
    <w:p w14:paraId="16BB5C07" w14:textId="3DCFA601">
      <w:pPr>
        <w:pStyle w:val="Lista3"/>
      </w:pPr>
      <w:r>
        <w:t xml:space="preserve">optionally, </w:t>
      </w:r>
      <w:r>
        <w:rPr>
          <w:rStyle w:val="Codeattribute"/>
        </w:rPr>
        <w:t>@ref</w:t>
      </w:r>
      <w:r>
        <w:t xml:space="preserve"> to associate the grapheme with an item in our authority file for symbols as per §</w:t>
      </w:r>
      <w:r>
        <w:fldChar w:fldCharType="begin"/>
      </w:r>
      <w:r>
        <w:instrText xml:space="preserve"> REF _Ref226036269 \r \h </w:instrText>
      </w:r>
      <w:r>
        <w:fldChar w:fldCharType="separate"/>
      </w:r>
      <w:r>
        <w:t>5.3.4.2</w:t>
      </w:r>
      <w:r>
        <w:fldChar w:fldCharType="end"/>
      </w:r>
      <w:r>
        <w:t xml:space="preserve"> </w:t>
      </w:r>
    </w:p>
    <w:p w14:paraId="2CC627E6" w14:textId="77777777">
      <w:pPr>
        <w:pStyle w:val="Lista"/>
        <w:rPr>
          <w:lang w:eastAsia="en-US" w:bidi="ar-SA"/>
        </w:rPr>
      </w:pPr>
      <w:r>
        <w:t xml:space="preserve">in DHARMA practice, </w:t>
      </w:r>
      <w:r>
        <w:rPr>
          <w:rStyle w:val="Code"/>
        </w:rPr>
        <w:t>&lt;g&gt;</w:t>
      </w:r>
      <w:r>
        <w:t xml:space="preserve"> for symbol encoding shall always contain text (a transliteration placeholder) </w:t>
      </w:r>
    </w:p>
    <w:p w14:paraId="48F5749A" w14:textId="77777777">
      <w:pPr>
        <w:pStyle w:val="Lista2"/>
        <w:rPr>
          <w:lang w:eastAsia="en-US" w:bidi="ar-SA"/>
        </w:rPr>
      </w:pPr>
      <w:r>
        <w:rPr>
          <w:lang w:eastAsia="en-US" w:bidi="ar-SA"/>
        </w:rPr>
        <w:t xml:space="preserve">unlike the earlier versions of this Guide, which endorsed empty </w:t>
      </w:r>
      <w:r>
        <w:rPr>
          <w:rStyle w:val="Code"/>
        </w:rPr>
        <w:t>&lt;g/&gt;</w:t>
      </w:r>
      <w:r>
        <w:t xml:space="preserve"> elements for certain kinds of symbols</w:t>
      </w:r>
    </w:p>
    <w:p w14:paraId="0B870DD1" w14:textId="77777777">
      <w:pPr>
        <w:pStyle w:val="Cmsor4"/>
      </w:pPr>
      <w:bookmarkStart w:id="419" w:name="_Ref226017652"/>
      <w:bookmarkStart w:id="420" w:name="_Ref226031926"/>
      <w:r>
        <w:t xml:space="preserve">Encoding symbol </w:t>
      </w:r>
      <w:bookmarkEnd w:id="419"/>
      <w:r>
        <w:t>function</w:t>
      </w:r>
      <w:bookmarkEnd w:id="420"/>
    </w:p>
    <w:p w14:paraId="5729C48B" w14:textId="08E9DAA8">
      <w:pPr>
        <w:rPr>
          <w:lang w:eastAsia="en-US" w:bidi="ar-SA"/>
        </w:rPr>
      </w:pPr>
      <w:r>
        <w:rPr>
          <w:lang w:eastAsia="en-US" w:bidi="ar-SA"/>
        </w:rPr>
        <w:t xml:space="preserve">The attribute </w:t>
      </w:r>
      <w:r>
        <w:rPr>
          <w:rStyle w:val="Codeattribute"/>
        </w:rPr>
        <w:t>@type</w:t>
      </w:r>
      <w:r>
        <w:t xml:space="preserve"> on the </w:t>
      </w:r>
      <w:r>
        <w:rPr>
          <w:rStyle w:val="Code"/>
        </w:rPr>
        <w:t>&lt;g&gt;</w:t>
      </w:r>
      <w:r>
        <w:t xml:space="preserve"> element for peripheral graphemes formally associates the glyph with one of the basic functional classes introduced in §</w:t>
      </w:r>
      <w:r>
        <w:fldChar w:fldCharType="begin"/>
      </w:r>
      <w:r>
        <w:instrText xml:space="preserve"> REF _Ref226023506 \r \h </w:instrText>
      </w:r>
      <w:r>
        <w:fldChar w:fldCharType="separate"/>
      </w:r>
      <w:r>
        <w:t>5.3.2</w:t>
      </w:r>
      <w:r>
        <w:fldChar w:fldCharType="end"/>
      </w:r>
      <w:r>
        <w:t xml:space="preserve">. </w:t>
      </w:r>
      <w:r>
        <w:rPr>
          <w:lang w:eastAsia="en-US" w:bidi="ar-SA"/>
        </w:rPr>
        <w:t>It thus redundantly represents the same information as the choice of default placeholder, but does so in a rigorous machine-readable manner.</w:t>
      </w:r>
    </w:p>
    <w:p w14:paraId="7865FC7B" w14:textId="77777777">
      <w:pPr>
        <w:pStyle w:val="Lista"/>
        <w:rPr>
          <w:lang w:eastAsia="en-US" w:bidi="ar-SA"/>
        </w:rPr>
      </w:pPr>
      <w:r>
        <w:rPr>
          <w:lang w:eastAsia="en-US" w:bidi="ar-SA"/>
        </w:rPr>
        <w:t xml:space="preserve">the available values of </w:t>
      </w:r>
      <w:r>
        <w:rPr>
          <w:rStyle w:val="Codeattribute"/>
        </w:rPr>
        <w:t>@type</w:t>
      </w:r>
      <w:r>
        <w:t xml:space="preserve"> for symbol encoding are as follows</w:t>
      </w:r>
      <w:r>
        <w:rPr>
          <w:rStyle w:val="Lbjegyzet-hivatkozs"/>
        </w:rPr>
        <w:footnoteReference w:id="23"/>
      </w:r>
    </w:p>
    <w:p w14:paraId="7B9401C7" w14:textId="77777777">
      <w:pPr>
        <w:pStyle w:val="Lista2"/>
        <w:rPr>
          <w:lang w:eastAsia="en-US" w:bidi="ar-SA"/>
        </w:rPr>
      </w:pPr>
      <w:r>
        <w:rPr>
          <w:rStyle w:val="Codevalue"/>
        </w:rPr>
        <w:t>"ideogram"</w:t>
      </w:r>
      <w:r>
        <w:t xml:space="preserve"> for ideograms (other than numerals)</w:t>
      </w:r>
    </w:p>
    <w:p w14:paraId="78151C4F" w14:textId="77777777">
      <w:pPr>
        <w:pStyle w:val="Lista2"/>
        <w:rPr>
          <w:lang w:eastAsia="en-US" w:bidi="ar-SA"/>
        </w:rPr>
      </w:pPr>
      <w:r>
        <w:rPr>
          <w:rStyle w:val="Codevalue"/>
        </w:rPr>
        <w:t>"punctuation"</w:t>
      </w:r>
      <w:r>
        <w:t xml:space="preserve"> for punctuation marks</w:t>
      </w:r>
    </w:p>
    <w:p w14:paraId="5CEC0DFD" w14:textId="77777777">
      <w:pPr>
        <w:pStyle w:val="Lista2"/>
        <w:rPr>
          <w:lang w:eastAsia="en-US" w:bidi="ar-SA"/>
        </w:rPr>
      </w:pPr>
      <w:r>
        <w:rPr>
          <w:rStyle w:val="Codevalue"/>
        </w:rPr>
        <w:t>"connector"</w:t>
      </w:r>
      <w:r>
        <w:t xml:space="preserve"> for connectors</w:t>
      </w:r>
    </w:p>
    <w:p w14:paraId="66E19686" w14:textId="77777777">
      <w:pPr>
        <w:pStyle w:val="Lista2"/>
        <w:rPr>
          <w:lang w:eastAsia="en-US" w:bidi="ar-SA"/>
        </w:rPr>
      </w:pPr>
      <w:r>
        <w:rPr>
          <w:rStyle w:val="Codevalue"/>
        </w:rPr>
        <w:t>"symbol"</w:t>
      </w:r>
      <w:r>
        <w:t xml:space="preserve"> for abstract symbols, i.e. anything not explicitly assigned to any of the above classes</w:t>
      </w:r>
    </w:p>
    <w:p w14:paraId="775876EE" w14:textId="77777777">
      <w:pPr>
        <w:pStyle w:val="Lista3"/>
        <w:rPr>
          <w:lang w:eastAsia="en-US" w:bidi="ar-SA"/>
        </w:rPr>
      </w:pPr>
      <w:r>
        <w:rPr>
          <w:lang w:eastAsia="en-US" w:bidi="ar-SA"/>
        </w:rPr>
        <w:t xml:space="preserve">this is the default value of </w:t>
      </w:r>
      <w:r>
        <w:rPr>
          <w:rStyle w:val="Codeattribute"/>
        </w:rPr>
        <w:t>@type</w:t>
      </w:r>
      <w:r>
        <w:t xml:space="preserve">, meaning that if the attribute is not present in the code, the </w:t>
      </w:r>
      <w:r>
        <w:rPr>
          <w:rStyle w:val="Code"/>
        </w:rPr>
        <w:t>&lt;g&gt;</w:t>
      </w:r>
      <w:r>
        <w:t xml:space="preserve"> element will automatically be understood to have this type</w:t>
      </w:r>
    </w:p>
    <w:p w14:paraId="17D78A04" w14:textId="77777777">
      <w:pPr>
        <w:pStyle w:val="Lista3"/>
        <w:rPr>
          <w:lang w:eastAsia="en-US" w:bidi="ar-SA"/>
        </w:rPr>
      </w:pPr>
      <w:r>
        <w:t xml:space="preserve">for this reason, </w:t>
      </w:r>
      <w:r>
        <w:rPr>
          <w:rStyle w:val="Codeattribute"/>
        </w:rPr>
        <w:t>@type</w:t>
      </w:r>
      <w:r>
        <w:t xml:space="preserve"> should always be explicitly encoded in conjunction with default placeholders other than * (i.e. the default placeholders for any of the other three classes), because omitting </w:t>
      </w:r>
      <w:r>
        <w:rPr>
          <w:rStyle w:val="Codeattribute"/>
        </w:rPr>
        <w:t>@type</w:t>
      </w:r>
      <w:r>
        <w:t xml:space="preserve"> would then result in a contradictory classification</w:t>
      </w:r>
    </w:p>
    <w:p w14:paraId="42D6712D" w14:textId="77777777">
      <w:pPr>
        <w:pStyle w:val="Cmsor4"/>
      </w:pPr>
      <w:bookmarkStart w:id="421" w:name="_Ref226036269"/>
      <w:bookmarkStart w:id="422" w:name="_Ref228178759"/>
      <w:bookmarkStart w:id="423" w:name="_Ref43980440"/>
      <w:bookmarkStart w:id="424" w:name="_Ref44577917"/>
      <w:bookmarkStart w:id="425" w:name="_Ref44577928"/>
      <w:bookmarkStart w:id="426" w:name="_Ref44577934"/>
      <w:bookmarkStart w:id="427" w:name="_Ref44577939"/>
      <w:r>
        <w:t>Encoding symbol identification</w:t>
      </w:r>
      <w:bookmarkEnd w:id="421"/>
      <w:r>
        <w:t xml:space="preserve"> through the authority file</w:t>
      </w:r>
      <w:bookmarkEnd w:id="422"/>
    </w:p>
    <w:p w14:paraId="37C0AE41" w14:textId="77777777">
      <w:r>
        <w:rPr>
          <w:lang w:eastAsia="en-US" w:bidi="ar-SA"/>
        </w:rPr>
        <w:t xml:space="preserve">The attribute </w:t>
      </w:r>
      <w:r>
        <w:rPr>
          <w:rStyle w:val="Codeattribute"/>
        </w:rPr>
        <w:t>@ref</w:t>
      </w:r>
      <w:r>
        <w:t xml:space="preserve"> on the </w:t>
      </w:r>
      <w:r>
        <w:rPr>
          <w:rStyle w:val="Code"/>
        </w:rPr>
        <w:t>&lt;g&gt;</w:t>
      </w:r>
      <w:r>
        <w:t xml:space="preserve"> element for peripheral graphemes formally associates the glyph with an entry in our authority file for Glyph Taxonomy.</w:t>
      </w:r>
      <w:r>
        <w:rPr>
          <w:rStyle w:val="Lbjegyzet-hivatkozs"/>
        </w:rPr>
        <w:footnoteReference w:id="24"/>
      </w:r>
      <w:r>
        <w:t xml:space="preserve"> The contents and use of the of the Taxonomy are explained in the authority file itself and are only briefly summarised here.</w:t>
      </w:r>
    </w:p>
    <w:p w14:paraId="75E9C475" w14:textId="77777777">
      <w:pPr>
        <w:pStyle w:val="Normlbehzs"/>
      </w:pPr>
      <w:r>
        <w:t xml:space="preserve">The authority file is a classified list of </w:t>
      </w:r>
      <w:r>
        <w:rPr>
          <w:b/>
          <w:bCs/>
        </w:rPr>
        <w:t>symbol tokens</w:t>
      </w:r>
      <w:r>
        <w:t>, which are short descriptive labels identifying various kinds of symbols. Within the authority file, tokens are divided at the top level into an etic and an emic class. The etic class consists of tokens that describe the graphic appearance of symbols in simple and objective terms. This class is structured hierarchically in the manner of a taxonomy, with a small number of “genus” tokens for basic classes such as vertical bars, horizontal dashes, bullets, etc., and a larger number of “species” and “subspecies” tokens for more or less specific varieties of these classes. The emic class includes tokens that identify a language and specify a source-language term for a particular symbol that has a name in a given writing tradition. The language tags in the emic tokens correspond to the genus names of the etic class, while the symbol terms correspond to species names.</w:t>
      </w:r>
    </w:p>
    <w:p w14:paraId="2422BC55" w14:textId="645A43C2">
      <w:pPr>
        <w:pStyle w:val="Normlbehzs"/>
      </w:pPr>
      <w:r>
        <w:t>For each token, the authority file includes a “name” and a “description.” Names are either very concise indications of the symbol’s appearance, or terms designating the symbol’s meaning. Descriptions contain more detailed, but still concise, information about the symbol. Entries also optionally include a “mapping,” which is a Unicode character that is in some way similar to and representative of the original symbol. These details are involved in the generation of display in a DHARMA environment (§</w:t>
      </w:r>
      <w:r>
        <w:fldChar w:fldCharType="begin"/>
      </w:r>
      <w:r>
        <w:instrText xml:space="preserve"> REF _Ref228179055 \r \h </w:instrText>
      </w:r>
      <w:r>
        <w:fldChar w:fldCharType="separate"/>
      </w:r>
      <w:r>
        <w:t>5.3.4.3</w:t>
      </w:r>
      <w:r>
        <w:fldChar w:fldCharType="end"/>
      </w:r>
      <w:r>
        <w:t>).</w:t>
      </w:r>
    </w:p>
    <w:p w14:paraId="639FDE38" w14:textId="77777777">
      <w:pPr>
        <w:pStyle w:val="Lista"/>
        <w:rPr>
          <w:lang w:eastAsia="en-US" w:bidi="ar-SA"/>
        </w:rPr>
      </w:pPr>
      <w:r>
        <w:rPr>
          <w:lang w:eastAsia="en-US" w:bidi="ar-SA"/>
        </w:rPr>
        <w:lastRenderedPageBreak/>
        <w:t xml:space="preserve">the value of </w:t>
      </w:r>
      <w:r>
        <w:rPr>
          <w:rStyle w:val="Codeattribute"/>
        </w:rPr>
        <w:t>@ref</w:t>
      </w:r>
      <w:r>
        <w:t xml:space="preserve"> on the </w:t>
      </w:r>
      <w:r>
        <w:rPr>
          <w:rStyle w:val="Code"/>
        </w:rPr>
        <w:t>&lt;g&gt;</w:t>
      </w:r>
      <w:r>
        <w:t xml:space="preserve"> element representing a symbol must begin with the abbreviation </w:t>
      </w:r>
      <w:r>
        <w:rPr>
          <w:rStyle w:val="Codevalue"/>
        </w:rPr>
        <w:t>"sym:"</w:t>
      </w:r>
      <w:r>
        <w:t>, indicating that it refers to our Glyph Taxonomy authority file, followed by a symbol token, e.g.</w:t>
      </w:r>
    </w:p>
    <w:p w14:paraId="071D0647" w14:textId="77777777">
      <w:pPr>
        <w:pStyle w:val="Lista2"/>
        <w:rPr>
          <w:lang w:eastAsia="en-US" w:bidi="ar-SA"/>
        </w:rPr>
      </w:pPr>
      <w:r>
        <w:rPr>
          <w:lang w:eastAsia="en-US" w:bidi="ar-SA"/>
        </w:rPr>
        <w:t xml:space="preserve">with emic tokens, </w:t>
      </w:r>
      <w:r>
        <w:rPr>
          <w:rStyle w:val="Codevalue"/>
        </w:rPr>
        <w:t>"sym:tam-kalancu"</w:t>
      </w:r>
      <w:r>
        <w:t xml:space="preserve"> to refer to the sign called </w:t>
      </w:r>
      <w:r>
        <w:rPr>
          <w:rStyle w:val="Foreign"/>
        </w:rPr>
        <w:t>kaḻañcu</w:t>
      </w:r>
      <w:r>
        <w:t xml:space="preserve"> in the Tamil writing tradition</w:t>
      </w:r>
    </w:p>
    <w:p w14:paraId="7F8695E6" w14:textId="77777777">
      <w:pPr>
        <w:pStyle w:val="Lista2"/>
        <w:rPr>
          <w:lang w:eastAsia="en-US" w:bidi="ar-SA"/>
        </w:rPr>
      </w:pPr>
      <w:r>
        <w:t xml:space="preserve">with etic tokens, </w:t>
      </w:r>
      <w:r>
        <w:rPr>
          <w:rStyle w:val="Codevalue"/>
        </w:rPr>
        <w:t>"sym:bullet-double"</w:t>
      </w:r>
      <w:r>
        <w:t xml:space="preserve"> to refer to a sign in the shape of a double bullet (an entity of the “bullet” genus and within that to the “double” species)</w:t>
      </w:r>
    </w:p>
    <w:p w14:paraId="69319D07" w14:textId="77777777">
      <w:pPr>
        <w:pStyle w:val="Lista"/>
        <w:rPr>
          <w:lang w:eastAsia="en-US" w:bidi="ar-SA"/>
        </w:rPr>
      </w:pPr>
      <w:r>
        <w:rPr>
          <w:lang w:eastAsia="en-US" w:bidi="ar-SA"/>
        </w:rPr>
        <w:t xml:space="preserve">when </w:t>
      </w:r>
      <w:r>
        <w:rPr>
          <w:rStyle w:val="Codeattribute"/>
        </w:rPr>
        <w:t>@ref</w:t>
      </w:r>
      <w:r>
        <w:t xml:space="preserve"> is not present on a symbol encoded with </w:t>
      </w:r>
      <w:r>
        <w:rPr>
          <w:rStyle w:val="Code"/>
        </w:rPr>
        <w:t>&lt;g&gt;</w:t>
      </w:r>
      <w:r>
        <w:t>¸ the symbol will by default be understood to be unclassified, meaning that the encoder has chosen not to associate this peripheral grapheme with the Taxonomy, for example</w:t>
      </w:r>
    </w:p>
    <w:p w14:paraId="2F61F4C7" w14:textId="77777777">
      <w:pPr>
        <w:pStyle w:val="Lista2"/>
        <w:rPr>
          <w:lang w:eastAsia="en-US" w:bidi="ar-SA"/>
        </w:rPr>
      </w:pPr>
      <w:r>
        <w:rPr>
          <w:lang w:eastAsia="en-US" w:bidi="ar-SA"/>
        </w:rPr>
        <w:t>because the symbol is too unclear to assert any shape for it</w:t>
      </w:r>
    </w:p>
    <w:p w14:paraId="5BF84AF6" w14:textId="77777777">
      <w:pPr>
        <w:pStyle w:val="Lista2"/>
        <w:rPr>
          <w:lang w:eastAsia="en-US" w:bidi="ar-SA"/>
        </w:rPr>
      </w:pPr>
      <w:r>
        <w:rPr>
          <w:lang w:eastAsia="en-US" w:bidi="ar-SA"/>
        </w:rPr>
        <w:t>because no visual documentation is available and a previous editor did not describe the symbol</w:t>
      </w:r>
    </w:p>
    <w:p w14:paraId="5F60A2F2" w14:textId="77777777">
      <w:pPr>
        <w:pStyle w:val="Lista2"/>
        <w:rPr>
          <w:lang w:eastAsia="en-US" w:bidi="ar-SA"/>
        </w:rPr>
      </w:pPr>
      <w:r>
        <w:rPr>
          <w:lang w:eastAsia="en-US" w:bidi="ar-SA"/>
        </w:rPr>
        <w:t>because the shape of the symbol is not deemed relevant</w:t>
      </w:r>
    </w:p>
    <w:p w14:paraId="1958071E" w14:textId="77777777">
      <w:pPr>
        <w:pStyle w:val="Cmsor4"/>
      </w:pPr>
      <w:bookmarkStart w:id="428" w:name="_Ref228179055"/>
      <w:r>
        <w:t>Rendering symbols for display</w:t>
      </w:r>
      <w:bookmarkEnd w:id="428"/>
    </w:p>
    <w:p w14:paraId="6115BE46" w14:textId="1E358627">
      <w:pPr>
        <w:rPr>
          <w:lang w:eastAsia="en-US" w:bidi="ar-SA"/>
        </w:rPr>
      </w:pPr>
      <w:r>
        <w:rPr>
          <w:lang w:eastAsia="en-US" w:bidi="ar-SA"/>
        </w:rPr>
        <w:t xml:space="preserve">When rendered for display in the DHARMA ecosystem, encoded symbols will appear as described below. Arbitrary placeholders used without a </w:t>
      </w:r>
      <w:r>
        <w:rPr>
          <w:rStyle w:val="Code"/>
        </w:rPr>
        <w:t>&lt;g&gt;</w:t>
      </w:r>
      <w:r>
        <w:t xml:space="preserve"> wrapper will of course be shown as plain text. The examples in §</w:t>
      </w:r>
      <w:r>
        <w:fldChar w:fldCharType="begin"/>
      </w:r>
      <w:r>
        <w:instrText xml:space="preserve"> REF _Ref228180176 \r \h </w:instrText>
      </w:r>
      <w:r>
        <w:fldChar w:fldCharType="separate"/>
      </w:r>
      <w:r>
        <w:t>5.3.4.4</w:t>
      </w:r>
      <w:r>
        <w:fldChar w:fldCharType="end"/>
      </w:r>
      <w:r>
        <w:t xml:space="preserve"> also show the display rendition of encoded symbols.</w:t>
      </w:r>
    </w:p>
    <w:p w14:paraId="1A315BFF" w14:textId="77777777">
      <w:pPr>
        <w:pStyle w:val="Lista"/>
        <w:rPr>
          <w:lang w:eastAsia="en-US" w:bidi="ar-SA"/>
        </w:rPr>
      </w:pPr>
      <w:r>
        <w:rPr>
          <w:lang w:eastAsia="en-US" w:bidi="ar-SA"/>
        </w:rPr>
        <w:t>the actual text representing the symbol will be as follows:</w:t>
      </w:r>
    </w:p>
    <w:p w14:paraId="72A313EF" w14:textId="67BD3D82">
      <w:pPr>
        <w:pStyle w:val="Lista2"/>
        <w:rPr>
          <w:lang w:eastAsia="en-US" w:bidi="ar-SA"/>
        </w:rPr>
      </w:pPr>
      <w:r>
        <w:rPr>
          <w:lang w:eastAsia="en-US" w:bidi="ar-SA"/>
        </w:rPr>
        <w:t>by default, the mapping assigned to the token in the authority file (§</w:t>
      </w:r>
      <w:r>
        <w:rPr>
          <w:lang w:eastAsia="en-US" w:bidi="ar-SA"/>
        </w:rPr>
        <w:fldChar w:fldCharType="begin"/>
      </w:r>
      <w:r>
        <w:rPr>
          <w:lang w:eastAsia="en-US" w:bidi="ar-SA"/>
        </w:rPr>
        <w:instrText xml:space="preserve"> REF _Ref228178759 \r \h </w:instrText>
      </w:r>
      <w:r>
        <w:rPr>
          <w:lang w:eastAsia="en-US" w:bidi="ar-SA"/>
        </w:rPr>
      </w:r>
      <w:r>
        <w:rPr>
          <w:lang w:eastAsia="en-US" w:bidi="ar-SA"/>
        </w:rPr>
        <w:fldChar w:fldCharType="separate"/>
      </w:r>
      <w:r>
        <w:rPr>
          <w:lang w:eastAsia="en-US" w:bidi="ar-SA"/>
        </w:rPr>
        <w:t>5.3.4.2</w:t>
      </w:r>
      <w:r>
        <w:rPr>
          <w:lang w:eastAsia="en-US" w:bidi="ar-SA"/>
        </w:rPr>
        <w:fldChar w:fldCharType="end"/>
      </w:r>
      <w:r>
        <w:rPr>
          <w:lang w:eastAsia="en-US" w:bidi="ar-SA"/>
        </w:rPr>
        <w:t>) will be displayed</w:t>
      </w:r>
    </w:p>
    <w:p w14:paraId="7540B0E8" w14:textId="77777777">
      <w:pPr>
        <w:pStyle w:val="Lista3"/>
        <w:rPr>
          <w:lang w:eastAsia="en-US" w:bidi="ar-SA"/>
        </w:rPr>
      </w:pPr>
      <w:r>
        <w:rPr>
          <w:lang w:eastAsia="en-US" w:bidi="ar-SA"/>
        </w:rPr>
        <w:t xml:space="preserve">this is possible whenever the symbol is encoded with a </w:t>
      </w:r>
      <w:r>
        <w:rPr>
          <w:rStyle w:val="Code"/>
        </w:rPr>
        <w:t>&lt;g&gt;</w:t>
      </w:r>
      <w:r>
        <w:t xml:space="preserve"> element, which has the attribute </w:t>
      </w:r>
      <w:r>
        <w:rPr>
          <w:rStyle w:val="Codeattribute"/>
        </w:rPr>
        <w:t>@ref</w:t>
      </w:r>
      <w:r>
        <w:t>, which points to a valid token in the authority file, which has a “mapping”</w:t>
      </w:r>
    </w:p>
    <w:p w14:paraId="4DCFA280" w14:textId="77777777">
      <w:pPr>
        <w:pStyle w:val="Lista3"/>
        <w:rPr>
          <w:lang w:eastAsia="en-US" w:bidi="ar-SA"/>
        </w:rPr>
      </w:pPr>
      <w:r>
        <w:t>by design, mapping is included in the authority file only for a limited range of symbols that can be satisfactorily mapped to reasonably similar-looking digital characters with reasonably broad font support</w:t>
      </w:r>
    </w:p>
    <w:p w14:paraId="3199E9D5" w14:textId="7165C8B0">
      <w:pPr>
        <w:pStyle w:val="Lista2"/>
        <w:rPr>
          <w:lang w:eastAsia="en-US" w:bidi="ar-SA"/>
        </w:rPr>
      </w:pPr>
      <w:r>
        <w:rPr>
          <w:lang w:eastAsia="en-US" w:bidi="ar-SA"/>
        </w:rPr>
        <w:t>if no mapping is available for a symbol, then the name assigned to the token in the authority file (§</w:t>
      </w:r>
      <w:r>
        <w:rPr>
          <w:lang w:eastAsia="en-US" w:bidi="ar-SA"/>
        </w:rPr>
        <w:fldChar w:fldCharType="begin"/>
      </w:r>
      <w:r>
        <w:rPr>
          <w:lang w:eastAsia="en-US" w:bidi="ar-SA"/>
        </w:rPr>
        <w:instrText xml:space="preserve"> REF _Ref228178759 \r \h </w:instrText>
      </w:r>
      <w:r>
        <w:rPr>
          <w:lang w:eastAsia="en-US" w:bidi="ar-SA"/>
        </w:rPr>
      </w:r>
      <w:r>
        <w:rPr>
          <w:lang w:eastAsia="en-US" w:bidi="ar-SA"/>
        </w:rPr>
        <w:fldChar w:fldCharType="separate"/>
      </w:r>
      <w:r>
        <w:rPr>
          <w:lang w:eastAsia="en-US" w:bidi="ar-SA"/>
        </w:rPr>
        <w:t>5.3.4.2</w:t>
      </w:r>
      <w:r>
        <w:rPr>
          <w:lang w:eastAsia="en-US" w:bidi="ar-SA"/>
        </w:rPr>
        <w:fldChar w:fldCharType="end"/>
      </w:r>
      <w:r>
        <w:rPr>
          <w:lang w:eastAsia="en-US" w:bidi="ar-SA"/>
        </w:rPr>
        <w:t>) will be displayed</w:t>
      </w:r>
    </w:p>
    <w:p w14:paraId="78AC6857" w14:textId="77777777">
      <w:pPr>
        <w:pStyle w:val="Lista3"/>
        <w:rPr>
          <w:lang w:eastAsia="en-US" w:bidi="ar-SA"/>
        </w:rPr>
      </w:pPr>
      <w:r>
        <w:rPr>
          <w:lang w:eastAsia="en-US" w:bidi="ar-SA"/>
        </w:rPr>
        <w:t xml:space="preserve">this is possible whenever the symbol is encoded with a </w:t>
      </w:r>
      <w:r>
        <w:rPr>
          <w:rStyle w:val="Code"/>
        </w:rPr>
        <w:t>&lt;g&gt;</w:t>
      </w:r>
      <w:r>
        <w:t xml:space="preserve"> element, which has the attribute </w:t>
      </w:r>
      <w:r>
        <w:rPr>
          <w:rStyle w:val="Codeattribute"/>
        </w:rPr>
        <w:t>@ref</w:t>
      </w:r>
      <w:r>
        <w:t>, which points to a valid token in the authority file</w:t>
      </w:r>
    </w:p>
    <w:p w14:paraId="092BDB41" w14:textId="77777777">
      <w:pPr>
        <w:pStyle w:val="Lista3"/>
        <w:rPr>
          <w:lang w:eastAsia="en-US" w:bidi="ar-SA"/>
        </w:rPr>
      </w:pPr>
      <w:r>
        <w:t>all tokens in the authority file have a name</w:t>
      </w:r>
    </w:p>
    <w:p w14:paraId="7286F3A6" w14:textId="77777777">
      <w:pPr>
        <w:pStyle w:val="Lista3"/>
        <w:rPr>
          <w:lang w:eastAsia="en-US" w:bidi="ar-SA"/>
        </w:rPr>
      </w:pPr>
      <w:r>
        <w:t>the objective of this display is to indicate the precise type of the symbol to the end user when no mapping has been assigned to a token</w:t>
      </w:r>
    </w:p>
    <w:p w14:paraId="3E3E197F" w14:textId="77777777">
      <w:pPr>
        <w:pStyle w:val="Lista2"/>
        <w:rPr>
          <w:lang w:eastAsia="en-US" w:bidi="ar-SA"/>
        </w:rPr>
      </w:pPr>
      <w:r>
        <w:rPr>
          <w:lang w:eastAsia="en-US" w:bidi="ar-SA"/>
        </w:rPr>
        <w:t xml:space="preserve">if neither a mapping nor a name are available, then the content of the </w:t>
      </w:r>
      <w:r>
        <w:rPr>
          <w:rStyle w:val="Code"/>
        </w:rPr>
        <w:t>&lt;g&gt;</w:t>
      </w:r>
      <w:r>
        <w:t xml:space="preserve"> element will be displayed</w:t>
      </w:r>
    </w:p>
    <w:p w14:paraId="6F64F014" w14:textId="77777777">
      <w:pPr>
        <w:pStyle w:val="Lista3"/>
        <w:rPr>
          <w:lang w:eastAsia="en-US" w:bidi="ar-SA"/>
        </w:rPr>
      </w:pPr>
      <w:r>
        <w:rPr>
          <w:lang w:eastAsia="en-US" w:bidi="ar-SA"/>
        </w:rPr>
        <w:t xml:space="preserve">this is possible whenever the symbol is encoded with a </w:t>
      </w:r>
      <w:r>
        <w:rPr>
          <w:rStyle w:val="Code"/>
        </w:rPr>
        <w:t>&lt;g&gt;</w:t>
      </w:r>
      <w:r>
        <w:t xml:space="preserve"> element</w:t>
      </w:r>
    </w:p>
    <w:p w14:paraId="0E5B3265" w14:textId="32EAC497">
      <w:pPr>
        <w:pStyle w:val="Lista3"/>
        <w:rPr>
          <w:lang w:eastAsia="en-US" w:bidi="ar-SA"/>
        </w:rPr>
      </w:pPr>
      <w:r>
        <w:t>the objective of this display is primarily to show an arbitrary placeholder (§</w:t>
      </w:r>
      <w:r>
        <w:fldChar w:fldCharType="begin"/>
      </w:r>
      <w:r>
        <w:instrText xml:space="preserve"> REF _Ref225955892 \r \h </w:instrText>
      </w:r>
      <w:r>
        <w:fldChar w:fldCharType="separate"/>
      </w:r>
      <w:r>
        <w:t>5.3.3.2</w:t>
      </w:r>
      <w:r>
        <w:fldChar w:fldCharType="end"/>
      </w:r>
      <w:r>
        <w:t>) used in transliteration, but it is also a fallback display option for default placeholders</w:t>
      </w:r>
      <w:r>
        <w:rPr>
          <w:lang w:eastAsia="en-US" w:bidi="ar-SA"/>
        </w:rPr>
        <w:t xml:space="preserve"> encoded with </w:t>
      </w:r>
      <w:r>
        <w:rPr>
          <w:rStyle w:val="Code"/>
        </w:rPr>
        <w:t>&lt;g&gt;</w:t>
      </w:r>
      <w:r>
        <w:t xml:space="preserve"> but not associated with a valid token (because </w:t>
      </w:r>
      <w:r>
        <w:rPr>
          <w:rStyle w:val="Codeattribute"/>
        </w:rPr>
        <w:t>@ref</w:t>
      </w:r>
      <w:r>
        <w:t xml:space="preserve"> was not added or its value is not a valid token)</w:t>
      </w:r>
    </w:p>
    <w:p w14:paraId="5BA8FB5F" w14:textId="77777777">
      <w:pPr>
        <w:pStyle w:val="Lista"/>
        <w:rPr>
          <w:lang w:eastAsia="en-US" w:bidi="ar-SA"/>
        </w:rPr>
      </w:pPr>
      <w:r>
        <w:rPr>
          <w:lang w:eastAsia="en-US" w:bidi="ar-SA"/>
        </w:rPr>
        <w:t>the above text will be highlighted with a different font colour (purple)</w:t>
      </w:r>
    </w:p>
    <w:p w14:paraId="7CC04B91" w14:textId="77777777">
      <w:pPr>
        <w:pStyle w:val="Lista2"/>
        <w:rPr>
          <w:lang w:eastAsia="en-US" w:bidi="ar-SA"/>
        </w:rPr>
      </w:pPr>
      <w:r>
        <w:rPr>
          <w:lang w:eastAsia="en-US" w:bidi="ar-SA"/>
        </w:rPr>
        <w:t>when the text displayed is the name assigned to a token, then this will also be surrounded with angle brackets and a cartouche, to disambiguate the name from text present in the source and to allow retaining this disambiguation when the rendered text is copied and pasted into another working environment</w:t>
      </w:r>
    </w:p>
    <w:p w14:paraId="781FF4A1" w14:textId="77777777">
      <w:pPr>
        <w:pStyle w:val="Lista"/>
        <w:rPr>
          <w:lang w:eastAsia="en-US" w:bidi="ar-SA"/>
        </w:rPr>
      </w:pPr>
      <w:r>
        <w:rPr>
          <w:lang w:eastAsia="en-US" w:bidi="ar-SA"/>
        </w:rPr>
        <w:t>when the user moves their mouse over the display rendition of an encoded symbol, the following additional information will be shown</w:t>
      </w:r>
    </w:p>
    <w:p w14:paraId="7CF8C789" w14:textId="418572FD">
      <w:pPr>
        <w:pStyle w:val="Lista2"/>
        <w:rPr>
          <w:lang w:eastAsia="en-US" w:bidi="ar-SA"/>
        </w:rPr>
      </w:pPr>
      <w:r>
        <w:rPr>
          <w:lang w:eastAsia="en-US" w:bidi="ar-SA"/>
        </w:rPr>
        <w:t>the functional class of the symbol (§</w:t>
      </w:r>
      <w:r>
        <w:rPr>
          <w:lang w:eastAsia="en-US" w:bidi="ar-SA"/>
        </w:rPr>
        <w:fldChar w:fldCharType="begin"/>
      </w:r>
      <w:r>
        <w:rPr>
          <w:lang w:eastAsia="en-US" w:bidi="ar-SA"/>
        </w:rPr>
        <w:instrText xml:space="preserve"> REF _Ref226023506 \r \h </w:instrText>
      </w:r>
      <w:r>
        <w:rPr>
          <w:lang w:eastAsia="en-US" w:bidi="ar-SA"/>
        </w:rPr>
      </w:r>
      <w:r>
        <w:rPr>
          <w:lang w:eastAsia="en-US" w:bidi="ar-SA"/>
        </w:rPr>
        <w:fldChar w:fldCharType="separate"/>
      </w:r>
      <w:r>
        <w:rPr>
          <w:lang w:eastAsia="en-US" w:bidi="ar-SA"/>
        </w:rPr>
        <w:t>5.3.2</w:t>
      </w:r>
      <w:r>
        <w:rPr>
          <w:lang w:eastAsia="en-US" w:bidi="ar-SA"/>
        </w:rPr>
        <w:fldChar w:fldCharType="end"/>
      </w:r>
      <w:r>
        <w:rPr>
          <w:lang w:eastAsia="en-US" w:bidi="ar-SA"/>
        </w:rPr>
        <w:t xml:space="preserve">) if encoded with </w:t>
      </w:r>
      <w:r>
        <w:rPr>
          <w:rStyle w:val="Codeattribute"/>
        </w:rPr>
        <w:t>@type</w:t>
      </w:r>
    </w:p>
    <w:p w14:paraId="6F0BC721" w14:textId="77777777">
      <w:pPr>
        <w:pStyle w:val="Lista2"/>
        <w:rPr>
          <w:lang w:eastAsia="en-US" w:bidi="ar-SA"/>
        </w:rPr>
      </w:pPr>
      <w:r>
        <w:t xml:space="preserve">the name of the symbol if a valid token is encoded with </w:t>
      </w:r>
      <w:r>
        <w:rPr>
          <w:rStyle w:val="Codeattribute"/>
        </w:rPr>
        <w:t>@ref</w:t>
      </w:r>
    </w:p>
    <w:p w14:paraId="31E340A3" w14:textId="77777777">
      <w:pPr>
        <w:pStyle w:val="Lista2"/>
        <w:rPr>
          <w:lang w:eastAsia="en-US" w:bidi="ar-SA"/>
        </w:rPr>
      </w:pPr>
      <w:r>
        <w:t xml:space="preserve">the description of the symbol if a valid token is encoded with </w:t>
      </w:r>
      <w:r>
        <w:rPr>
          <w:rStyle w:val="Codeattribute"/>
        </w:rPr>
        <w:t>@ref</w:t>
      </w:r>
    </w:p>
    <w:p w14:paraId="76338C98" w14:textId="77777777">
      <w:pPr>
        <w:pStyle w:val="Cmsor4"/>
      </w:pPr>
      <w:bookmarkStart w:id="429" w:name="_Ref228180176"/>
      <w:r>
        <w:t>Examples of symbol encoding</w:t>
      </w:r>
      <w:bookmarkEnd w:id="429"/>
    </w:p>
    <w:p w14:paraId="18CB88C7" w14:textId="331C6AD7">
      <w:bookmarkStart w:id="430" w:name="_ocw59j4fd9ai" w:colFirst="0" w:colLast="0"/>
      <w:bookmarkStart w:id="431" w:name="_n0tb9t590fso" w:colFirst="0" w:colLast="0"/>
      <w:bookmarkEnd w:id="423"/>
      <w:bookmarkEnd w:id="424"/>
      <w:bookmarkEnd w:id="425"/>
      <w:bookmarkEnd w:id="426"/>
      <w:bookmarkEnd w:id="427"/>
      <w:bookmarkEnd w:id="430"/>
      <w:bookmarkEnd w:id="431"/>
      <w:r>
        <w:t>The Exhibits in this section provide examples of symbols transliterated with default placeholders and encoded for function and identification.</w:t>
      </w:r>
    </w:p>
    <w:tbl>
      <w:tblPr>
        <w:tblStyle w:val="CodeSampleTable"/>
        <w:tblW w:w="5000" w:type="pct"/>
        <w:tblLook w:val="04A0" w:firstRow="1" w:lastRow="0" w:firstColumn="1" w:lastColumn="0" w:noHBand="0" w:noVBand="1"/>
      </w:tblPr>
      <w:tblGrid>
        <w:gridCol w:w="9628"/>
      </w:tblGrid>
      <w:tr w14:paraId="7EFA746E"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34AFDE1" w14:textId="6BA45BE1">
            <w:pPr>
              <w:pStyle w:val="Kpalrs"/>
              <w:keepLines/>
            </w:pPr>
            <w:r>
              <w:lastRenderedPageBreak/>
              <w:t xml:space="preserve">Exhibit </w:t>
            </w:r>
            <w:fldSimple w:instr=" STYLEREF 2 \s ">
              <w:r>
                <w:rPr>
                  <w:noProof/>
                </w:rPr>
                <w:t>5.3</w:t>
              </w:r>
            </w:fldSimple>
            <w:r>
              <w:t>.</w:t>
            </w:r>
            <w:fldSimple w:instr=" SEQ Exhibit \* ALPHABETIC \s 2 ">
              <w:r>
                <w:rPr>
                  <w:noProof/>
                </w:rPr>
                <w:t>B</w:t>
              </w:r>
            </w:fldSimple>
            <w:r>
              <w:t>: encoding ideograms</w:t>
            </w:r>
          </w:p>
        </w:tc>
      </w:tr>
      <w:tr w14:paraId="7ADC240A" w14:textId="77777777">
        <w:tc>
          <w:tcPr>
            <w:tcW w:w="5000" w:type="pct"/>
            <w:vAlign w:val="center"/>
          </w:tcPr>
          <w:p w14:paraId="69519C0A" w14:textId="77777777">
            <w:pPr>
              <w:pStyle w:val="Image"/>
              <w:keepLines/>
              <w:rPr>
                <w:rStyle w:val="Code"/>
              </w:rPr>
            </w:pPr>
            <w:r>
              <w:drawing>
                <wp:inline distT="0" distB="0" distL="0" distR="0" wp14:anchorId="1820A573" wp14:editId="3777E5CC">
                  <wp:extent cx="968400" cy="720000"/>
                  <wp:effectExtent l="0" t="0" r="3175" b="4445"/>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68400" cy="720000"/>
                          </a:xfrm>
                          <a:prstGeom prst="rect">
                            <a:avLst/>
                          </a:prstGeom>
                          <a:noFill/>
                          <a:ln>
                            <a:noFill/>
                          </a:ln>
                        </pic:spPr>
                      </pic:pic>
                    </a:graphicData>
                  </a:graphic>
                </wp:inline>
              </w:drawing>
            </w:r>
          </w:p>
        </w:tc>
      </w:tr>
      <w:tr w14:paraId="6F1EF16A" w14:textId="77777777">
        <w:tc>
          <w:tcPr>
            <w:tcW w:w="5000" w:type="pct"/>
          </w:tcPr>
          <w:p w14:paraId="6A5F8FDD" w14:textId="77777777">
            <w:pPr>
              <w:pStyle w:val="CodeParagraph"/>
              <w:keepNext/>
              <w:keepLines/>
            </w:pPr>
            <w:r>
              <w:rPr>
                <w:rStyle w:val="Code"/>
              </w:rPr>
              <w:t xml:space="preserve">&lt;g </w:t>
            </w:r>
            <w:r>
              <w:rPr>
                <w:rStyle w:val="Codeattribute"/>
              </w:rPr>
              <w:t>type=</w:t>
            </w:r>
            <w:r>
              <w:rPr>
                <w:rStyle w:val="Codevalue"/>
              </w:rPr>
              <w:t xml:space="preserve">"ideogram" </w:t>
            </w:r>
            <w:r>
              <w:rPr>
                <w:rStyle w:val="Codeattribute"/>
              </w:rPr>
              <w:t>ref=</w:t>
            </w:r>
            <w:r>
              <w:rPr>
                <w:rStyle w:val="Codevalue"/>
              </w:rPr>
              <w:t>"sym:tam-varusam"</w:t>
            </w:r>
            <w:r>
              <w:rPr>
                <w:rStyle w:val="Code"/>
              </w:rPr>
              <w:t>&gt;</w:t>
            </w:r>
            <w:r>
              <w:rPr>
                <w:rStyle w:val="Codetext"/>
              </w:rPr>
              <w:t>@</w:t>
            </w:r>
            <w:r>
              <w:rPr>
                <w:rStyle w:val="Code"/>
              </w:rPr>
              <w:t>&lt;/g&gt;</w:t>
            </w:r>
          </w:p>
        </w:tc>
      </w:tr>
      <w:tr w14:paraId="24AC87F7" w14:textId="77777777">
        <w:tc>
          <w:tcPr>
            <w:tcW w:w="5000" w:type="pct"/>
          </w:tcPr>
          <w:p w14:paraId="11207170" w14:textId="77777777">
            <w:pPr>
              <w:pStyle w:val="TableNote"/>
            </w:pPr>
            <w:r>
              <w:t xml:space="preserve">this will appear in display as </w:t>
            </w:r>
            <w:r>
              <w:rPr>
                <w:rStyle w:val="ForeignTamilScript"/>
                <w:cs/>
                <w:lang w:bidi="ta-IN"/>
              </w:rPr>
              <w:t>௵</w:t>
            </w:r>
            <w:r>
              <w:t xml:space="preserve"> (based on the mapping in the authority file)</w:t>
            </w:r>
          </w:p>
        </w:tc>
      </w:tr>
    </w:tbl>
    <w:p w14:paraId="09E8E401" w14:textId="77777777"/>
    <w:tbl>
      <w:tblPr>
        <w:tblStyle w:val="CodeSampleTable"/>
        <w:tblW w:w="5000" w:type="pct"/>
        <w:tblLook w:val="04A0" w:firstRow="1" w:lastRow="0" w:firstColumn="1" w:lastColumn="0" w:noHBand="0" w:noVBand="1"/>
      </w:tblPr>
      <w:tblGrid>
        <w:gridCol w:w="9628"/>
      </w:tblGrid>
      <w:tr w14:paraId="298DB62E"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67FA29A" w14:textId="052253AA">
            <w:pPr>
              <w:pStyle w:val="Kpalrs"/>
              <w:keepLines/>
            </w:pPr>
            <w:bookmarkStart w:id="432" w:name="_zhzv8lagn4n3" w:colFirst="0" w:colLast="0"/>
            <w:bookmarkStart w:id="433" w:name="_Ref182577267"/>
            <w:bookmarkStart w:id="434" w:name="_Ref43985052"/>
            <w:bookmarkEnd w:id="432"/>
            <w:r>
              <w:t xml:space="preserve">Exhibit </w:t>
            </w:r>
            <w:fldSimple w:instr=" STYLEREF 2 \s ">
              <w:r>
                <w:rPr>
                  <w:noProof/>
                </w:rPr>
                <w:t>5.3</w:t>
              </w:r>
            </w:fldSimple>
            <w:r>
              <w:t>.</w:t>
            </w:r>
            <w:fldSimple w:instr=" SEQ Exhibit \* ALPHABETIC \s 2 ">
              <w:r>
                <w:rPr>
                  <w:noProof/>
                </w:rPr>
                <w:t>C</w:t>
              </w:r>
            </w:fldSimple>
            <w:bookmarkEnd w:id="433"/>
            <w:r>
              <w:t>: encoding punctuation marks</w:t>
            </w:r>
          </w:p>
        </w:tc>
      </w:tr>
      <w:tr w14:paraId="63F99A62" w14:textId="77777777">
        <w:tc>
          <w:tcPr>
            <w:tcW w:w="5000" w:type="pct"/>
            <w:vAlign w:val="center"/>
          </w:tcPr>
          <w:p w14:paraId="3C92BA15" w14:textId="77777777">
            <w:pPr>
              <w:pStyle w:val="Image"/>
              <w:keepLines/>
              <w:rPr>
                <w:rStyle w:val="Code"/>
              </w:rPr>
            </w:pPr>
            <w:r>
              <w:drawing>
                <wp:inline distT="0" distB="0" distL="0" distR="0" wp14:anchorId="0DB7A5B8" wp14:editId="595D38D1">
                  <wp:extent cx="6114415" cy="621030"/>
                  <wp:effectExtent l="0" t="0" r="635" b="7620"/>
                  <wp:docPr id="422498252"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114415" cy="621030"/>
                          </a:xfrm>
                          <a:prstGeom prst="rect">
                            <a:avLst/>
                          </a:prstGeom>
                          <a:noFill/>
                          <a:ln>
                            <a:noFill/>
                          </a:ln>
                        </pic:spPr>
                      </pic:pic>
                    </a:graphicData>
                  </a:graphic>
                </wp:inline>
              </w:drawing>
            </w:r>
          </w:p>
        </w:tc>
      </w:tr>
      <w:tr w14:paraId="38709515" w14:textId="77777777">
        <w:tc>
          <w:tcPr>
            <w:tcW w:w="5000" w:type="pct"/>
          </w:tcPr>
          <w:p w14:paraId="79A48ADF" w14:textId="77777777">
            <w:pPr>
              <w:pStyle w:val="CodeParagraph"/>
              <w:keepNext/>
              <w:keepLines/>
            </w:pPr>
            <w:r>
              <w:rPr>
                <w:rStyle w:val="Codetext"/>
              </w:rPr>
              <w:t>deśam apālayaT</w:t>
            </w:r>
            <w:r>
              <w:rPr>
                <w:rStyle w:val="Code"/>
              </w:rPr>
              <w:t xml:space="preserve">&lt;g </w:t>
            </w:r>
            <w:r>
              <w:rPr>
                <w:rStyle w:val="Codeattribute"/>
              </w:rPr>
              <w:t>type=</w:t>
            </w:r>
            <w:r>
              <w:rPr>
                <w:rStyle w:val="Codevalue"/>
              </w:rPr>
              <w:t xml:space="preserve">"punctuation" </w:t>
            </w:r>
            <w:r>
              <w:rPr>
                <w:rStyle w:val="Codeattribute"/>
              </w:rPr>
              <w:t>ref=</w:t>
            </w:r>
            <w:r>
              <w:rPr>
                <w:rStyle w:val="Codevalue"/>
              </w:rPr>
              <w:t>"sym:doubleBar-serifed"</w:t>
            </w:r>
            <w:r>
              <w:rPr>
                <w:rStyle w:val="Code"/>
              </w:rPr>
              <w:t>&gt;</w:t>
            </w:r>
            <w:r>
              <w:rPr>
                <w:rStyle w:val="Codetext"/>
              </w:rPr>
              <w:t>.</w:t>
            </w:r>
            <w:r>
              <w:rPr>
                <w:rStyle w:val="Code"/>
              </w:rPr>
              <w:t>&lt;/g&gt;</w:t>
            </w:r>
            <w:r>
              <w:rPr>
                <w:rStyle w:val="Codetext"/>
              </w:rPr>
              <w:t xml:space="preserve"> tat-putro jayasiṁhas trayastriṁśataṁ</w:t>
            </w:r>
            <w:r>
              <w:rPr>
                <w:rStyle w:val="Code"/>
              </w:rPr>
              <w:t xml:space="preserve">&lt;g </w:t>
            </w:r>
            <w:r>
              <w:rPr>
                <w:rStyle w:val="Codeattribute"/>
              </w:rPr>
              <w:t>type=</w:t>
            </w:r>
            <w:r>
              <w:rPr>
                <w:rStyle w:val="Codevalue"/>
              </w:rPr>
              <w:t xml:space="preserve">"punctuation" </w:t>
            </w:r>
            <w:r>
              <w:rPr>
                <w:rStyle w:val="Codeattribute"/>
              </w:rPr>
              <w:t>ref=</w:t>
            </w:r>
            <w:r>
              <w:rPr>
                <w:rStyle w:val="Codevalue"/>
              </w:rPr>
              <w:t>"sym:bar-serifed"</w:t>
            </w:r>
            <w:r>
              <w:rPr>
                <w:rStyle w:val="Code"/>
              </w:rPr>
              <w:t>&gt;</w:t>
            </w:r>
            <w:r>
              <w:rPr>
                <w:rStyle w:val="Codetext"/>
              </w:rPr>
              <w:t>.</w:t>
            </w:r>
            <w:r>
              <w:rPr>
                <w:rStyle w:val="Code"/>
              </w:rPr>
              <w:t>&lt;/g&gt;</w:t>
            </w:r>
          </w:p>
        </w:tc>
      </w:tr>
      <w:bookmarkEnd w:id="434"/>
      <w:tr w14:paraId="23333CCA" w14:textId="77777777">
        <w:tc>
          <w:tcPr>
            <w:tcW w:w="5000" w:type="pct"/>
          </w:tcPr>
          <w:p w14:paraId="52141B13" w14:textId="77777777">
            <w:pPr>
              <w:pStyle w:val="TableNote"/>
            </w:pPr>
            <w:r>
              <w:t xml:space="preserve">these will appear in display as </w:t>
            </w:r>
            <w:r>
              <w:rPr>
                <w:rStyle w:val="Foreign"/>
              </w:rPr>
              <w:t>apālayaT</w:t>
            </w:r>
            <w:r>
              <w:rPr>
                <w:rStyle w:val="Foreign"/>
                <w:rFonts w:ascii="Cambria Math" w:hAnsi="Cambria Math" w:cs="Cambria Math"/>
              </w:rPr>
              <w:t>∥</w:t>
            </w:r>
            <w:r>
              <w:t xml:space="preserve"> and </w:t>
            </w:r>
            <w:r>
              <w:rPr>
                <w:rStyle w:val="Foreign"/>
              </w:rPr>
              <w:t>trayastriṁśataṁ|</w:t>
            </w:r>
            <w:r>
              <w:t xml:space="preserve"> (based on the mapping in the authority file)</w:t>
            </w:r>
          </w:p>
          <w:p w14:paraId="685F7693" w14:textId="77777777">
            <w:pPr>
              <w:pStyle w:val="TableNote"/>
              <w:rPr>
                <w:rFonts w:ascii="Consolas" w:hAnsi="Consolas" w:cs="Consolas"/>
                <w:noProof/>
                <w:color w:val="002060"/>
                <w:shd w:val="clear" w:color="auto" w:fill="F2F2F2" w:themeFill="background1" w:themeFillShade="F2"/>
              </w:rPr>
            </w:pPr>
            <w:r>
              <w:t>if a rough representation of the shape is sufficient, the arbitrary placeholders || and | may be used</w:t>
            </w:r>
          </w:p>
          <w:p w14:paraId="3154DAF7" w14:textId="77777777">
            <w:pPr>
              <w:pStyle w:val="TableNote"/>
              <w:rPr>
                <w:rFonts w:ascii="Consolas" w:hAnsi="Consolas" w:cs="Consolas"/>
                <w:noProof/>
                <w:color w:val="002060"/>
                <w:shd w:val="clear" w:color="auto" w:fill="F2F2F2" w:themeFill="background1" w:themeFillShade="F2"/>
              </w:rPr>
            </w:pPr>
            <w:r>
              <w:t>encoding is not required for |, but mandatory for ||, which consists of two characters</w:t>
            </w:r>
          </w:p>
          <w:p w14:paraId="1F610F59" w14:textId="77777777">
            <w:pPr>
              <w:pStyle w:val="TableNote"/>
              <w:ind w:left="709"/>
              <w:rPr>
                <w:rFonts w:ascii="Consolas" w:hAnsi="Consolas" w:cs="Consolas"/>
                <w:noProof/>
                <w:color w:val="002060"/>
                <w:shd w:val="clear" w:color="auto" w:fill="F2F2F2" w:themeFill="background1" w:themeFillShade="F2"/>
              </w:rPr>
            </w:pPr>
            <w:r>
              <w:rPr>
                <w:rStyle w:val="Code"/>
              </w:rPr>
              <w:t xml:space="preserve">&lt;g </w:t>
            </w:r>
            <w:r>
              <w:rPr>
                <w:rStyle w:val="Codeattribute"/>
              </w:rPr>
              <w:t>type=</w:t>
            </w:r>
            <w:r>
              <w:rPr>
                <w:rStyle w:val="Codevalue"/>
              </w:rPr>
              <w:t xml:space="preserve">"punctuation" </w:t>
            </w:r>
            <w:r>
              <w:rPr>
                <w:rStyle w:val="Codeattribute"/>
              </w:rPr>
              <w:t>ref=</w:t>
            </w:r>
            <w:r>
              <w:rPr>
                <w:rStyle w:val="Codevalue"/>
              </w:rPr>
              <w:t>"sym:doubleBar-serifed"</w:t>
            </w:r>
            <w:r>
              <w:rPr>
                <w:rStyle w:val="Code"/>
              </w:rPr>
              <w:t>&gt;</w:t>
            </w:r>
            <w:r>
              <w:rPr>
                <w:rStyle w:val="Codetext"/>
              </w:rPr>
              <w:t>||</w:t>
            </w:r>
            <w:r>
              <w:rPr>
                <w:rStyle w:val="Code"/>
              </w:rPr>
              <w:t>&lt;/g&gt;</w:t>
            </w:r>
            <w:r>
              <w:t xml:space="preserve"> for full identification (displayed as </w:t>
            </w:r>
            <w:r>
              <w:rPr>
                <w:rFonts w:ascii="Cambria Math" w:hAnsi="Cambria Math" w:cs="Cambria Math"/>
              </w:rPr>
              <w:t>∥</w:t>
            </w:r>
            <w:r>
              <w:t>, not as ||, as the mapping in the authority file overrides the content)</w:t>
            </w:r>
          </w:p>
          <w:p w14:paraId="69968619" w14:textId="77777777">
            <w:pPr>
              <w:pStyle w:val="TableNote"/>
              <w:ind w:left="709"/>
              <w:rPr>
                <w:rFonts w:ascii="Consolas" w:hAnsi="Consolas" w:cs="Consolas"/>
                <w:noProof/>
                <w:color w:val="002060"/>
                <w:shd w:val="clear" w:color="auto" w:fill="F2F2F2" w:themeFill="background1" w:themeFillShade="F2"/>
              </w:rPr>
            </w:pPr>
            <w:r>
              <w:rPr>
                <w:rStyle w:val="Code"/>
              </w:rPr>
              <w:t xml:space="preserve">&lt;g </w:t>
            </w:r>
            <w:r>
              <w:rPr>
                <w:rStyle w:val="Codeattribute"/>
              </w:rPr>
              <w:t>type=</w:t>
            </w:r>
            <w:r>
              <w:rPr>
                <w:rStyle w:val="Codevalue"/>
              </w:rPr>
              <w:t>"punctuation"</w:t>
            </w:r>
            <w:r>
              <w:rPr>
                <w:rStyle w:val="Code"/>
              </w:rPr>
              <w:t>&gt;</w:t>
            </w:r>
            <w:r>
              <w:rPr>
                <w:rStyle w:val="Codetext"/>
              </w:rPr>
              <w:t>||</w:t>
            </w:r>
            <w:r>
              <w:rPr>
                <w:rStyle w:val="Code"/>
              </w:rPr>
              <w:t>&lt;/g&gt;</w:t>
            </w:r>
            <w:r>
              <w:t xml:space="preserve"> to clarify only the function (displayed as ||, the content of the </w:t>
            </w:r>
            <w:r>
              <w:rPr>
                <w:rStyle w:val="Code"/>
              </w:rPr>
              <w:t>&lt;g&gt;</w:t>
            </w:r>
            <w:r>
              <w:t xml:space="preserve"> element, because there is no reference to the authority file)</w:t>
            </w:r>
          </w:p>
          <w:p w14:paraId="4EA352D6" w14:textId="77777777">
            <w:pPr>
              <w:pStyle w:val="TableNote"/>
              <w:ind w:left="709"/>
              <w:rPr>
                <w:rFonts w:ascii="Consolas" w:hAnsi="Consolas" w:cs="Consolas"/>
                <w:noProof/>
                <w:color w:val="002060"/>
                <w:shd w:val="clear" w:color="auto" w:fill="F2F2F2" w:themeFill="background1" w:themeFillShade="F2"/>
              </w:rPr>
            </w:pPr>
            <w:r>
              <w:rPr>
                <w:rStyle w:val="Code"/>
              </w:rPr>
              <w:t>&lt;g&gt;</w:t>
            </w:r>
            <w:r>
              <w:rPr>
                <w:rStyle w:val="Codetext"/>
              </w:rPr>
              <w:t>||</w:t>
            </w:r>
            <w:r>
              <w:rPr>
                <w:rStyle w:val="Code"/>
              </w:rPr>
              <w:t>&lt;/g&gt;</w:t>
            </w:r>
            <w:r>
              <w:t xml:space="preserve"> as a minimal representation  (displayed as || because there is no reference to the authority file)</w:t>
            </w:r>
          </w:p>
          <w:p w14:paraId="6AADA8D7" w14:textId="77777777">
            <w:pPr>
              <w:pStyle w:val="TableNote"/>
              <w:ind w:left="709"/>
              <w:rPr>
                <w:rStyle w:val="Code"/>
              </w:rPr>
            </w:pPr>
            <w:r>
              <w:t xml:space="preserve">alternatively, </w:t>
            </w:r>
            <w:bookmarkStart w:id="435" w:name="_Hlk226031260"/>
            <w:r>
              <w:t>‖ (</w:t>
            </w:r>
            <w:r>
              <w:rPr>
                <w:rStyle w:val="Code"/>
              </w:rPr>
              <w:t>U+2016</w:t>
            </w:r>
            <w:r>
              <w:t xml:space="preserve"> Double Vertical Line)</w:t>
            </w:r>
            <w:bookmarkEnd w:id="435"/>
            <w:r>
              <w:t>, a single Unicode character, may be used without encoding</w:t>
            </w:r>
          </w:p>
        </w:tc>
      </w:tr>
    </w:tbl>
    <w:p w14:paraId="7FAFCE72" w14:textId="77777777"/>
    <w:tbl>
      <w:tblPr>
        <w:tblStyle w:val="CodeSampleTable"/>
        <w:tblW w:w="5000" w:type="pct"/>
        <w:tblLook w:val="04A0" w:firstRow="1" w:lastRow="0" w:firstColumn="1" w:lastColumn="0" w:noHBand="0" w:noVBand="1"/>
      </w:tblPr>
      <w:tblGrid>
        <w:gridCol w:w="9628"/>
      </w:tblGrid>
      <w:tr w14:paraId="2A857BC4"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68FED0B" w14:textId="0719D955">
            <w:pPr>
              <w:pStyle w:val="Kpalrs"/>
              <w:keepLines/>
            </w:pPr>
            <w:bookmarkStart w:id="436" w:name="_Ref182576762"/>
            <w:bookmarkStart w:id="437" w:name="_Ref182579118"/>
            <w:r>
              <w:t xml:space="preserve">Exhibit </w:t>
            </w:r>
            <w:fldSimple w:instr=" STYLEREF 2 \s ">
              <w:r>
                <w:rPr>
                  <w:noProof/>
                </w:rPr>
                <w:t>5.3</w:t>
              </w:r>
            </w:fldSimple>
            <w:r>
              <w:t>.</w:t>
            </w:r>
            <w:fldSimple w:instr=" SEQ Exhibit \* ALPHABETIC \s 2 ">
              <w:r>
                <w:rPr>
                  <w:noProof/>
                </w:rPr>
                <w:t>D</w:t>
              </w:r>
            </w:fldSimple>
            <w:bookmarkEnd w:id="436"/>
            <w:r>
              <w:t xml:space="preserve">: encoding </w:t>
            </w:r>
            <w:bookmarkEnd w:id="437"/>
            <w:r>
              <w:t>connectors</w:t>
            </w:r>
          </w:p>
        </w:tc>
      </w:tr>
      <w:tr w14:paraId="6D810D51" w14:textId="77777777">
        <w:tc>
          <w:tcPr>
            <w:tcW w:w="5000" w:type="pct"/>
            <w:vAlign w:val="center"/>
          </w:tcPr>
          <w:p w14:paraId="5DE9CD97" w14:textId="77777777">
            <w:pPr>
              <w:pStyle w:val="Image"/>
              <w:keepLines/>
              <w:rPr>
                <w:rStyle w:val="Code"/>
              </w:rPr>
            </w:pPr>
            <w:r>
              <w:drawing>
                <wp:inline distT="114300" distB="114300" distL="114300" distR="114300" wp14:anchorId="685993DF" wp14:editId="4F8ACC12">
                  <wp:extent cx="2000567" cy="489935"/>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4"/>
                          <a:srcRect/>
                          <a:stretch>
                            <a:fillRect/>
                          </a:stretch>
                        </pic:blipFill>
                        <pic:spPr>
                          <a:xfrm>
                            <a:off x="0" y="0"/>
                            <a:ext cx="2000567" cy="489935"/>
                          </a:xfrm>
                          <a:prstGeom prst="rect">
                            <a:avLst/>
                          </a:prstGeom>
                          <a:ln/>
                        </pic:spPr>
                      </pic:pic>
                    </a:graphicData>
                  </a:graphic>
                </wp:inline>
              </w:drawing>
            </w:r>
          </w:p>
        </w:tc>
      </w:tr>
      <w:tr w14:paraId="21DDC43E" w14:textId="77777777">
        <w:tc>
          <w:tcPr>
            <w:tcW w:w="5000" w:type="pct"/>
          </w:tcPr>
          <w:p w14:paraId="0AE8D91C" w14:textId="77777777">
            <w:pPr>
              <w:pStyle w:val="CodeParagraph"/>
              <w:keepNext/>
              <w:keepLines/>
            </w:pPr>
            <w:r>
              <w:rPr>
                <w:rStyle w:val="Codetext"/>
              </w:rPr>
              <w:t>karuhun di:rghăyūrăro</w:t>
            </w:r>
            <w:r>
              <w:rPr>
                <w:rStyle w:val="Code"/>
              </w:rPr>
              <w:t xml:space="preserve">&lt;g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"sym:bar-curly"</w:t>
            </w:r>
            <w:r>
              <w:rPr>
                <w:rStyle w:val="Code"/>
              </w:rPr>
              <w:t>&gt;</w:t>
            </w:r>
            <w:r>
              <w:rPr>
                <w:rStyle w:val="Codetext"/>
              </w:rPr>
              <w:t>§</w:t>
            </w:r>
            <w:r>
              <w:rPr>
                <w:rStyle w:val="Code"/>
              </w:rPr>
              <w:t>&lt;/g&gt;</w:t>
            </w:r>
          </w:p>
        </w:tc>
      </w:tr>
      <w:tr w14:paraId="7F6E6D38" w14:textId="77777777">
        <w:tc>
          <w:tcPr>
            <w:tcW w:w="5000" w:type="pct"/>
          </w:tcPr>
          <w:p w14:paraId="53BE336C" w14:textId="77777777">
            <w:pPr>
              <w:pStyle w:val="TableNote"/>
              <w:numPr>
                <w:ilvl w:val="0"/>
                <w:numId w:val="0"/>
              </w:numPr>
              <w:ind w:left="360" w:hanging="360"/>
              <w:rPr>
                <w:rFonts w:ascii="Consolas" w:hAnsi="Consolas" w:cs="Consolas"/>
                <w:noProof/>
                <w:color w:val="002060"/>
                <w:shd w:val="clear" w:color="auto" w:fill="F2F2F2" w:themeFill="background1" w:themeFillShade="F2"/>
              </w:rPr>
            </w:pPr>
            <w:bookmarkStart w:id="438" w:name="_ds0gogy82fug" w:colFirst="0" w:colLast="0"/>
            <w:bookmarkEnd w:id="438"/>
            <w:r>
              <w:t>alternatives:</w:t>
            </w:r>
          </w:p>
          <w:p w14:paraId="42C79937" w14:textId="77777777">
            <w:pPr>
              <w:pStyle w:val="TableNote"/>
            </w:pPr>
            <w:r>
              <w:t>§ as a minimal representation without encoding</w:t>
            </w:r>
          </w:p>
          <w:p w14:paraId="7E4DAACB" w14:textId="77777777">
            <w:pPr>
              <w:pStyle w:val="TableNote"/>
            </w:pPr>
            <w:r>
              <w:t>¦ (</w:t>
            </w:r>
            <w:r>
              <w:rPr>
                <w:rStyle w:val="Code"/>
              </w:rPr>
              <w:t>U+00A6</w:t>
            </w:r>
            <w:r>
              <w:t xml:space="preserve"> Broken Bar) as an arbitrary placeholder without encoding</w:t>
            </w:r>
          </w:p>
          <w:p w14:paraId="049E2975" w14:textId="77777777">
            <w:pPr>
              <w:pStyle w:val="TableNote"/>
              <w:rPr>
                <w:rStyle w:val="Code"/>
              </w:rPr>
            </w:pPr>
            <w:r>
              <w:rPr>
                <w:rStyle w:val="Code"/>
              </w:rPr>
              <w:t xml:space="preserve">&lt;g </w:t>
            </w:r>
            <w:r>
              <w:rPr>
                <w:rStyle w:val="Codeattribute"/>
              </w:rPr>
              <w:t>type</w:t>
            </w:r>
            <w:r>
              <w:rPr>
                <w:rStyle w:val="Code"/>
              </w:rPr>
              <w:t>=</w:t>
            </w:r>
            <w:r>
              <w:rPr>
                <w:rStyle w:val="Codevalue"/>
              </w:rPr>
              <w:t>"connector"</w:t>
            </w:r>
            <w:r>
              <w:rPr>
                <w:rStyle w:val="Code"/>
              </w:rPr>
              <w:t>&gt;</w:t>
            </w:r>
            <w:r>
              <w:rPr>
                <w:rStyle w:val="Codetext"/>
              </w:rPr>
              <w:t>§</w:t>
            </w:r>
            <w:r>
              <w:rPr>
                <w:rStyle w:val="Code"/>
              </w:rPr>
              <w:t>&lt;/g&gt;</w:t>
            </w:r>
            <w:r>
              <w:t xml:space="preserve"> to make no assertion regarding shape (displayed as the content § because there is no </w:t>
            </w:r>
            <w:r>
              <w:rPr>
                <w:rStyle w:val="Codeattribute"/>
              </w:rPr>
              <w:t>@ref</w:t>
            </w:r>
            <w:r>
              <w:t>)</w:t>
            </w:r>
          </w:p>
          <w:p w14:paraId="42A91CC9" w14:textId="77777777">
            <w:pPr>
              <w:pStyle w:val="TableNote"/>
              <w:rPr>
                <w:rFonts w:ascii="Consolas" w:hAnsi="Consolas" w:cs="Consolas"/>
                <w:noProof/>
                <w:color w:val="002060"/>
                <w:shd w:val="clear" w:color="auto" w:fill="F2F2F2" w:themeFill="background1" w:themeFillShade="F2"/>
              </w:rPr>
            </w:pPr>
            <w:r>
              <w:rPr>
                <w:rStyle w:val="Code"/>
              </w:rPr>
              <w:t xml:space="preserve">&lt;g </w:t>
            </w:r>
            <w:r>
              <w:rPr>
                <w:rStyle w:val="Codeattribute"/>
              </w:rPr>
              <w:t>ref</w:t>
            </w:r>
            <w:r>
              <w:rPr>
                <w:rStyle w:val="Code"/>
              </w:rPr>
              <w:t>=</w:t>
            </w:r>
            <w:r>
              <w:rPr>
                <w:rStyle w:val="Codevalue"/>
              </w:rPr>
              <w:t>"sym:bar-curly"</w:t>
            </w:r>
            <w:r>
              <w:rPr>
                <w:rStyle w:val="Code"/>
              </w:rPr>
              <w:t>&gt;</w:t>
            </w:r>
            <w:r>
              <w:rPr>
                <w:rStyle w:val="Codetext"/>
              </w:rPr>
              <w:t>¦</w:t>
            </w:r>
            <w:r>
              <w:rPr>
                <w:rStyle w:val="Code"/>
              </w:rPr>
              <w:t>&lt;/g&gt;</w:t>
            </w:r>
            <w:r>
              <w:t xml:space="preserve"> or </w:t>
            </w:r>
            <w:r>
              <w:rPr>
                <w:rStyle w:val="Code"/>
              </w:rPr>
              <w:t xml:space="preserve">&lt;g </w:t>
            </w:r>
            <w:r>
              <w:rPr>
                <w:rStyle w:val="Codeattribute"/>
              </w:rPr>
              <w:t>ref</w:t>
            </w:r>
            <w:r>
              <w:rPr>
                <w:rStyle w:val="Code"/>
              </w:rPr>
              <w:t>=</w:t>
            </w:r>
            <w:r>
              <w:rPr>
                <w:rStyle w:val="Codevalue"/>
              </w:rPr>
              <w:t>"sym:bar-curly"</w:t>
            </w:r>
            <w:r>
              <w:rPr>
                <w:rStyle w:val="Code"/>
              </w:rPr>
              <w:t>&gt;</w:t>
            </w:r>
            <w:r>
              <w:rPr>
                <w:rStyle w:val="Codetext"/>
              </w:rPr>
              <w:t>*</w:t>
            </w:r>
            <w:r>
              <w:rPr>
                <w:rStyle w:val="Code"/>
              </w:rPr>
              <w:t>&lt;/g&gt;</w:t>
            </w:r>
            <w:r>
              <w:t xml:space="preserve"> to make no assertion regarding function</w:t>
            </w:r>
          </w:p>
          <w:p w14:paraId="6CC21618" w14:textId="77777777">
            <w:pPr>
              <w:pStyle w:val="TableNote"/>
              <w:ind w:left="709"/>
            </w:pPr>
            <w:r>
              <w:t>both of these will be displayed as | (the mapping assigned to the token in the authority file overriding the content)</w:t>
            </w:r>
          </w:p>
          <w:p w14:paraId="6CD69712" w14:textId="6D4705B4">
            <w:pPr>
              <w:pStyle w:val="TableNote"/>
              <w:ind w:left="709"/>
              <w:rPr>
                <w:rStyle w:val="Code"/>
              </w:rPr>
            </w:pPr>
            <w:r>
              <w:t xml:space="preserve">if the default placeholder § is wrapped in </w:t>
            </w:r>
            <w:r>
              <w:rPr>
                <w:rStyle w:val="Code"/>
              </w:rPr>
              <w:t>&lt;g&gt;</w:t>
            </w:r>
            <w:r>
              <w:t xml:space="preserve">, then </w:t>
            </w:r>
            <w:r>
              <w:rPr>
                <w:rStyle w:val="Codeattribute"/>
              </w:rPr>
              <w:t>@type</w:t>
            </w:r>
            <w:r>
              <w:t xml:space="preserve"> must also be present (§</w:t>
            </w:r>
            <w:r>
              <w:fldChar w:fldCharType="begin"/>
            </w:r>
            <w:r>
              <w:instrText xml:space="preserve"> REF _Ref226031926 \r \h </w:instrText>
            </w:r>
            <w:r>
              <w:fldChar w:fldCharType="separate"/>
            </w:r>
            <w:r>
              <w:t>5.3.4.1</w:t>
            </w:r>
            <w:r>
              <w:fldChar w:fldCharType="end"/>
            </w:r>
            <w:r>
              <w:t xml:space="preserve">), while arbitrary placeholders may be wrapped in </w:t>
            </w:r>
            <w:r>
              <w:rPr>
                <w:rStyle w:val="Code"/>
              </w:rPr>
              <w:t>&lt;g&gt;</w:t>
            </w:r>
            <w:r>
              <w:t xml:space="preserve"> without </w:t>
            </w:r>
            <w:r>
              <w:rPr>
                <w:rStyle w:val="Codeattribute"/>
              </w:rPr>
              <w:t>@type</w:t>
            </w:r>
          </w:p>
        </w:tc>
      </w:tr>
    </w:tbl>
    <w:p w14:paraId="4A60FBE6" w14:textId="77777777"/>
    <w:tbl>
      <w:tblPr>
        <w:tblStyle w:val="CodeSampleTable"/>
        <w:tblW w:w="5000" w:type="pct"/>
        <w:tblLook w:val="04A0" w:firstRow="1" w:lastRow="0" w:firstColumn="1" w:lastColumn="0" w:noHBand="0" w:noVBand="1"/>
      </w:tblPr>
      <w:tblGrid>
        <w:gridCol w:w="9628"/>
      </w:tblGrid>
      <w:tr w14:paraId="4495C212"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5AC7875" w14:textId="4A035C2B">
            <w:pPr>
              <w:pStyle w:val="Kpalrs"/>
              <w:keepLines/>
            </w:pPr>
            <w:bookmarkStart w:id="439" w:name="_szxkvje7z9d2" w:colFirst="0" w:colLast="0"/>
            <w:bookmarkStart w:id="440" w:name="_Ref182577960"/>
            <w:bookmarkStart w:id="441" w:name="_Ref44577965"/>
            <w:bookmarkEnd w:id="439"/>
            <w:r>
              <w:lastRenderedPageBreak/>
              <w:t xml:space="preserve">Exhibit </w:t>
            </w:r>
            <w:fldSimple w:instr=" STYLEREF 2 \s ">
              <w:r>
                <w:rPr>
                  <w:noProof/>
                </w:rPr>
                <w:t>5.3</w:t>
              </w:r>
            </w:fldSimple>
            <w:r>
              <w:t>.</w:t>
            </w:r>
            <w:fldSimple w:instr=" SEQ Exhibit \* ALPHABETIC \s 2 ">
              <w:r>
                <w:rPr>
                  <w:noProof/>
                </w:rPr>
                <w:t>E</w:t>
              </w:r>
            </w:fldSimple>
            <w:bookmarkEnd w:id="440"/>
            <w:r>
              <w:t>: encoding abstract symbols</w:t>
            </w:r>
          </w:p>
        </w:tc>
      </w:tr>
      <w:tr w14:paraId="68807014" w14:textId="77777777">
        <w:tc>
          <w:tcPr>
            <w:tcW w:w="5000" w:type="pct"/>
            <w:vAlign w:val="center"/>
          </w:tcPr>
          <w:p w14:paraId="404314C4" w14:textId="77777777">
            <w:pPr>
              <w:pStyle w:val="Image"/>
              <w:keepLines/>
              <w:rPr>
                <w:rStyle w:val="Code"/>
              </w:rPr>
            </w:pPr>
            <w:r>
              <w:rPr>
                <w:rStyle w:val="Code"/>
              </w:rPr>
              <w:drawing>
                <wp:inline distT="0" distB="0" distL="0" distR="0" wp14:anchorId="1AC3A442" wp14:editId="5E814A06">
                  <wp:extent cx="1018800" cy="579600"/>
                  <wp:effectExtent l="0" t="0" r="0" b="0"/>
                  <wp:docPr id="403080985"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018800" cy="579600"/>
                          </a:xfrm>
                          <a:prstGeom prst="rect">
                            <a:avLst/>
                          </a:prstGeom>
                          <a:noFill/>
                          <a:ln>
                            <a:noFill/>
                          </a:ln>
                        </pic:spPr>
                      </pic:pic>
                    </a:graphicData>
                  </a:graphic>
                </wp:inline>
              </w:drawing>
            </w:r>
          </w:p>
        </w:tc>
      </w:tr>
      <w:tr w14:paraId="3BA74A6D" w14:textId="77777777">
        <w:tc>
          <w:tcPr>
            <w:tcW w:w="5000" w:type="pct"/>
          </w:tcPr>
          <w:p w14:paraId="2258970B" w14:textId="77777777">
            <w:pPr>
              <w:pStyle w:val="CodeParagraph"/>
              <w:keepNext/>
              <w:keepLines/>
              <w:rPr>
                <w:rStyle w:val="Codetext"/>
              </w:rPr>
            </w:pPr>
            <w:r>
              <w:rPr>
                <w:rStyle w:val="Code"/>
              </w:rPr>
              <w:t>&lt;g</w:t>
            </w:r>
            <w:r>
              <w:rPr>
                <w:rStyle w:val="Codeattribute"/>
              </w:rPr>
              <w:t xml:space="preserve"> ref</w:t>
            </w:r>
            <w:r>
              <w:rPr>
                <w:rStyle w:val="Code"/>
              </w:rPr>
              <w:t>=</w:t>
            </w:r>
            <w:r>
              <w:rPr>
                <w:rStyle w:val="Codevalue"/>
              </w:rPr>
              <w:t>"sym:floret-complex"</w:t>
            </w:r>
            <w:r>
              <w:rPr>
                <w:rStyle w:val="Code"/>
              </w:rPr>
              <w:t>&gt;</w:t>
            </w:r>
            <w:r>
              <w:rPr>
                <w:rStyle w:val="Codetext"/>
              </w:rPr>
              <w:t>*</w:t>
            </w:r>
            <w:r>
              <w:rPr>
                <w:rStyle w:val="Code"/>
              </w:rPr>
              <w:t xml:space="preserve">&lt;/g&gt; </w:t>
            </w:r>
            <w:r>
              <w:rPr>
                <w:rStyle w:val="Codetext"/>
              </w:rPr>
              <w:t>svasti</w:t>
            </w:r>
          </w:p>
        </w:tc>
      </w:tr>
      <w:tr w14:paraId="21F8F89D" w14:textId="77777777">
        <w:tc>
          <w:tcPr>
            <w:tcW w:w="5000" w:type="pct"/>
          </w:tcPr>
          <w:p w14:paraId="1BDF11BD" w14:textId="77777777">
            <w:pPr>
              <w:pStyle w:val="TableNote"/>
              <w:rPr>
                <w:rFonts w:ascii="Consolas" w:hAnsi="Consolas" w:cs="Consolas"/>
                <w:noProof/>
                <w:color w:val="002060"/>
                <w:shd w:val="clear" w:color="auto" w:fill="F2F2F2" w:themeFill="background1" w:themeFillShade="F2"/>
              </w:rPr>
            </w:pPr>
            <w:r>
              <w:rPr>
                <w:rStyle w:val="Codeattribute"/>
              </w:rPr>
              <w:t>type</w:t>
            </w:r>
            <w:r>
              <w:rPr>
                <w:rStyle w:val="Code"/>
              </w:rPr>
              <w:t>=</w:t>
            </w:r>
            <w:r>
              <w:rPr>
                <w:rStyle w:val="Codevalue"/>
              </w:rPr>
              <w:t>"symbol"</w:t>
            </w:r>
            <w:r>
              <w:t xml:space="preserve"> could be added, but is not necessary because this is the default value</w:t>
            </w:r>
          </w:p>
          <w:p w14:paraId="57B846D7" w14:textId="77777777">
            <w:pPr>
              <w:pStyle w:val="TableNote"/>
            </w:pPr>
            <w:r>
              <w:t xml:space="preserve">the display will be </w:t>
            </w:r>
            <w:r>
              <w:rPr>
                <w:rFonts w:ascii="Segoe UI Symbol" w:hAnsi="Segoe UI Symbol" w:cs="Segoe UI Symbol"/>
              </w:rPr>
              <w:t>⁜</w:t>
            </w:r>
            <w:r>
              <w:t xml:space="preserve"> (the mapping assigned to the token in the authority file)</w:t>
            </w:r>
          </w:p>
          <w:p w14:paraId="53829560" w14:textId="77777777">
            <w:pPr>
              <w:pStyle w:val="TableNote"/>
              <w:rPr>
                <w:rFonts w:ascii="Consolas" w:hAnsi="Consolas" w:cs="Consolas"/>
                <w:noProof/>
                <w:color w:val="002060"/>
                <w:shd w:val="clear" w:color="auto" w:fill="F2F2F2" w:themeFill="background1" w:themeFillShade="F2"/>
              </w:rPr>
            </w:pPr>
            <w:r>
              <w:t xml:space="preserve">alternatively, an arbitrary placeholder such as </w:t>
            </w:r>
            <w:r>
              <w:rPr>
                <w:rStyle w:val="ForeignDingbat"/>
              </w:rPr>
              <w:t>✤</w:t>
            </w:r>
            <w:r>
              <w:rPr>
                <w:lang w:eastAsia="en-US" w:bidi="ar-SA"/>
              </w:rPr>
              <w:t xml:space="preserve"> </w:t>
            </w:r>
            <w:r>
              <w:t xml:space="preserve">might be used, with or without a </w:t>
            </w:r>
            <w:r>
              <w:rPr>
                <w:rStyle w:val="Code"/>
              </w:rPr>
              <w:t>&lt;g&gt;</w:t>
            </w:r>
            <w:r>
              <w:t xml:space="preserve"> wrapper and with or without </w:t>
            </w:r>
            <w:r>
              <w:rPr>
                <w:rStyle w:val="Codeattribute"/>
              </w:rPr>
              <w:t>@ref</w:t>
            </w:r>
          </w:p>
          <w:p w14:paraId="53A95399" w14:textId="77777777">
            <w:pPr>
              <w:pStyle w:val="TableNote"/>
              <w:ind w:left="709"/>
            </w:pPr>
            <w:r>
              <w:t xml:space="preserve">if </w:t>
            </w:r>
            <w:r>
              <w:rPr>
                <w:rStyle w:val="Codeattribute"/>
              </w:rPr>
              <w:t>@ref</w:t>
            </w:r>
            <w:r>
              <w:t xml:space="preserve"> is not present, then the arbitrary placeholder will be displayed</w:t>
            </w:r>
          </w:p>
        </w:tc>
      </w:tr>
    </w:tbl>
    <w:p w14:paraId="67666551" w14:textId="77777777">
      <w:pPr>
        <w:pStyle w:val="Cmsor3"/>
      </w:pPr>
      <w:bookmarkStart w:id="442" w:name="_1jfnyljo6f10" w:colFirst="0" w:colLast="0"/>
      <w:bookmarkStart w:id="443" w:name="_Ref182551676"/>
      <w:bookmarkStart w:id="444" w:name="_Ref43989284"/>
      <w:bookmarkStart w:id="445" w:name="_Ref183075544"/>
      <w:bookmarkStart w:id="446" w:name="_Toc243922652"/>
      <w:bookmarkEnd w:id="441"/>
      <w:bookmarkEnd w:id="442"/>
      <w:r>
        <w:t>Multiple peripheral graphemes</w:t>
      </w:r>
      <w:bookmarkEnd w:id="446"/>
    </w:p>
    <w:p w14:paraId="5E49BCCD" w14:textId="77777777">
      <w:pPr>
        <w:pStyle w:val="Lista"/>
      </w:pPr>
      <w:r>
        <w:t xml:space="preserve">groups of peripheral graphemes appearing together, whether identical or different, shall normally be encoded with separate </w:t>
      </w:r>
      <w:r>
        <w:rPr>
          <w:rStyle w:val="Code"/>
        </w:rPr>
        <w:t>&lt;g&gt;</w:t>
      </w:r>
      <w:r>
        <w:t xml:space="preserve"> wrappers</w:t>
      </w:r>
    </w:p>
    <w:p w14:paraId="4DDCDF49" w14:textId="77777777">
      <w:pPr>
        <w:pStyle w:val="Lista2"/>
      </w:pPr>
      <w:r>
        <w:t xml:space="preserve">clusters of symbols that are frequently used together in a given writing tradition can, however, be treated as single glyphs and, accordingly, wrapped in just one </w:t>
      </w:r>
      <w:r>
        <w:rPr>
          <w:rStyle w:val="Code"/>
        </w:rPr>
        <w:t>&lt;g&gt;</w:t>
      </w:r>
      <w:r>
        <w:t xml:space="preserve"> element</w:t>
      </w:r>
    </w:p>
    <w:p w14:paraId="2D6ED30E" w14:textId="77777777">
      <w:pPr>
        <w:pStyle w:val="Lista3"/>
      </w:pPr>
      <w:r>
        <w:t>this applies in particular to the double vertical bars which are quite ubiquitous in the Indic writing system</w:t>
      </w:r>
    </w:p>
    <w:p w14:paraId="0FA38A45" w14:textId="77777777">
      <w:pPr>
        <w:pStyle w:val="Lista3"/>
      </w:pPr>
      <w:r>
        <w:t>but can also apply to more elaborate combinations when these belong to an established convention, such as the Balinese punctuation marks in TG §5.3.1</w:t>
      </w:r>
    </w:p>
    <w:p w14:paraId="0FFC25CD" w14:textId="77777777">
      <w:pPr>
        <w:pStyle w:val="Lista"/>
      </w:pPr>
      <w:r>
        <w:t>series of more than two identical glyphs (e.g. three vertical bars) are best treated as combinations of singles, unless some of them are clearly doubles (as indicated by spacing or by additional strokes joining the pairs)</w:t>
      </w:r>
    </w:p>
    <w:p w14:paraId="5742EDCE" w14:textId="77777777">
      <w:pPr>
        <w:pStyle w:val="Lista"/>
      </w:pPr>
      <w:r>
        <w:t xml:space="preserve">the requirement of individual wrapping applies likewise to connectors (for which earlier versions of this Guide prescribed a single wrapper) </w:t>
      </w:r>
    </w:p>
    <w:p w14:paraId="3AA38011" w14:textId="60310742">
      <w:pPr>
        <w:pStyle w:val="Lista2"/>
      </w:pPr>
      <w:r>
        <w:t xml:space="preserve">this increases code clutter for iterated connectors, as illustrated in </w:t>
      </w:r>
      <w:r>
        <w:fldChar w:fldCharType="begin"/>
      </w:r>
      <w:r>
        <w:instrText xml:space="preserve"> REF _Ref182576763 \h </w:instrText>
      </w:r>
      <w:r>
        <w:fldChar w:fldCharType="separate"/>
      </w:r>
      <w:r>
        <w:t xml:space="preserve">Exhibit </w:t>
      </w:r>
      <w:r>
        <w:rPr>
          <w:noProof/>
        </w:rPr>
        <w:t>5.3</w:t>
      </w:r>
      <w:r>
        <w:t>.</w:t>
      </w:r>
      <w:r>
        <w:rPr>
          <w:noProof/>
        </w:rPr>
        <w:t>F</w:t>
      </w:r>
      <w:r>
        <w:fldChar w:fldCharType="end"/>
      </w:r>
      <w:r>
        <w:t>, but is desirable in order to ensure consistency in the encoding</w:t>
      </w:r>
    </w:p>
    <w:tbl>
      <w:tblPr>
        <w:tblStyle w:val="CodeSampleTable"/>
        <w:tblW w:w="5000" w:type="pct"/>
        <w:tblLook w:val="04A0" w:firstRow="1" w:lastRow="0" w:firstColumn="1" w:lastColumn="0" w:noHBand="0" w:noVBand="1"/>
      </w:tblPr>
      <w:tblGrid>
        <w:gridCol w:w="9628"/>
      </w:tblGrid>
      <w:tr w14:paraId="780DC01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D74E1F8" w14:textId="3AC6D4C0">
            <w:pPr>
              <w:pStyle w:val="Kpalrs"/>
            </w:pPr>
            <w:bookmarkStart w:id="447" w:name="_Ref182576763"/>
            <w:r>
              <w:t xml:space="preserve">Exhibit </w:t>
            </w:r>
            <w:fldSimple w:instr=" STYLEREF 2 \s ">
              <w:r>
                <w:rPr>
                  <w:noProof/>
                </w:rPr>
                <w:t>5.3</w:t>
              </w:r>
            </w:fldSimple>
            <w:r>
              <w:t>.</w:t>
            </w:r>
            <w:fldSimple w:instr=" SEQ Exhibit \* ALPHABETIC \s 2 ">
              <w:r>
                <w:rPr>
                  <w:noProof/>
                </w:rPr>
                <w:t>F</w:t>
              </w:r>
            </w:fldSimple>
            <w:bookmarkEnd w:id="447"/>
            <w:r>
              <w:t>: encoding multiple connectors</w:t>
            </w:r>
          </w:p>
        </w:tc>
      </w:tr>
      <w:tr w14:paraId="205BEECE" w14:textId="77777777">
        <w:tc>
          <w:tcPr>
            <w:tcW w:w="5000" w:type="pct"/>
            <w:vAlign w:val="center"/>
          </w:tcPr>
          <w:p w14:paraId="428FC3EB" w14:textId="77777777">
            <w:pPr>
              <w:pStyle w:val="Image"/>
              <w:rPr>
                <w:rStyle w:val="Code"/>
              </w:rPr>
            </w:pPr>
            <w:r>
              <w:drawing>
                <wp:inline distT="114300" distB="114300" distL="114300" distR="114300" wp14:anchorId="21019E0D" wp14:editId="56191257">
                  <wp:extent cx="3810000" cy="523875"/>
                  <wp:effectExtent l="0" t="0" r="0" b="0"/>
                  <wp:docPr id="32"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56"/>
                          <a:srcRect/>
                          <a:stretch>
                            <a:fillRect/>
                          </a:stretch>
                        </pic:blipFill>
                        <pic:spPr>
                          <a:xfrm>
                            <a:off x="0" y="0"/>
                            <a:ext cx="3810000" cy="523875"/>
                          </a:xfrm>
                          <a:prstGeom prst="rect">
                            <a:avLst/>
                          </a:prstGeom>
                          <a:ln/>
                        </pic:spPr>
                      </pic:pic>
                    </a:graphicData>
                  </a:graphic>
                </wp:inline>
              </w:drawing>
            </w:r>
          </w:p>
        </w:tc>
      </w:tr>
      <w:tr w14:paraId="4EEC23A6" w14:textId="77777777">
        <w:tc>
          <w:tcPr>
            <w:tcW w:w="5000" w:type="pct"/>
          </w:tcPr>
          <w:p w14:paraId="01E525EA" w14:textId="77777777">
            <w:pPr>
              <w:pStyle w:val="CodeParagraph"/>
            </w:pPr>
            <w:r>
              <w:rPr>
                <w:rStyle w:val="Codetext"/>
              </w:rPr>
              <w:t>kr̥tavān imām·</w:t>
            </w:r>
            <w:r>
              <w:rPr>
                <w:rStyle w:val="Code"/>
              </w:rPr>
              <w:t xml:space="preserve"> &lt;g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"sym:flourish-taperOut-bars"</w:t>
            </w:r>
            <w:r>
              <w:rPr>
                <w:rStyle w:val="Code"/>
              </w:rPr>
              <w:t>&gt;</w:t>
            </w:r>
            <w:r>
              <w:rPr>
                <w:rStyle w:val="Codetext"/>
              </w:rPr>
              <w:t>§</w:t>
            </w:r>
            <w:r>
              <w:rPr>
                <w:rStyle w:val="Code"/>
              </w:rPr>
              <w:t xml:space="preserve">&lt;/g&gt;&lt;g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"sym:flourish-taperOut-bars"</w:t>
            </w:r>
            <w:r>
              <w:rPr>
                <w:rStyle w:val="Code"/>
              </w:rPr>
              <w:t>&gt;</w:t>
            </w:r>
            <w:r>
              <w:rPr>
                <w:rStyle w:val="Codetext"/>
              </w:rPr>
              <w:t>§</w:t>
            </w:r>
            <w:r>
              <w:rPr>
                <w:rStyle w:val="Code"/>
              </w:rPr>
              <w:t xml:space="preserve">&lt;/g&gt;&lt;g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"sym:flourish-taperOut-bars"</w:t>
            </w:r>
            <w:r>
              <w:rPr>
                <w:rStyle w:val="Code"/>
              </w:rPr>
              <w:t>&gt;</w:t>
            </w:r>
            <w:r>
              <w:rPr>
                <w:rStyle w:val="Codetext"/>
              </w:rPr>
              <w:t>§</w:t>
            </w:r>
            <w:r>
              <w:rPr>
                <w:rStyle w:val="Code"/>
              </w:rPr>
              <w:t xml:space="preserve">&lt;/g&gt;&lt;g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"sym:flourish-taperOut-bars"</w:t>
            </w:r>
            <w:r>
              <w:rPr>
                <w:rStyle w:val="Code"/>
              </w:rPr>
              <w:t>&gt;</w:t>
            </w:r>
            <w:r>
              <w:rPr>
                <w:rStyle w:val="Codetext"/>
              </w:rPr>
              <w:t>§</w:t>
            </w:r>
            <w:r>
              <w:rPr>
                <w:rStyle w:val="Code"/>
              </w:rPr>
              <w:t xml:space="preserve">&lt;/g&gt;&lt;g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"sym:flourish-taperOut-bars"</w:t>
            </w:r>
            <w:r>
              <w:rPr>
                <w:rStyle w:val="Code"/>
              </w:rPr>
              <w:t>&gt;</w:t>
            </w:r>
            <w:r>
              <w:rPr>
                <w:rStyle w:val="Codetext"/>
              </w:rPr>
              <w:t>§</w:t>
            </w:r>
            <w:r>
              <w:rPr>
                <w:rStyle w:val="Code"/>
              </w:rPr>
              <w:t xml:space="preserve">&lt;/g&gt;&lt;g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"sym:flourish-taperOut-bars"</w:t>
            </w:r>
            <w:r>
              <w:rPr>
                <w:rStyle w:val="Code"/>
              </w:rPr>
              <w:t>&gt;</w:t>
            </w:r>
            <w:r>
              <w:rPr>
                <w:rStyle w:val="Codetext"/>
              </w:rPr>
              <w:t>§</w:t>
            </w:r>
            <w:r>
              <w:rPr>
                <w:rStyle w:val="Code"/>
              </w:rPr>
              <w:t>&lt;/g&gt;</w:t>
            </w:r>
          </w:p>
        </w:tc>
      </w:tr>
    </w:tbl>
    <w:p w14:paraId="7ED4BC41" w14:textId="77777777">
      <w:pPr>
        <w:pStyle w:val="Cmsor3"/>
      </w:pPr>
      <w:bookmarkStart w:id="448" w:name="_Ref227836867"/>
      <w:bookmarkStart w:id="449" w:name="_Toc243922653"/>
      <w:r>
        <w:t>Peripheral graphemes and their context</w:t>
      </w:r>
      <w:bookmarkEnd w:id="448"/>
      <w:bookmarkEnd w:id="449"/>
    </w:p>
    <w:p w14:paraId="42470F10" w14:textId="77777777">
      <w:pPr>
        <w:pStyle w:val="Lista"/>
      </w:pPr>
      <w:r>
        <w:t xml:space="preserve">use spaces around transliterated symbols as instructed in TG §7.3.4.4, i.e. essentially: </w:t>
      </w:r>
    </w:p>
    <w:p w14:paraId="3B199F9F" w14:textId="77777777">
      <w:pPr>
        <w:pStyle w:val="Lista2"/>
      </w:pPr>
      <w:r>
        <w:t>add spaces to separate the transliterated (and, if applicable, encoded) representation of any and all peripheral graphemes from any and all adjacent graphemes, except:</w:t>
      </w:r>
    </w:p>
    <w:p w14:paraId="610D6330" w14:textId="77777777">
      <w:pPr>
        <w:pStyle w:val="Lista3"/>
      </w:pPr>
      <w:r>
        <w:t>punctuation marks shall not be separated with a space from preceding text</w:t>
      </w:r>
    </w:p>
    <w:p w14:paraId="59A30CC4" w14:textId="77777777">
      <w:pPr>
        <w:pStyle w:val="Lista3"/>
      </w:pPr>
      <w:r>
        <w:t>groups of symbols appearing together may be spaced or not, at your discretion</w:t>
      </w:r>
    </w:p>
    <w:p w14:paraId="5F2D9D5C" w14:textId="12BBBE6D">
      <w:pPr>
        <w:pStyle w:val="Lista3"/>
      </w:pPr>
      <w:r>
        <w:t xml:space="preserve">use no spaces around a peripheral grapheme that interrupts a word, as in </w:t>
      </w:r>
      <w:r>
        <w:fldChar w:fldCharType="begin"/>
      </w:r>
      <w:r>
        <w:instrText xml:space="preserve"> REF _Ref182576762 \h </w:instrText>
      </w:r>
      <w:r>
        <w:fldChar w:fldCharType="separate"/>
      </w:r>
      <w:r>
        <w:t xml:space="preserve">Exhibit </w:t>
      </w:r>
      <w:r>
        <w:rPr>
          <w:noProof/>
        </w:rPr>
        <w:t>5.3</w:t>
      </w:r>
      <w:r>
        <w:t>.</w:t>
      </w:r>
      <w:r>
        <w:rPr>
          <w:noProof/>
        </w:rPr>
        <w:t>D</w:t>
      </w:r>
      <w:r>
        <w:fldChar w:fldCharType="end"/>
      </w:r>
    </w:p>
    <w:p w14:paraId="73FAAA4F" w14:textId="591B60FE">
      <w:pPr>
        <w:pStyle w:val="Lista"/>
      </w:pPr>
      <w:r>
        <w:t>if a peripheral grapheme appears at the boundary of two block-level containers for intrinsic structure (§</w:t>
      </w:r>
      <w:r>
        <w:fldChar w:fldCharType="begin"/>
      </w:r>
      <w:r>
        <w:instrText xml:space="preserve"> REF _Ref43978632 \r \h </w:instrText>
      </w:r>
      <w:r>
        <w:fldChar w:fldCharType="separate"/>
      </w:r>
      <w:r>
        <w:t>3</w:t>
      </w:r>
      <w:r>
        <w:fldChar w:fldCharType="end"/>
      </w:r>
      <w:r>
        <w:t>), allocate it to one of the containers depending on your judgement of its semantic function</w:t>
      </w:r>
    </w:p>
    <w:p w14:paraId="72649B5F" w14:textId="77777777">
      <w:pPr>
        <w:pStyle w:val="Lista2"/>
      </w:pPr>
      <w:r>
        <w:t>when in doubt, e.g. because a generic symbol marks the transition from one passage to another without being semantically associated with either, allocate it to the end of the earlier containing block</w:t>
      </w:r>
    </w:p>
    <w:p w14:paraId="18A98353" w14:textId="77777777">
      <w:pPr>
        <w:pStyle w:val="Lista"/>
      </w:pPr>
      <w:r>
        <w:t xml:space="preserve">as a special case, peripheral graphemes, especially punctuation marks, may be written at an </w:t>
      </w:r>
      <w:r>
        <w:rPr>
          <w:rStyle w:val="Foreign"/>
        </w:rPr>
        <w:t>akṣara</w:t>
      </w:r>
      <w:r>
        <w:t xml:space="preserve"> boundary next to, but not coincident with, a word boundary (which would fall within the </w:t>
      </w:r>
      <w:r>
        <w:rPr>
          <w:rStyle w:val="Foreign"/>
        </w:rPr>
        <w:t>akṣara</w:t>
      </w:r>
      <w:r>
        <w:t>)</w:t>
      </w:r>
    </w:p>
    <w:p w14:paraId="3A1FCBB6" w14:textId="77777777">
      <w:pPr>
        <w:pStyle w:val="Lista2"/>
      </w:pPr>
      <w:r>
        <w:t>such symbols must always be represented in the transliterated text at their actual location (and thus without editorial spacing)</w:t>
      </w:r>
    </w:p>
    <w:p w14:paraId="70D6E6AC" w14:textId="0165D51C">
      <w:pPr>
        <w:pStyle w:val="Lista2"/>
      </w:pPr>
      <w:r>
        <w:lastRenderedPageBreak/>
        <w:t>however, it is recommended that you flag this as non-standard usage and optionally also normalise the text (§</w:t>
      </w:r>
      <w:r>
        <w:fldChar w:fldCharType="begin"/>
      </w:r>
      <w:r>
        <w:instrText xml:space="preserve"> REF _Ref43978565 \r \h </w:instrText>
      </w:r>
      <w:r>
        <w:fldChar w:fldCharType="separate"/>
      </w:r>
      <w:r>
        <w:t>7</w:t>
      </w:r>
      <w:r>
        <w:fldChar w:fldCharType="end"/>
      </w:r>
      <w:r>
        <w:t xml:space="preserve">) by restoring the symbol at the word boundary and changing the sandhi and editorial spacing as applicable, as in </w:t>
      </w:r>
      <w:r>
        <w:fldChar w:fldCharType="begin"/>
      </w:r>
      <w:r>
        <w:instrText xml:space="preserve"> REF _Ref182562508 \h </w:instrText>
      </w:r>
      <w:r>
        <w:fldChar w:fldCharType="separate"/>
      </w:r>
      <w:r>
        <w:t xml:space="preserve">Exhibit </w:t>
      </w:r>
      <w:r>
        <w:rPr>
          <w:noProof/>
        </w:rPr>
        <w:t>5.3</w:t>
      </w:r>
      <w:r>
        <w:t>.</w:t>
      </w:r>
      <w:r>
        <w:rPr>
          <w:noProof/>
        </w:rPr>
        <w:t>G</w:t>
      </w:r>
      <w:r>
        <w:fldChar w:fldCharType="end"/>
      </w:r>
    </w:p>
    <w:p w14:paraId="1144170E" w14:textId="231A8FE3">
      <w:pPr>
        <w:pStyle w:val="Lista2"/>
      </w:pPr>
      <w:r>
        <w:t>when this happens at the end of a container element such as a verse line, encode the container boundary at its logical place (§</w:t>
      </w:r>
      <w:r>
        <w:fldChar w:fldCharType="begin"/>
      </w:r>
      <w:r>
        <w:instrText xml:space="preserve"> REF _Ref225328264 \r \h </w:instrText>
      </w:r>
      <w:r>
        <w:fldChar w:fldCharType="separate"/>
      </w:r>
      <w:r>
        <w:t>3.2.4.1</w:t>
      </w:r>
      <w:r>
        <w:fldChar w:fldCharType="end"/>
      </w:r>
      <w:r>
        <w:t xml:space="preserve">), disregarding the </w:t>
      </w:r>
      <w:r>
        <w:rPr>
          <w:rStyle w:val="Foreign"/>
        </w:rPr>
        <w:t>akṣara</w:t>
      </w:r>
      <w:r>
        <w:t xml:space="preserve"> boundary and the symbol</w:t>
      </w:r>
    </w:p>
    <w:tbl>
      <w:tblPr>
        <w:tblStyle w:val="FigureTable"/>
        <w:tblW w:w="5000" w:type="pct"/>
        <w:tblLook w:val="04A0" w:firstRow="1" w:lastRow="0" w:firstColumn="1" w:lastColumn="0" w:noHBand="0" w:noVBand="1"/>
      </w:tblPr>
      <w:tblGrid>
        <w:gridCol w:w="9628"/>
      </w:tblGrid>
      <w:tr w14:paraId="1D94D87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C352336" w14:textId="422C8DF7">
            <w:pPr>
              <w:pStyle w:val="Kpalrs"/>
              <w:keepLines/>
            </w:pPr>
            <w:bookmarkStart w:id="450" w:name="_Ref182562508"/>
            <w:r>
              <w:t xml:space="preserve">Exhibit </w:t>
            </w:r>
            <w:fldSimple w:instr=" STYLEREF 2 \s ">
              <w:r>
                <w:rPr>
                  <w:noProof/>
                </w:rPr>
                <w:t>5.3</w:t>
              </w:r>
            </w:fldSimple>
            <w:r>
              <w:t>.</w:t>
            </w:r>
            <w:fldSimple w:instr=" SEQ Exhibit \* ALPHABETIC \s 2 ">
              <w:r>
                <w:rPr>
                  <w:noProof/>
                </w:rPr>
                <w:t>G</w:t>
              </w:r>
            </w:fldSimple>
            <w:bookmarkEnd w:id="450"/>
            <w:r>
              <w:t xml:space="preserve">: punctuation placed at </w:t>
            </w:r>
            <w:r>
              <w:rPr>
                <w:rStyle w:val="Foreign"/>
              </w:rPr>
              <w:t>akṣara</w:t>
            </w:r>
            <w:r>
              <w:t xml:space="preserve"> boundary rather than word boundary</w:t>
            </w:r>
          </w:p>
        </w:tc>
      </w:tr>
      <w:tr w14:paraId="668555A6" w14:textId="77777777">
        <w:tc>
          <w:tcPr>
            <w:tcW w:w="5000" w:type="pct"/>
          </w:tcPr>
          <w:p w14:paraId="7241EF46" w14:textId="77777777">
            <w:pPr>
              <w:pStyle w:val="Image"/>
              <w:keepLines/>
              <w:widowControl/>
              <w:rPr>
                <w:rStyle w:val="Code"/>
              </w:rPr>
            </w:pPr>
            <w:r>
              <w:drawing>
                <wp:inline distT="0" distB="0" distL="0" distR="0" wp14:anchorId="1AE18799" wp14:editId="591BB2F3">
                  <wp:extent cx="6120765" cy="1009650"/>
                  <wp:effectExtent l="0" t="0" r="0" b="0"/>
                  <wp:docPr id="586158288"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120765" cy="1009650"/>
                          </a:xfrm>
                          <a:prstGeom prst="rect">
                            <a:avLst/>
                          </a:prstGeom>
                          <a:noFill/>
                          <a:ln>
                            <a:noFill/>
                          </a:ln>
                        </pic:spPr>
                      </pic:pic>
                    </a:graphicData>
                  </a:graphic>
                </wp:inline>
              </w:drawing>
            </w:r>
          </w:p>
        </w:tc>
      </w:tr>
      <w:tr w14:paraId="44D23022" w14:textId="77777777">
        <w:tc>
          <w:tcPr>
            <w:tcW w:w="5000" w:type="pct"/>
          </w:tcPr>
          <w:p w14:paraId="2433C003" w14:textId="77777777">
            <w:pPr>
              <w:pStyle w:val="TableNote"/>
              <w:keepNext/>
              <w:keepLines/>
              <w:rPr>
                <w:rStyle w:val="Codetext"/>
              </w:rPr>
            </w:pPr>
            <w:r>
              <w:t xml:space="preserve">flagged: </w:t>
            </w:r>
            <w:r>
              <w:rPr>
                <w:rStyle w:val="Codetext"/>
              </w:rPr>
              <w:t xml:space="preserve">...yuvarājaḫ </w:t>
            </w:r>
            <w:bookmarkStart w:id="451" w:name="_Hlk227836756"/>
            <w:r>
              <w:rPr>
                <w:rStyle w:val="Codetext"/>
              </w:rPr>
              <w:t>paṁcaviṁśati</w:t>
            </w:r>
            <w:r>
              <w:rPr>
                <w:rStyle w:val="Code"/>
              </w:rPr>
              <w:t>&lt;orig&gt;</w:t>
            </w:r>
            <w:r>
              <w:rPr>
                <w:rStyle w:val="Codetext"/>
              </w:rPr>
              <w:t>|n</w:t>
            </w:r>
            <w:r>
              <w:rPr>
                <w:rStyle w:val="Code"/>
              </w:rPr>
              <w:t>&lt;/orig&gt;</w:t>
            </w:r>
            <w:r>
              <w:rPr>
                <w:rStyle w:val="Codetext"/>
              </w:rPr>
              <w:t>tat-putro</w:t>
            </w:r>
            <w:bookmarkEnd w:id="451"/>
            <w:r>
              <w:rPr>
                <w:rStyle w:val="Codetext"/>
              </w:rPr>
              <w:t>...</w:t>
            </w:r>
          </w:p>
          <w:p w14:paraId="7059EC7B" w14:textId="77777777">
            <w:pPr>
              <w:pStyle w:val="TableNote"/>
              <w:keepNext/>
              <w:keepLines/>
              <w:rPr>
                <w:rStyle w:val="Code"/>
              </w:rPr>
            </w:pPr>
            <w:r>
              <w:t xml:space="preserve">normalised: </w:t>
            </w:r>
            <w:r>
              <w:rPr>
                <w:rStyle w:val="Codetext"/>
              </w:rPr>
              <w:t>...yuvarājaḫ paṁcaviṁśati</w:t>
            </w:r>
            <w:r>
              <w:rPr>
                <w:rStyle w:val="Code"/>
              </w:rPr>
              <w:t>&lt;choice&gt;&lt;orig&gt;</w:t>
            </w:r>
            <w:r>
              <w:rPr>
                <w:rStyle w:val="Codetext"/>
              </w:rPr>
              <w:t>|n</w:t>
            </w:r>
            <w:r>
              <w:rPr>
                <w:rStyle w:val="Code"/>
              </w:rPr>
              <w:t>&lt;/orig&gt;&lt;reg&gt;</w:t>
            </w:r>
            <w:r>
              <w:rPr>
                <w:rStyle w:val="Codetext"/>
              </w:rPr>
              <w:t xml:space="preserve">M| </w:t>
            </w:r>
            <w:r>
              <w:rPr>
                <w:rStyle w:val="Code"/>
              </w:rPr>
              <w:t>&lt;/reg&gt;&lt;/choice&gt;</w:t>
            </w:r>
            <w:r>
              <w:rPr>
                <w:rStyle w:val="Codetext"/>
              </w:rPr>
              <w:t>tat-putro...</w:t>
            </w:r>
          </w:p>
        </w:tc>
      </w:tr>
      <w:tr w14:paraId="3206C21F" w14:textId="77777777">
        <w:tc>
          <w:tcPr>
            <w:tcW w:w="5000" w:type="pct"/>
          </w:tcPr>
          <w:p w14:paraId="4E8D4F29" w14:textId="77777777">
            <w:pPr>
              <w:pStyle w:val="TableNote"/>
            </w:pPr>
            <w:r>
              <w:t xml:space="preserve">the punctuation mark belonging at the end of the word </w:t>
            </w:r>
            <w:r>
              <w:rPr>
                <w:rStyle w:val="Foreign"/>
              </w:rPr>
              <w:t>paṁcaviṁśatim</w:t>
            </w:r>
            <w:r>
              <w:t xml:space="preserve"> is written after </w:t>
            </w:r>
            <w:r>
              <w:rPr>
                <w:rStyle w:val="Foreign"/>
              </w:rPr>
              <w:t>ti</w:t>
            </w:r>
            <w:r>
              <w:t>, because the end of this word has been inscribed as a homorganic nasal forming a conjunct with the beginning of the next word</w:t>
            </w:r>
          </w:p>
          <w:p w14:paraId="1E22A453" w14:textId="77777777">
            <w:pPr>
              <w:pStyle w:val="TableNote"/>
            </w:pPr>
            <w:r>
              <w:t>the arbitrary placeholder | used in the illustration could of course be supplemented with encoding or replaced with a default placeholder plus encoding</w:t>
            </w:r>
          </w:p>
        </w:tc>
      </w:tr>
    </w:tbl>
    <w:p w14:paraId="4851DB0E" w14:textId="77777777">
      <w:pPr>
        <w:pStyle w:val="Cmsor2"/>
      </w:pPr>
      <w:bookmarkStart w:id="452" w:name="_Toc243922654"/>
      <w:bookmarkEnd w:id="443"/>
      <w:r>
        <w:t>Space</w:t>
      </w:r>
      <w:bookmarkEnd w:id="444"/>
      <w:r>
        <w:t xml:space="preserve"> left blank in the original</w:t>
      </w:r>
      <w:bookmarkEnd w:id="445"/>
      <w:bookmarkEnd w:id="452"/>
    </w:p>
    <w:p w14:paraId="074D7FFB" w14:textId="071750E4">
      <w:r>
        <w:t xml:space="preserve">As discussed in TG §5.6, all spaces in our transliterated texts will be considered editorial. Consequently, </w:t>
      </w:r>
      <w:r>
        <w:rPr>
          <w:lang w:eastAsia="en-US" w:bidi="ar-SA"/>
        </w:rPr>
        <w:t>s</w:t>
      </w:r>
      <w:r>
        <w:t xml:space="preserve">paces present in the source and deemed significant must always be represented in transliterated texts. The _ (underscore) character is a dedicated placeholder for significant space in DHARMA transliteration. In XML editions, this must normally be replaced by (not wrapped in) the empty element </w:t>
      </w:r>
      <w:r>
        <w:rPr>
          <w:rStyle w:val="Code"/>
        </w:rPr>
        <w:t>&lt;space/&gt;</w:t>
      </w:r>
      <w:r>
        <w:t>. This encoding, unlike the transliteration placeholder, allows us to record the nature (§</w:t>
      </w:r>
      <w:r>
        <w:fldChar w:fldCharType="begin"/>
      </w:r>
      <w:r>
        <w:instrText xml:space="preserve"> REF _Ref227833893 \r \h </w:instrText>
      </w:r>
      <w:r>
        <w:fldChar w:fldCharType="separate"/>
      </w:r>
      <w:r>
        <w:t>5.4.2</w:t>
      </w:r>
      <w:r>
        <w:fldChar w:fldCharType="end"/>
      </w:r>
      <w:r>
        <w:t>) and size (§</w:t>
      </w:r>
      <w:r>
        <w:fldChar w:fldCharType="begin"/>
      </w:r>
      <w:r>
        <w:instrText xml:space="preserve"> REF _Ref183008428 \r \h </w:instrText>
      </w:r>
      <w:r>
        <w:fldChar w:fldCharType="separate"/>
      </w:r>
      <w:r>
        <w:t>5.4.2.4</w:t>
      </w:r>
      <w:r>
        <w:fldChar w:fldCharType="end"/>
      </w:r>
      <w:r>
        <w:t>) of each space in attributes of that element. Small spaces used for semantic segmentation (§</w:t>
      </w:r>
      <w:r>
        <w:fldChar w:fldCharType="begin"/>
      </w:r>
      <w:r>
        <w:instrText xml:space="preserve"> REF _Ref183011891 \r \h </w:instrText>
      </w:r>
      <w:r>
        <w:fldChar w:fldCharType="separate"/>
      </w:r>
      <w:r>
        <w:t>5.4.1</w:t>
      </w:r>
      <w:r>
        <w:fldChar w:fldCharType="end"/>
      </w:r>
      <w:r>
        <w:t xml:space="preserve">) do not require these details and may be represented either by means of </w:t>
      </w:r>
      <w:r>
        <w:rPr>
          <w:rStyle w:val="Code"/>
        </w:rPr>
        <w:t>&lt;space/&gt;</w:t>
      </w:r>
      <w:r>
        <w:t xml:space="preserve"> without attributes or by means of the underscore, but the former is preferable in an XML context.</w:t>
      </w:r>
    </w:p>
    <w:p w14:paraId="43337622" w14:textId="77777777">
      <w:pPr>
        <w:pStyle w:val="Cmsor3"/>
      </w:pPr>
      <w:bookmarkStart w:id="453" w:name="_g16v5ug6dm4p" w:colFirst="0" w:colLast="0"/>
      <w:bookmarkStart w:id="454" w:name="_Ref183011891"/>
      <w:bookmarkStart w:id="455" w:name="_Ref43987645"/>
      <w:bookmarkStart w:id="456" w:name="_Ref134026679"/>
      <w:bookmarkStart w:id="457" w:name="_Toc243922655"/>
      <w:bookmarkEnd w:id="453"/>
      <w:r>
        <w:t>Space for semantic segmentation</w:t>
      </w:r>
      <w:bookmarkEnd w:id="454"/>
      <w:bookmarkEnd w:id="457"/>
    </w:p>
    <w:p w14:paraId="2847C7CD" w14:textId="0E9F03B7">
      <w:r>
        <w:t>This subsection is about spaces employed within lines with the presumed purpose of separating semantic units. Regular TEI practice</w:t>
      </w:r>
      <w:r>
        <w:rPr>
          <w:rStyle w:val="Lbjegyzet-hivatkozs"/>
        </w:rPr>
        <w:footnoteReference w:id="25"/>
      </w:r>
      <w:r>
        <w:t xml:space="preserve"> is not to use </w:t>
      </w:r>
      <w:r>
        <w:rPr>
          <w:rStyle w:val="Code"/>
        </w:rPr>
        <w:t>&lt;space/&gt;</w:t>
      </w:r>
      <w:r>
        <w:t xml:space="preserve"> for interword spaces, but since our texts normally use </w:t>
      </w:r>
      <w:r>
        <w:rPr>
          <w:rStyle w:val="Foreign"/>
        </w:rPr>
        <w:t>scriptio continua</w:t>
      </w:r>
      <w:r>
        <w:t xml:space="preserve"> (i.e. they do not space words), we generally consider them to be significant spaces when they do occur and encode them accordingly. Guidelines for when interword spaces are, or are not, to be recognised as significant are given in §</w:t>
      </w:r>
      <w:r>
        <w:fldChar w:fldCharType="begin"/>
      </w:r>
      <w:r>
        <w:instrText xml:space="preserve"> REF _Ref227833891 \r \h </w:instrText>
      </w:r>
      <w:r>
        <w:fldChar w:fldCharType="separate"/>
      </w:r>
      <w:r>
        <w:t>5.4.1.1</w:t>
      </w:r>
      <w:r>
        <w:fldChar w:fldCharType="end"/>
      </w:r>
      <w:r>
        <w:t xml:space="preserve"> below, while the special case of spacing metrical units is discussed in §</w:t>
      </w:r>
      <w:r>
        <w:fldChar w:fldCharType="begin"/>
      </w:r>
      <w:r>
        <w:instrText xml:space="preserve"> REF _Ref227833892 \r \h </w:instrText>
      </w:r>
      <w:r>
        <w:fldChar w:fldCharType="separate"/>
      </w:r>
      <w:r>
        <w:t>5.4.1.2</w:t>
      </w:r>
      <w:r>
        <w:fldChar w:fldCharType="end"/>
      </w:r>
      <w:r>
        <w:t>.</w:t>
      </w:r>
    </w:p>
    <w:p w14:paraId="64C8C7F5" w14:textId="77777777">
      <w:pPr>
        <w:pStyle w:val="Lista"/>
      </w:pPr>
      <w:r>
        <w:t>for our purposes, spaces are deemed to serve semantic segmentation when they appear</w:t>
      </w:r>
    </w:p>
    <w:p w14:paraId="05ABDC99" w14:textId="77777777">
      <w:pPr>
        <w:pStyle w:val="Lista2"/>
      </w:pPr>
      <w:r>
        <w:t>between words</w:t>
      </w:r>
    </w:p>
    <w:p w14:paraId="2D3A7DD9" w14:textId="77777777">
      <w:pPr>
        <w:pStyle w:val="Lista2"/>
      </w:pPr>
      <w:r>
        <w:t>after stanzas or verse lines</w:t>
      </w:r>
    </w:p>
    <w:p w14:paraId="37FAC460" w14:textId="0DEFFE54">
      <w:pPr>
        <w:pStyle w:val="Lista3"/>
      </w:pPr>
      <w:r>
        <w:t>spaces at the same horizontal position in multiple lines, dividing the text into visually separate columns, may instead be encoded as gridlike partitions as per §</w:t>
      </w:r>
      <w:r>
        <w:fldChar w:fldCharType="begin"/>
      </w:r>
      <w:r>
        <w:instrText xml:space="preserve"> REF _Ref43984651 \r \h </w:instrText>
      </w:r>
      <w:r>
        <w:fldChar w:fldCharType="separate"/>
      </w:r>
      <w:r>
        <w:t>4.6</w:t>
      </w:r>
      <w:r>
        <w:fldChar w:fldCharType="end"/>
      </w:r>
    </w:p>
    <w:p w14:paraId="2A4C68D9" w14:textId="77777777">
      <w:pPr>
        <w:pStyle w:val="Lista2"/>
      </w:pPr>
      <w:r>
        <w:t>at a transition from verse to prose or vice versa</w:t>
      </w:r>
    </w:p>
    <w:p w14:paraId="505F1BBB" w14:textId="77777777">
      <w:pPr>
        <w:pStyle w:val="Lista2"/>
      </w:pPr>
      <w:r>
        <w:t>at points where the topic changes markedly, for instance</w:t>
      </w:r>
    </w:p>
    <w:p w14:paraId="6BB7B909" w14:textId="77777777">
      <w:pPr>
        <w:pStyle w:val="Lista3"/>
      </w:pPr>
      <w:r>
        <w:t>after an initial salutation or auspicious phrase</w:t>
      </w:r>
    </w:p>
    <w:p w14:paraId="024281E3" w14:textId="77777777">
      <w:pPr>
        <w:pStyle w:val="Lista3"/>
      </w:pPr>
      <w:r>
        <w:t>before a colophon</w:t>
      </w:r>
    </w:p>
    <w:p w14:paraId="4C7D9F6E" w14:textId="77777777">
      <w:pPr>
        <w:pStyle w:val="Lista"/>
      </w:pPr>
      <w:r>
        <w:lastRenderedPageBreak/>
        <w:t xml:space="preserve">space employed for semantic segmentation shall normally be encoded using the </w:t>
      </w:r>
      <w:r>
        <w:rPr>
          <w:rStyle w:val="Code"/>
        </w:rPr>
        <w:t>&lt;space/&gt;</w:t>
      </w:r>
      <w:r>
        <w:t xml:space="preserve"> element</w:t>
      </w:r>
    </w:p>
    <w:p w14:paraId="0A5A211F" w14:textId="77777777">
      <w:pPr>
        <w:pStyle w:val="Lista2"/>
      </w:pPr>
      <w:r>
        <w:t xml:space="preserve">without </w:t>
      </w:r>
      <w:r>
        <w:rPr>
          <w:rStyle w:val="Codeattribute"/>
        </w:rPr>
        <w:t>@type</w:t>
      </w:r>
      <w:r>
        <w:t>, i.e. semantic spacing is understood in our convention to be the default type of space</w:t>
      </w:r>
    </w:p>
    <w:p w14:paraId="3EB56ACB" w14:textId="77777777">
      <w:pPr>
        <w:pStyle w:val="Lista2"/>
      </w:pPr>
      <w:r>
        <w:t>without size encoding, because semantic spacing is usually normal-sized</w:t>
      </w:r>
    </w:p>
    <w:p w14:paraId="50CEC0FE" w14:textId="58E475A6">
      <w:pPr>
        <w:pStyle w:val="Lista2"/>
      </w:pPr>
      <w:r>
        <w:t>however, for conspicuously large semantic spaces (exceeding two average character widths),</w:t>
      </w:r>
      <w:r>
        <w:rPr>
          <w:noProof/>
        </w:rPr>
        <w:t xml:space="preserve"> </w:t>
      </w:r>
      <w:r>
        <w:t>size must be encoded as per §</w:t>
      </w:r>
      <w:r>
        <w:fldChar w:fldCharType="begin"/>
      </w:r>
      <w:r>
        <w:instrText xml:space="preserve"> REF _Ref183008428 \r \h </w:instrText>
      </w:r>
      <w:r>
        <w:fldChar w:fldCharType="separate"/>
      </w:r>
      <w:r>
        <w:t>5.4.2.4</w:t>
      </w:r>
      <w:r>
        <w:fldChar w:fldCharType="end"/>
      </w:r>
    </w:p>
    <w:p w14:paraId="26CEA28C" w14:textId="77777777">
      <w:pPr>
        <w:pStyle w:val="Cmsor4"/>
      </w:pPr>
      <w:bookmarkStart w:id="458" w:name="_Ref227833891"/>
      <w:bookmarkStart w:id="459" w:name="_Ref183008079"/>
      <w:bookmarkStart w:id="460" w:name="_Ref183006525"/>
      <w:r>
        <w:t>When is interword spacing significant?</w:t>
      </w:r>
      <w:bookmarkEnd w:id="458"/>
    </w:p>
    <w:p w14:paraId="603E9944" w14:textId="77777777">
      <w:pPr>
        <w:pStyle w:val="Lista"/>
      </w:pPr>
      <w:r>
        <w:t>spaces smaller than the width of one average character may be ignored at your discretion</w:t>
      </w:r>
    </w:p>
    <w:p w14:paraId="5C8ABFAF" w14:textId="77777777">
      <w:pPr>
        <w:pStyle w:val="Lista"/>
      </w:pPr>
      <w:r>
        <w:t xml:space="preserve">it is generally </w:t>
      </w:r>
      <w:r>
        <w:rPr>
          <w:b/>
          <w:bCs/>
        </w:rPr>
        <w:t>preferable not to encode semantic spaces</w:t>
      </w:r>
      <w:r>
        <w:t xml:space="preserve"> in the following cases:</w:t>
      </w:r>
    </w:p>
    <w:p w14:paraId="51E891B0" w14:textId="77777777">
      <w:pPr>
        <w:pStyle w:val="Lista2"/>
      </w:pPr>
      <w:r>
        <w:t>when small spaces appear without an obvious semantic function, such as</w:t>
      </w:r>
    </w:p>
    <w:p w14:paraId="6229E31A" w14:textId="77777777">
      <w:pPr>
        <w:pStyle w:val="Lista3"/>
      </w:pPr>
      <w:r>
        <w:t>space between adjacent glyphs within a word</w:t>
      </w:r>
    </w:p>
    <w:p w14:paraId="7BFA584C" w14:textId="77777777">
      <w:pPr>
        <w:pStyle w:val="Lista3"/>
      </w:pPr>
      <w:r>
        <w:t>interword spaces that are no larger than spaces occurring between glyphs within a word</w:t>
      </w:r>
    </w:p>
    <w:p w14:paraId="4E1A657A" w14:textId="52184CA1">
      <w:pPr>
        <w:pStyle w:val="Lista3"/>
      </w:pPr>
      <w:r>
        <w:t>however, segments written in conspicuously widely spaced glyphs may be marked up as per §</w:t>
      </w:r>
      <w:r>
        <w:fldChar w:fldCharType="begin"/>
      </w:r>
      <w:r>
        <w:instrText xml:space="preserve"> REF _Ref43987586 \w \h  \* MERGEFORMAT </w:instrText>
      </w:r>
      <w:r>
        <w:fldChar w:fldCharType="separate"/>
      </w:r>
      <w:r>
        <w:t>8.3</w:t>
      </w:r>
      <w:r>
        <w:fldChar w:fldCharType="end"/>
      </w:r>
    </w:p>
    <w:p w14:paraId="65B3DB8D" w14:textId="77777777">
      <w:pPr>
        <w:pStyle w:val="Lista2"/>
      </w:pPr>
      <w:r>
        <w:t>when small spaces appear between phonographic and other graphemes, such as</w:t>
      </w:r>
    </w:p>
    <w:p w14:paraId="3FFA8F15" w14:textId="77777777">
      <w:pPr>
        <w:pStyle w:val="Lista3"/>
      </w:pPr>
      <w:r>
        <w:t>before and/or after numeral signs</w:t>
      </w:r>
    </w:p>
    <w:p w14:paraId="0A4FF0D3" w14:textId="77777777">
      <w:pPr>
        <w:pStyle w:val="Lista3"/>
      </w:pPr>
      <w:r>
        <w:t>before and/or after punctuation marks and other symbols</w:t>
      </w:r>
    </w:p>
    <w:p w14:paraId="37D67A1D" w14:textId="77777777">
      <w:pPr>
        <w:pStyle w:val="Lista2"/>
      </w:pPr>
      <w:r>
        <w:t>when interword spaces appear consistently throughout an inscription</w:t>
      </w:r>
    </w:p>
    <w:p w14:paraId="3A176B80" w14:textId="77777777">
      <w:pPr>
        <w:pStyle w:val="Lista3"/>
      </w:pPr>
      <w:r>
        <w:t xml:space="preserve">this feature of an inscription (i.e. the fact that it does not use </w:t>
      </w:r>
      <w:r>
        <w:rPr>
          <w:rStyle w:val="Foreign"/>
        </w:rPr>
        <w:t>scriptio continua</w:t>
      </w:r>
      <w:r>
        <w:t>) may be mentioned in the metadata or commentary rather than being encoded at every instance</w:t>
      </w:r>
    </w:p>
    <w:p w14:paraId="2F83D37C" w14:textId="77777777">
      <w:pPr>
        <w:pStyle w:val="Lista2"/>
      </w:pPr>
      <w:r>
        <w:t xml:space="preserve">it is generally </w:t>
      </w:r>
      <w:r>
        <w:rPr>
          <w:b/>
          <w:bCs/>
        </w:rPr>
        <w:t>preferable to encode semantic spaces</w:t>
      </w:r>
      <w:r>
        <w:t xml:space="preserve"> in the following cases, even if they are smaller than one typical character width:</w:t>
      </w:r>
    </w:p>
    <w:p w14:paraId="6F55088C" w14:textId="77777777">
      <w:pPr>
        <w:pStyle w:val="Lista3"/>
      </w:pPr>
      <w:r>
        <w:t>when interword spaces are used inconsistently in an inscription</w:t>
      </w:r>
    </w:p>
    <w:p w14:paraId="2C35CE29" w14:textId="77777777">
      <w:pPr>
        <w:pStyle w:val="Lista3"/>
      </w:pPr>
      <w:r>
        <w:t>when a particular space appears in lieu of punctuation at the end of a semantic unit (e.g. stanza, verse line or a topic in prose)</w:t>
      </w:r>
    </w:p>
    <w:p w14:paraId="2732B291" w14:textId="77777777">
      <w:pPr>
        <w:pStyle w:val="Cmsor4"/>
      </w:pPr>
      <w:bookmarkStart w:id="461" w:name="_Ref227833892"/>
      <w:r>
        <w:t>Spacing on a metrical basis</w:t>
      </w:r>
      <w:bookmarkEnd w:id="461"/>
    </w:p>
    <w:p w14:paraId="5EF93CF1" w14:textId="50240881">
      <w:r>
        <w:t xml:space="preserve">The boundaries of metrical units (stanzas, verse lines, cola) are sometimes indicated in inscriptions with spaces, regardless of whether they coincide with a semantic boundary or not. Metrically based spaces, for instance between stanza quarters, may appear consistently one below the other, in effect dividing the text into two or more quasi-columns. In this special case, illustrated in </w:t>
      </w:r>
      <w:r>
        <w:fldChar w:fldCharType="begin"/>
      </w:r>
      <w:r>
        <w:instrText xml:space="preserve"> REF _Ref44078509 \h </w:instrText>
      </w:r>
      <w:r>
        <w:fldChar w:fldCharType="separate"/>
      </w:r>
      <w:r>
        <w:t xml:space="preserve">Exhibit </w:t>
      </w:r>
      <w:r>
        <w:rPr>
          <w:noProof/>
        </w:rPr>
        <w:t>4.7</w:t>
      </w:r>
      <w:r>
        <w:t>.</w:t>
      </w:r>
      <w:r>
        <w:rPr>
          <w:noProof/>
        </w:rPr>
        <w:t>Q</w:t>
      </w:r>
      <w:r>
        <w:fldChar w:fldCharType="end"/>
      </w:r>
      <w:r>
        <w:t>, you can choose at your discretion to encode gridlike partitions for the quasi-columns as per §</w:t>
      </w:r>
      <w:r>
        <w:fldChar w:fldCharType="begin"/>
      </w:r>
      <w:r>
        <w:instrText xml:space="preserve"> REF _Ref43984651 \r \h </w:instrText>
      </w:r>
      <w:r>
        <w:fldChar w:fldCharType="separate"/>
      </w:r>
      <w:r>
        <w:t>4.6</w:t>
      </w:r>
      <w:r>
        <w:fldChar w:fldCharType="end"/>
      </w:r>
      <w:r>
        <w:t xml:space="preserve">, or simply to encode each space in its place. Both encodings are shown in </w:t>
      </w:r>
      <w:r>
        <w:fldChar w:fldCharType="begin"/>
      </w:r>
      <w:r>
        <w:instrText xml:space="preserve"> REF _Ref44078509 \h </w:instrText>
      </w:r>
      <w:r>
        <w:fldChar w:fldCharType="separate"/>
      </w:r>
      <w:r>
        <w:t xml:space="preserve">Exhibit </w:t>
      </w:r>
      <w:r>
        <w:rPr>
          <w:noProof/>
        </w:rPr>
        <w:t>4.7</w:t>
      </w:r>
      <w:r>
        <w:t>.</w:t>
      </w:r>
      <w:r>
        <w:rPr>
          <w:noProof/>
        </w:rPr>
        <w:t>Q</w:t>
      </w:r>
      <w:r>
        <w:fldChar w:fldCharType="end"/>
      </w:r>
      <w:r>
        <w:t>.</w:t>
      </w:r>
    </w:p>
    <w:p w14:paraId="1AA3C258" w14:textId="27183D0C">
      <w:pPr>
        <w:pStyle w:val="Normlbehzs"/>
      </w:pPr>
      <w:r>
        <w:t xml:space="preserve">In other cases, typically when the inscribed lines do not coincide with metrical units, the spacing of metrical units does not give rise a layout feature. Instead, the metrical spaces will be staggered line after line as illustrated in </w:t>
      </w:r>
      <w:r>
        <w:fldChar w:fldCharType="begin"/>
      </w:r>
      <w:r>
        <w:instrText xml:space="preserve"> REF _Ref182995673 \h </w:instrText>
      </w:r>
      <w:r>
        <w:fldChar w:fldCharType="separate"/>
      </w:r>
      <w:r>
        <w:t xml:space="preserve">Exhibit </w:t>
      </w:r>
      <w:r>
        <w:rPr>
          <w:noProof/>
        </w:rPr>
        <w:t>5.4</w:t>
      </w:r>
      <w:r>
        <w:t>.</w:t>
      </w:r>
      <w:r>
        <w:rPr>
          <w:noProof/>
        </w:rPr>
        <w:t>A</w:t>
      </w:r>
      <w:r>
        <w:fldChar w:fldCharType="end"/>
      </w:r>
      <w:r>
        <w:t xml:space="preserve">, rather than lining up vertically. In this case, the metrical spaces can only be encoded as </w:t>
      </w:r>
      <w:r>
        <w:rPr>
          <w:rStyle w:val="Code"/>
        </w:rPr>
        <w:t>&lt;space/&gt;</w:t>
      </w:r>
      <w:r>
        <w:t xml:space="preserve"> elements; or, when they coincide with the boundaries of encoded containers (as the ends of verse lines in </w:t>
      </w:r>
      <w:r>
        <w:fldChar w:fldCharType="begin"/>
      </w:r>
      <w:r>
        <w:instrText xml:space="preserve"> REF _Ref182995673 \h </w:instrText>
      </w:r>
      <w:r>
        <w:fldChar w:fldCharType="separate"/>
      </w:r>
      <w:r>
        <w:t xml:space="preserve">Exhibit </w:t>
      </w:r>
      <w:r>
        <w:rPr>
          <w:noProof/>
        </w:rPr>
        <w:t>5.4</w:t>
      </w:r>
      <w:r>
        <w:t>.</w:t>
      </w:r>
      <w:r>
        <w:rPr>
          <w:noProof/>
        </w:rPr>
        <w:t>A</w:t>
      </w:r>
      <w:r>
        <w:fldChar w:fldCharType="end"/>
      </w:r>
      <w:r>
        <w:t>), they may be left unencoded at your discretion.</w:t>
      </w:r>
    </w:p>
    <w:tbl>
      <w:tblPr>
        <w:tblStyle w:val="CodeSampleTable"/>
        <w:tblW w:w="5000" w:type="pct"/>
        <w:tblLook w:val="04A0" w:firstRow="1" w:lastRow="0" w:firstColumn="1" w:lastColumn="0" w:noHBand="0" w:noVBand="1"/>
      </w:tblPr>
      <w:tblGrid>
        <w:gridCol w:w="9628"/>
      </w:tblGrid>
      <w:tr w14:paraId="5B6BFFE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76366D0" w14:textId="04453A9A">
            <w:pPr>
              <w:pStyle w:val="Kpalrs"/>
            </w:pPr>
            <w:bookmarkStart w:id="462" w:name="_Ref182995673"/>
            <w:r>
              <w:t xml:space="preserve">Exhibit </w:t>
            </w:r>
            <w:fldSimple w:instr=" STYLEREF 2 \s ">
              <w:r>
                <w:rPr>
                  <w:noProof/>
                </w:rPr>
                <w:t>5.4</w:t>
              </w:r>
            </w:fldSimple>
            <w:r>
              <w:t>.</w:t>
            </w:r>
            <w:fldSimple w:instr=" SEQ Exhibit \* ALPHABETIC \s 2 ">
              <w:r>
                <w:rPr>
                  <w:noProof/>
                </w:rPr>
                <w:t>A</w:t>
              </w:r>
            </w:fldSimple>
            <w:bookmarkEnd w:id="462"/>
            <w:r>
              <w:t>: spacing between prosodic units</w:t>
            </w:r>
          </w:p>
        </w:tc>
      </w:tr>
      <w:tr w14:paraId="6558482C" w14:textId="77777777">
        <w:tc>
          <w:tcPr>
            <w:tcW w:w="5000" w:type="pct"/>
          </w:tcPr>
          <w:p w14:paraId="5945C9B7" w14:textId="77777777">
            <w:pPr>
              <w:pStyle w:val="Image"/>
            </w:pPr>
            <w:r>
              <w:drawing>
                <wp:inline distT="0" distB="0" distL="0" distR="0" wp14:anchorId="16AD013A" wp14:editId="0614C599">
                  <wp:extent cx="5397500" cy="1515110"/>
                  <wp:effectExtent l="0" t="0" r="0" b="8890"/>
                  <wp:docPr id="39" name="Kép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97500" cy="1515110"/>
                          </a:xfrm>
                          <a:prstGeom prst="rect">
                            <a:avLst/>
                          </a:prstGeom>
                          <a:noFill/>
                          <a:ln>
                            <a:noFill/>
                          </a:ln>
                        </pic:spPr>
                      </pic:pic>
                    </a:graphicData>
                  </a:graphic>
                </wp:inline>
              </w:drawing>
            </w:r>
          </w:p>
        </w:tc>
      </w:tr>
      <w:tr w14:paraId="10947526" w14:textId="77777777">
        <w:tc>
          <w:tcPr>
            <w:tcW w:w="5000" w:type="pct"/>
          </w:tcPr>
          <w:p w14:paraId="06D59FE5" w14:textId="77777777">
            <w:pPr>
              <w:pStyle w:val="TableNote"/>
            </w:pPr>
            <w:r>
              <w:t>in this inscription, spaces have been left blank in the text at caesuras and line ends</w:t>
            </w:r>
          </w:p>
          <w:p w14:paraId="4C63DAD9" w14:textId="66B0E0C6">
            <w:pPr>
              <w:pStyle w:val="TableNote"/>
            </w:pPr>
            <w:r>
              <w:t xml:space="preserve">however, the spaces do not line up one below the other (as they do in </w:t>
            </w:r>
            <w:r>
              <w:fldChar w:fldCharType="begin"/>
            </w:r>
            <w:r>
              <w:instrText xml:space="preserve"> REF _Ref44078509 \h  \* MERGEFORMAT </w:instrText>
            </w:r>
            <w:r>
              <w:fldChar w:fldCharType="separate"/>
            </w:r>
            <w:r>
              <w:t>Exhibit 4.7.Q</w:t>
            </w:r>
            <w:r>
              <w:fldChar w:fldCharType="end"/>
            </w:r>
            <w:r>
              <w:t>)</w:t>
            </w:r>
          </w:p>
          <w:p w14:paraId="2DCF9BB0" w14:textId="77777777">
            <w:pPr>
              <w:pStyle w:val="TableNote"/>
            </w:pPr>
            <w:r>
              <w:t>therefore, they are to be encoded as semantic spaces (if at all), not as gridlike milestones</w:t>
            </w:r>
          </w:p>
        </w:tc>
      </w:tr>
      <w:tr w14:paraId="16D77CC5" w14:textId="77777777">
        <w:tc>
          <w:tcPr>
            <w:tcW w:w="5000" w:type="pct"/>
          </w:tcPr>
          <w:p w14:paraId="2A5EEDDA" w14:textId="77777777">
            <w:pPr>
              <w:pStyle w:val="CodeParagraph"/>
              <w:rPr>
                <w:rStyle w:val="Code"/>
                <w:color w:val="000000" w:themeColor="text1"/>
              </w:rPr>
            </w:pPr>
            <w:r>
              <w:rPr>
                <w:rStyle w:val="Code"/>
              </w:rPr>
              <w:lastRenderedPageBreak/>
              <w:t xml:space="preserve">&lt;lg </w:t>
            </w:r>
            <w:r>
              <w:rPr>
                <w:rStyle w:val="Codeattribute"/>
              </w:rPr>
              <w:t>n</w:t>
            </w:r>
            <w:r>
              <w:rPr>
                <w:rStyle w:val="Code"/>
              </w:rPr>
              <w:t>=</w:t>
            </w:r>
            <w:r>
              <w:rPr>
                <w:rStyle w:val="Codevalue"/>
              </w:rPr>
              <w:t>"1"</w:t>
            </w:r>
            <w:r>
              <w:rPr>
                <w:rStyle w:val="Code"/>
              </w:rPr>
              <w:t>&gt;</w:t>
            </w:r>
            <w:r>
              <w:rPr>
                <w:rStyle w:val="Codetext"/>
              </w:rPr>
              <w:br/>
              <w:t xml:space="preserve">  </w:t>
            </w:r>
            <w:r>
              <w:rPr>
                <w:rStyle w:val="Code"/>
              </w:rPr>
              <w:t>&lt;l</w:t>
            </w:r>
            <w:r>
              <w:rPr>
                <w:rStyle w:val="Codeattribute"/>
              </w:rPr>
              <w:t xml:space="preserve"> n</w:t>
            </w:r>
            <w:r>
              <w:rPr>
                <w:rStyle w:val="Code"/>
              </w:rPr>
              <w:t>=</w:t>
            </w:r>
            <w:r>
              <w:rPr>
                <w:rStyle w:val="Codevalue"/>
              </w:rPr>
              <w:t>"a"</w:t>
            </w:r>
            <w:r>
              <w:rPr>
                <w:rStyle w:val="Code"/>
              </w:rPr>
              <w:t xml:space="preserve">&gt;&lt;lb </w:t>
            </w:r>
            <w:r>
              <w:rPr>
                <w:rStyle w:val="Codeattribute"/>
              </w:rPr>
              <w:t>n</w:t>
            </w:r>
            <w:r>
              <w:rPr>
                <w:rStyle w:val="Code"/>
              </w:rPr>
              <w:t>=</w:t>
            </w:r>
            <w:r>
              <w:rPr>
                <w:rStyle w:val="Codevalue"/>
              </w:rPr>
              <w:t>"1"</w:t>
            </w:r>
            <w:r>
              <w:rPr>
                <w:rStyle w:val="Code"/>
              </w:rPr>
              <w:t>/&gt;</w:t>
            </w:r>
            <w:r>
              <w:t xml:space="preserve"> </w:t>
            </w:r>
            <w:r>
              <w:rPr>
                <w:rStyle w:val="Codetext"/>
              </w:rPr>
              <w:t xml:space="preserve">Chip the glasses and </w:t>
            </w:r>
            <w:r>
              <w:rPr>
                <w:rStyle w:val="Code"/>
              </w:rPr>
              <w:t>&lt;space/&gt;</w:t>
            </w:r>
            <w:r>
              <w:rPr>
                <w:rStyle w:val="Codetext"/>
              </w:rPr>
              <w:t>crack the plates!</w:t>
            </w:r>
            <w:r>
              <w:rPr>
                <w:rStyle w:val="Code"/>
              </w:rPr>
              <w:t>&lt;space/&gt;&lt;/l&gt;</w:t>
            </w:r>
            <w:r>
              <w:rPr>
                <w:rStyle w:val="Codetext"/>
              </w:rPr>
              <w:br/>
              <w:t xml:space="preserve">  </w:t>
            </w:r>
            <w:r>
              <w:rPr>
                <w:rStyle w:val="Code"/>
              </w:rPr>
              <w:t>&lt;l</w:t>
            </w:r>
            <w:r>
              <w:rPr>
                <w:rStyle w:val="Codeattribute"/>
              </w:rPr>
              <w:t xml:space="preserve"> n</w:t>
            </w:r>
            <w:r>
              <w:rPr>
                <w:rStyle w:val="Code"/>
              </w:rPr>
              <w:t>=</w:t>
            </w:r>
            <w:r>
              <w:rPr>
                <w:rStyle w:val="Codevalue"/>
              </w:rPr>
              <w:t>"b"</w:t>
            </w:r>
            <w:r>
              <w:rPr>
                <w:rStyle w:val="Code"/>
              </w:rPr>
              <w:t>&gt;</w:t>
            </w:r>
            <w:r>
              <w:rPr>
                <w:rStyle w:val="Codetext"/>
              </w:rPr>
              <w:t xml:space="preserve">Blunt </w:t>
            </w:r>
            <w:r>
              <w:rPr>
                <w:rStyle w:val="Code"/>
              </w:rPr>
              <w:t xml:space="preserve">&lt;lb </w:t>
            </w:r>
            <w:r>
              <w:rPr>
                <w:rStyle w:val="Codeattribute"/>
              </w:rPr>
              <w:t>n</w:t>
            </w:r>
            <w:r>
              <w:rPr>
                <w:rStyle w:val="Code"/>
              </w:rPr>
              <w:t>=</w:t>
            </w:r>
            <w:r>
              <w:rPr>
                <w:rStyle w:val="Codevalue"/>
              </w:rPr>
              <w:t>"2"</w:t>
            </w:r>
            <w:r>
              <w:rPr>
                <w:rStyle w:val="Code"/>
              </w:rPr>
              <w:t>/&gt;</w:t>
            </w:r>
            <w:r>
              <w:rPr>
                <w:rStyle w:val="Codetext"/>
              </w:rPr>
              <w:t xml:space="preserve">the knives and </w:t>
            </w:r>
            <w:r>
              <w:rPr>
                <w:rStyle w:val="Code"/>
              </w:rPr>
              <w:t>&lt;space/&gt;</w:t>
            </w:r>
            <w:r>
              <w:rPr>
                <w:rStyle w:val="Codetext"/>
              </w:rPr>
              <w:t>bend the forks!</w:t>
            </w:r>
            <w:r>
              <w:rPr>
                <w:rStyle w:val="Code"/>
              </w:rPr>
              <w:t>&lt;space/&gt;&lt;/l&gt;</w:t>
            </w:r>
            <w:r>
              <w:rPr>
                <w:rStyle w:val="Codetext"/>
              </w:rPr>
              <w:br/>
              <w:t xml:space="preserve">  </w:t>
            </w:r>
            <w:r>
              <w:rPr>
                <w:rStyle w:val="Code"/>
              </w:rPr>
              <w:t>&lt;l</w:t>
            </w:r>
            <w:r>
              <w:rPr>
                <w:rStyle w:val="Codeattribute"/>
              </w:rPr>
              <w:t xml:space="preserve"> n</w:t>
            </w:r>
            <w:r>
              <w:rPr>
                <w:rStyle w:val="Code"/>
              </w:rPr>
              <w:t>=</w:t>
            </w:r>
            <w:r>
              <w:rPr>
                <w:rStyle w:val="Codevalue"/>
              </w:rPr>
              <w:t>"c"</w:t>
            </w:r>
            <w:r>
              <w:rPr>
                <w:rStyle w:val="Code"/>
              </w:rPr>
              <w:t>&gt;</w:t>
            </w:r>
            <w:r>
              <w:rPr>
                <w:rStyle w:val="Codetext"/>
              </w:rPr>
              <w:t xml:space="preserve">That’s what </w:t>
            </w:r>
            <w:r>
              <w:rPr>
                <w:rStyle w:val="Code"/>
              </w:rPr>
              <w:t xml:space="preserve">&lt;lb </w:t>
            </w:r>
            <w:r>
              <w:rPr>
                <w:rStyle w:val="Codeattribute"/>
              </w:rPr>
              <w:t>n</w:t>
            </w:r>
            <w:r>
              <w:rPr>
                <w:rStyle w:val="Code"/>
              </w:rPr>
              <w:t>=</w:t>
            </w:r>
            <w:r>
              <w:rPr>
                <w:rStyle w:val="Codevalue"/>
              </w:rPr>
              <w:t>"3"</w:t>
            </w:r>
            <w:r>
              <w:rPr>
                <w:rStyle w:val="Code"/>
              </w:rPr>
              <w:t>/&gt;</w:t>
            </w:r>
            <w:r>
              <w:rPr>
                <w:rStyle w:val="Codetext"/>
              </w:rPr>
              <w:t xml:space="preserve">Bilbo </w:t>
            </w:r>
            <w:r>
              <w:rPr>
                <w:rStyle w:val="Code"/>
              </w:rPr>
              <w:t>&lt;space/&gt;</w:t>
            </w:r>
            <w:r>
              <w:rPr>
                <w:rStyle w:val="Codetext"/>
              </w:rPr>
              <w:t xml:space="preserve"> Baggins hates—</w:t>
            </w:r>
            <w:r>
              <w:rPr>
                <w:rStyle w:val="Code"/>
              </w:rPr>
              <w:t>&lt;space/&gt;&lt;/l&gt;</w:t>
            </w:r>
            <w:r>
              <w:rPr>
                <w:rStyle w:val="Codetext"/>
              </w:rPr>
              <w:br/>
              <w:t xml:space="preserve">  </w:t>
            </w:r>
            <w:r>
              <w:rPr>
                <w:rStyle w:val="Code"/>
              </w:rPr>
              <w:t>&lt;l</w:t>
            </w:r>
            <w:r>
              <w:rPr>
                <w:rStyle w:val="Codeattribute"/>
              </w:rPr>
              <w:t xml:space="preserve"> n</w:t>
            </w:r>
            <w:r>
              <w:rPr>
                <w:rStyle w:val="Code"/>
              </w:rPr>
              <w:t>=</w:t>
            </w:r>
            <w:r>
              <w:rPr>
                <w:rStyle w:val="Codevalue"/>
              </w:rPr>
              <w:t>"d"</w:t>
            </w:r>
            <w:r>
              <w:rPr>
                <w:rStyle w:val="Code"/>
              </w:rPr>
              <w:t>&gt;</w:t>
            </w:r>
            <w:r>
              <w:rPr>
                <w:rStyle w:val="Codetext"/>
              </w:rPr>
              <w:t xml:space="preserve">Smash the bottles and </w:t>
            </w:r>
            <w:r>
              <w:rPr>
                <w:rStyle w:val="Code"/>
              </w:rPr>
              <w:t xml:space="preserve">&lt;lb </w:t>
            </w:r>
            <w:r>
              <w:rPr>
                <w:rStyle w:val="Codeattribute"/>
              </w:rPr>
              <w:t>n</w:t>
            </w:r>
            <w:r>
              <w:rPr>
                <w:rStyle w:val="Code"/>
              </w:rPr>
              <w:t>=</w:t>
            </w:r>
            <w:r>
              <w:rPr>
                <w:rStyle w:val="Codevalue"/>
              </w:rPr>
              <w:t>"4"</w:t>
            </w:r>
            <w:r>
              <w:rPr>
                <w:rStyle w:val="Code"/>
              </w:rPr>
              <w:t>/&gt;</w:t>
            </w:r>
            <w:r>
              <w:rPr>
                <w:rStyle w:val="Codetext"/>
              </w:rPr>
              <w:t>burn the corks!</w:t>
            </w:r>
            <w:r>
              <w:rPr>
                <w:rStyle w:val="Code"/>
              </w:rPr>
              <w:t>&lt;/l&gt;</w:t>
            </w:r>
            <w:r>
              <w:rPr>
                <w:rStyle w:val="Codetext"/>
              </w:rPr>
              <w:br/>
            </w:r>
            <w:r>
              <w:rPr>
                <w:rStyle w:val="Code"/>
              </w:rPr>
              <w:t>&lt;/lg&gt;</w:t>
            </w:r>
          </w:p>
        </w:tc>
      </w:tr>
    </w:tbl>
    <w:p w14:paraId="48639F7C" w14:textId="77777777">
      <w:pPr>
        <w:pStyle w:val="Cmsor3"/>
      </w:pPr>
      <w:bookmarkStart w:id="463" w:name="_Ref227833893"/>
      <w:bookmarkStart w:id="464" w:name="_Toc243922656"/>
      <w:r>
        <w:t>Other kinds of space</w:t>
      </w:r>
      <w:bookmarkEnd w:id="459"/>
      <w:bookmarkEnd w:id="463"/>
      <w:bookmarkEnd w:id="464"/>
    </w:p>
    <w:p w14:paraId="30EA3FC0" w14:textId="213E355C">
      <w:pPr>
        <w:rPr>
          <w:lang w:eastAsia="en-US" w:bidi="ar-SA"/>
        </w:rPr>
      </w:pPr>
      <w:r>
        <w:rPr>
          <w:lang w:eastAsia="en-US" w:bidi="ar-SA"/>
        </w:rPr>
        <w:t>Spaces left blank in the original document may be considered significant even when they do not serve to indicate semantic or metrical boundaries. This subsection describes the encoding of other kinds of significant space, and discusses the use of space for layout (§</w:t>
      </w:r>
      <w:r>
        <w:rPr>
          <w:lang w:eastAsia="en-US" w:bidi="ar-SA"/>
        </w:rPr>
        <w:fldChar w:fldCharType="begin"/>
      </w:r>
      <w:r>
        <w:rPr>
          <w:lang w:eastAsia="en-US" w:bidi="ar-SA"/>
        </w:rPr>
        <w:instrText xml:space="preserve"> REF _Ref227835279 \r \h </w:instrText>
      </w:r>
      <w:r>
        <w:rPr>
          <w:lang w:eastAsia="en-US" w:bidi="ar-SA"/>
        </w:rPr>
      </w:r>
      <w:r>
        <w:rPr>
          <w:lang w:eastAsia="en-US" w:bidi="ar-SA"/>
        </w:rPr>
        <w:fldChar w:fldCharType="separate"/>
      </w:r>
      <w:r>
        <w:rPr>
          <w:lang w:eastAsia="en-US" w:bidi="ar-SA"/>
        </w:rPr>
        <w:t>5.4.2.4</w:t>
      </w:r>
      <w:r>
        <w:rPr>
          <w:lang w:eastAsia="en-US" w:bidi="ar-SA"/>
        </w:rPr>
        <w:fldChar w:fldCharType="end"/>
      </w:r>
      <w:r>
        <w:rPr>
          <w:lang w:eastAsia="en-US" w:bidi="ar-SA"/>
        </w:rPr>
        <w:t>), which is not to be encoded as space.</w:t>
      </w:r>
    </w:p>
    <w:p w14:paraId="259C6B37" w14:textId="77777777">
      <w:pPr>
        <w:pStyle w:val="Cmsor4"/>
      </w:pPr>
      <w:bookmarkStart w:id="465" w:name="_ezodp8p1jvoq" w:colFirst="0" w:colLast="0"/>
      <w:bookmarkStart w:id="466" w:name="_Ref43987728"/>
      <w:bookmarkStart w:id="467" w:name="_Ref156807687"/>
      <w:bookmarkStart w:id="468" w:name="_Ref156807827"/>
      <w:bookmarkStart w:id="469" w:name="_Ref227847574"/>
      <w:bookmarkEnd w:id="455"/>
      <w:bookmarkEnd w:id="456"/>
      <w:bookmarkEnd w:id="460"/>
      <w:bookmarkEnd w:id="465"/>
      <w:r>
        <w:t xml:space="preserve">Space left blank </w:t>
      </w:r>
      <w:bookmarkEnd w:id="466"/>
      <w:r>
        <w:t xml:space="preserve">for </w:t>
      </w:r>
      <w:bookmarkEnd w:id="467"/>
      <w:bookmarkEnd w:id="468"/>
      <w:r>
        <w:t>missing content</w:t>
      </w:r>
      <w:bookmarkEnd w:id="469"/>
    </w:p>
    <w:p w14:paraId="7CC9D4E0" w14:textId="77777777">
      <w:r>
        <w:t xml:space="preserve">This subsection is about areas that were deliberately left blank when the rest of the inscription was engraved, because the content to be written was not available to the engraver. This usually happens either because certain particulars, such as a name or a date, were to be added later, or because the engraver was unable to interpret a glyph in the archetype he was working from. Such spaces are called </w:t>
      </w:r>
      <w:r>
        <w:rPr>
          <w:rStyle w:val="Foreign"/>
        </w:rPr>
        <w:t>vacat</w:t>
      </w:r>
      <w:r>
        <w:t xml:space="preserve"> in the western scholarly tradition.</w:t>
      </w:r>
    </w:p>
    <w:p w14:paraId="65F8828B" w14:textId="77777777">
      <w:pPr>
        <w:pStyle w:val="Lista"/>
      </w:pPr>
      <w:r>
        <w:t xml:space="preserve">to encode spaces left blank for missing content, use </w:t>
      </w:r>
      <w:r>
        <w:rPr>
          <w:rStyle w:val="Code"/>
        </w:rPr>
        <w:t>&lt;space/&gt;</w:t>
      </w:r>
      <w:r>
        <w:t xml:space="preserve">  with </w:t>
      </w:r>
      <w:r>
        <w:rPr>
          <w:rStyle w:val="Codeattribute"/>
        </w:rPr>
        <w:t>@type=</w:t>
      </w:r>
      <w:r>
        <w:rPr>
          <w:rStyle w:val="Codevalue"/>
        </w:rPr>
        <w:t>"vacat"</w:t>
      </w:r>
      <w:r>
        <w:t xml:space="preserve"> </w:t>
      </w:r>
    </w:p>
    <w:p w14:paraId="09B5015D" w14:textId="75EF5E0C">
      <w:pPr>
        <w:pStyle w:val="Lista2"/>
      </w:pPr>
      <w:r>
        <w:t>encoding the size of such spaces (§</w:t>
      </w:r>
      <w:r>
        <w:fldChar w:fldCharType="begin"/>
      </w:r>
      <w:r>
        <w:instrText xml:space="preserve"> REF _Ref183008428 \r \h </w:instrText>
      </w:r>
      <w:r>
        <w:fldChar w:fldCharType="separate"/>
      </w:r>
      <w:r>
        <w:t>5.4.2.4</w:t>
      </w:r>
      <w:r>
        <w:fldChar w:fldCharType="end"/>
      </w:r>
      <w:r>
        <w:t>) is recommended even if they are normal-sized</w:t>
      </w:r>
    </w:p>
    <w:p w14:paraId="000211B9" w14:textId="77777777">
      <w:pPr>
        <w:pStyle w:val="Lista2"/>
      </w:pPr>
      <w:r>
        <w:t xml:space="preserve">e.g. </w:t>
      </w:r>
      <w:r>
        <w:rPr>
          <w:rStyle w:val="Code"/>
        </w:rPr>
        <w:t xml:space="preserve">&lt;space </w:t>
      </w:r>
      <w:r>
        <w:rPr>
          <w:rStyle w:val="Codeattribute"/>
        </w:rPr>
        <w:t>type</w:t>
      </w:r>
      <w:r>
        <w:rPr>
          <w:rStyle w:val="Code"/>
        </w:rPr>
        <w:t>=</w:t>
      </w:r>
      <w:r>
        <w:rPr>
          <w:rStyle w:val="Codevalue"/>
        </w:rPr>
        <w:t>"vacat"</w:t>
      </w:r>
      <w:r>
        <w:rPr>
          <w:rStyle w:val="Code"/>
        </w:rPr>
        <w:t xml:space="preserve"> </w:t>
      </w:r>
      <w:r>
        <w:rPr>
          <w:rStyle w:val="Codeattribute"/>
        </w:rPr>
        <w:t>quantity</w:t>
      </w:r>
      <w:r>
        <w:rPr>
          <w:rStyle w:val="Code"/>
        </w:rPr>
        <w:t>=</w:t>
      </w:r>
      <w:r>
        <w:rPr>
          <w:rStyle w:val="Codevalue"/>
        </w:rPr>
        <w:t>"3"</w:t>
      </w:r>
      <w:r>
        <w:rPr>
          <w:rStyle w:val="Code"/>
        </w:rPr>
        <w:t xml:space="preserve"> </w:t>
      </w:r>
      <w:r>
        <w:rPr>
          <w:rStyle w:val="Codeattribute"/>
        </w:rPr>
        <w:t>unit</w:t>
      </w:r>
      <w:r>
        <w:rPr>
          <w:rStyle w:val="Code"/>
        </w:rPr>
        <w:t>=</w:t>
      </w:r>
      <w:r>
        <w:rPr>
          <w:rStyle w:val="Codevalue"/>
        </w:rPr>
        <w:t>"character"</w:t>
      </w:r>
      <w:r>
        <w:rPr>
          <w:rStyle w:val="Code"/>
        </w:rPr>
        <w:t>/&gt;</w:t>
      </w:r>
    </w:p>
    <w:tbl>
      <w:tblPr>
        <w:tblStyle w:val="FigureTable"/>
        <w:tblpPr w:leftFromText="180" w:rightFromText="180" w:vertAnchor="text" w:tblpXSpec="right" w:tblpY="1"/>
        <w:tblW w:w="0" w:type="auto"/>
        <w:tblLook w:val="04A0" w:firstRow="1" w:lastRow="0" w:firstColumn="1" w:lastColumn="0" w:noHBand="0" w:noVBand="1"/>
      </w:tblPr>
      <w:tblGrid>
        <w:gridCol w:w="4246"/>
      </w:tblGrid>
      <w:tr w14:paraId="30AB9902" w14:textId="77777777">
        <w:trPr>
          <w:cnfStyle w:val="100000000000" w:firstRow="1" w:lastRow="0" w:firstColumn="0" w:lastColumn="0" w:oddVBand="0" w:evenVBand="0" w:oddHBand="0" w:evenHBand="0" w:firstRowFirstColumn="0" w:firstRowLastColumn="0" w:lastRowFirstColumn="0" w:lastRowLastColumn="0"/>
        </w:trPr>
        <w:tc>
          <w:tcPr>
            <w:tcW w:w="4246" w:type="dxa"/>
          </w:tcPr>
          <w:p w14:paraId="6A6E9DE0" w14:textId="21F942DA">
            <w:pPr>
              <w:pStyle w:val="Kpalrs"/>
            </w:pPr>
            <w:bookmarkStart w:id="470" w:name="_Ref226038753"/>
            <w:r>
              <w:t xml:space="preserve">Exhibit </w:t>
            </w:r>
            <w:fldSimple w:instr=" STYLEREF 2 \s ">
              <w:r>
                <w:rPr>
                  <w:noProof/>
                </w:rPr>
                <w:t>5.4</w:t>
              </w:r>
            </w:fldSimple>
            <w:r>
              <w:t>.</w:t>
            </w:r>
            <w:fldSimple w:instr=" SEQ Exhibit \* ALPHABETIC \s 2 ">
              <w:r>
                <w:rPr>
                  <w:noProof/>
                </w:rPr>
                <w:t>B</w:t>
              </w:r>
            </w:fldSimple>
            <w:bookmarkEnd w:id="470"/>
            <w:r>
              <w:t>. space marked for missing content</w:t>
            </w:r>
          </w:p>
        </w:tc>
      </w:tr>
      <w:tr w14:paraId="6C694772" w14:textId="77777777">
        <w:tc>
          <w:tcPr>
            <w:tcW w:w="4246" w:type="dxa"/>
          </w:tcPr>
          <w:p w14:paraId="4219A204" w14:textId="77777777">
            <w:pPr>
              <w:pStyle w:val="Image"/>
            </w:pPr>
            <w:r>
              <w:drawing>
                <wp:inline distT="0" distB="0" distL="0" distR="0" wp14:anchorId="65ED228C" wp14:editId="525F2A51">
                  <wp:extent cx="2322000" cy="968400"/>
                  <wp:effectExtent l="0" t="0" r="2540" b="3175"/>
                  <wp:docPr id="39334497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322000" cy="968400"/>
                          </a:xfrm>
                          <a:prstGeom prst="rect">
                            <a:avLst/>
                          </a:prstGeom>
                          <a:noFill/>
                          <a:ln>
                            <a:noFill/>
                          </a:ln>
                        </pic:spPr>
                      </pic:pic>
                    </a:graphicData>
                  </a:graphic>
                </wp:inline>
              </w:drawing>
            </w:r>
          </w:p>
        </w:tc>
      </w:tr>
      <w:tr w14:paraId="3B13584A" w14:textId="77777777">
        <w:tc>
          <w:tcPr>
            <w:tcW w:w="4246" w:type="dxa"/>
          </w:tcPr>
          <w:p w14:paraId="1DE6D202" w14:textId="77777777">
            <w:pPr>
              <w:pStyle w:val="CodeParagraph"/>
            </w:pPr>
            <w:r>
              <w:rPr>
                <w:rStyle w:val="Code"/>
              </w:rPr>
              <w:t xml:space="preserve">&lt;space </w:t>
            </w:r>
            <w:r>
              <w:rPr>
                <w:rStyle w:val="Codeattribute"/>
              </w:rPr>
              <w:t>type</w:t>
            </w:r>
            <w:r>
              <w:rPr>
                <w:rStyle w:val="Code"/>
              </w:rPr>
              <w:t>=</w:t>
            </w:r>
            <w:r>
              <w:rPr>
                <w:rStyle w:val="Codevalue"/>
              </w:rPr>
              <w:t>"vacat"</w:t>
            </w:r>
            <w:r>
              <w:rPr>
                <w:rStyle w:val="Code"/>
              </w:rPr>
              <w:t xml:space="preserve"> </w:t>
            </w:r>
            <w:r>
              <w:rPr>
                <w:rStyle w:val="Codeattribute"/>
              </w:rPr>
              <w:t>rend</w:t>
            </w:r>
            <w:r>
              <w:rPr>
                <w:rStyle w:val="Code"/>
              </w:rPr>
              <w:t>=</w:t>
            </w:r>
            <w:r>
              <w:rPr>
                <w:rStyle w:val="Codevalue"/>
              </w:rPr>
              <w:t xml:space="preserve">"mark" </w:t>
            </w:r>
            <w:r>
              <w:rPr>
                <w:rStyle w:val="Codeattribute"/>
              </w:rPr>
              <w:t>quantity</w:t>
            </w:r>
            <w:r>
              <w:rPr>
                <w:rStyle w:val="Code"/>
              </w:rPr>
              <w:t>=</w:t>
            </w:r>
            <w:r>
              <w:rPr>
                <w:rStyle w:val="Codevalue"/>
              </w:rPr>
              <w:t>"9"</w:t>
            </w:r>
            <w:r>
              <w:rPr>
                <w:rStyle w:val="Code"/>
              </w:rPr>
              <w:t xml:space="preserve"> </w:t>
            </w:r>
            <w:r>
              <w:rPr>
                <w:rStyle w:val="Codeattribute"/>
              </w:rPr>
              <w:t>unit</w:t>
            </w:r>
            <w:r>
              <w:rPr>
                <w:rStyle w:val="Code"/>
              </w:rPr>
              <w:t>=</w:t>
            </w:r>
            <w:r>
              <w:rPr>
                <w:rStyle w:val="Codevalue"/>
              </w:rPr>
              <w:t>"character"</w:t>
            </w:r>
            <w:r>
              <w:rPr>
                <w:rStyle w:val="Code"/>
              </w:rPr>
              <w:t>/&gt;</w:t>
            </w:r>
          </w:p>
        </w:tc>
      </w:tr>
    </w:tbl>
    <w:p w14:paraId="702EE63F" w14:textId="163DF510">
      <w:pPr>
        <w:pStyle w:val="Lista"/>
      </w:pPr>
      <w:r>
        <w:t xml:space="preserve">if unwritten space is filled with some kind of scribal mark such as dotting, horizontal lines, etc., as in </w:t>
      </w:r>
      <w:r>
        <w:fldChar w:fldCharType="begin"/>
      </w:r>
      <w:r>
        <w:instrText xml:space="preserve"> REF _Ref226038753 \h </w:instrText>
      </w:r>
      <w:r>
        <w:fldChar w:fldCharType="separate"/>
      </w:r>
      <w:r>
        <w:t xml:space="preserve">Exhibit </w:t>
      </w:r>
      <w:r>
        <w:rPr>
          <w:noProof/>
        </w:rPr>
        <w:t>5.4</w:t>
      </w:r>
      <w:r>
        <w:t>.</w:t>
      </w:r>
      <w:r>
        <w:rPr>
          <w:noProof/>
        </w:rPr>
        <w:t>B</w:t>
      </w:r>
      <w:r>
        <w:fldChar w:fldCharType="end"/>
      </w:r>
    </w:p>
    <w:p w14:paraId="5243F725" w14:textId="77777777">
      <w:pPr>
        <w:pStyle w:val="Lista2"/>
      </w:pPr>
      <w:r>
        <w:t xml:space="preserve">add the attribute </w:t>
      </w:r>
      <w:r>
        <w:rPr>
          <w:rStyle w:val="Codeattribute"/>
        </w:rPr>
        <w:t>@rend</w:t>
      </w:r>
      <w:r>
        <w:rPr>
          <w:rStyle w:val="Code"/>
        </w:rPr>
        <w:t>=</w:t>
      </w:r>
      <w:r>
        <w:rPr>
          <w:rStyle w:val="Codevalue"/>
        </w:rPr>
        <w:t>"mark"</w:t>
      </w:r>
      <w:r>
        <w:t xml:space="preserve"> to the space element encoded as above</w:t>
      </w:r>
    </w:p>
    <w:p w14:paraId="146D34D0" w14:textId="77777777">
      <w:pPr>
        <w:pStyle w:val="Lista2"/>
      </w:pPr>
      <w:r>
        <w:t>the appearance of the mark may be described in your annotation</w:t>
      </w:r>
    </w:p>
    <w:p w14:paraId="3C8FD865" w14:textId="2BD925AE">
      <w:pPr>
        <w:pStyle w:val="Lista2"/>
      </w:pPr>
      <w:r>
        <w:t>such scribal marks are to be distinguished from connectors (§</w:t>
      </w:r>
      <w:r>
        <w:fldChar w:fldCharType="begin"/>
      </w:r>
      <w:r>
        <w:instrText xml:space="preserve"> REF _Ref226038881 \r \h </w:instrText>
      </w:r>
      <w:r>
        <w:fldChar w:fldCharType="separate"/>
      </w:r>
      <w:r>
        <w:t>5.3.2.3</w:t>
      </w:r>
      <w:r>
        <w:fldChar w:fldCharType="end"/>
      </w:r>
      <w:r>
        <w:t>), which are used when there is no missing content</w:t>
      </w:r>
    </w:p>
    <w:p w14:paraId="756D6372" w14:textId="13BD9D9C">
      <w:pPr>
        <w:pStyle w:val="Lista"/>
      </w:pPr>
      <w:r>
        <w:t>if space was left blank and later partially or completely filled with text, it may be difficult to determine whether, and exactly where, this has happened, as well as to distinguish this from deletion followed by rewriting, which is to be treated as per §</w:t>
      </w:r>
      <w:r>
        <w:fldChar w:fldCharType="begin"/>
      </w:r>
      <w:r>
        <w:instrText xml:space="preserve"> REF _Ref74727538 \r \h </w:instrText>
      </w:r>
      <w:r>
        <w:fldChar w:fldCharType="separate"/>
      </w:r>
      <w:r>
        <w:t>5.5.3</w:t>
      </w:r>
      <w:r>
        <w:fldChar w:fldCharType="end"/>
      </w:r>
    </w:p>
    <w:p w14:paraId="008CF492" w14:textId="77777777">
      <w:pPr>
        <w:pStyle w:val="Lista2"/>
      </w:pPr>
      <w:r>
        <w:t>if any uncertainty is involved, proceed as follows</w:t>
      </w:r>
    </w:p>
    <w:p w14:paraId="3A8F24BC" w14:textId="77777777">
      <w:pPr>
        <w:pStyle w:val="Lista3"/>
      </w:pPr>
      <w:r>
        <w:t>edit the text normally, without any special encoding for vacat</w:t>
      </w:r>
    </w:p>
    <w:p w14:paraId="208113C5" w14:textId="77777777">
      <w:pPr>
        <w:pStyle w:val="Lista3"/>
      </w:pPr>
      <w:r>
        <w:t>if any space remains, encode it normally</w:t>
      </w:r>
    </w:p>
    <w:p w14:paraId="12E038D9" w14:textId="77777777">
      <w:pPr>
        <w:pStyle w:val="Lista4"/>
      </w:pPr>
      <w:r>
        <w:t>as vacat if you are certain of this identification</w:t>
      </w:r>
    </w:p>
    <w:p w14:paraId="3EF18CDD" w14:textId="74F7298E">
      <w:pPr>
        <w:pStyle w:val="Lista4"/>
      </w:pPr>
      <w:r>
        <w:t>as unclassified (§</w:t>
      </w:r>
      <w:r>
        <w:fldChar w:fldCharType="begin"/>
      </w:r>
      <w:r>
        <w:instrText xml:space="preserve"> REF _Ref63674539 \r \h </w:instrText>
      </w:r>
      <w:r>
        <w:fldChar w:fldCharType="separate"/>
      </w:r>
      <w:r>
        <w:t>5.4.2.3</w:t>
      </w:r>
      <w:r>
        <w:fldChar w:fldCharType="end"/>
      </w:r>
      <w:r>
        <w:t>) if you are not certain</w:t>
      </w:r>
    </w:p>
    <w:p w14:paraId="53B5BE52" w14:textId="77777777">
      <w:pPr>
        <w:pStyle w:val="Lista3"/>
      </w:pPr>
      <w:r>
        <w:t>describe the situation in your annotation</w:t>
      </w:r>
    </w:p>
    <w:p w14:paraId="7E5326ED" w14:textId="77777777">
      <w:pPr>
        <w:pStyle w:val="Lista2"/>
      </w:pPr>
      <w:r>
        <w:t>if you are quite certain that space had been left blank and later filled, and are able to determine its beginning and endpoint precisely,</w:t>
      </w:r>
    </w:p>
    <w:p w14:paraId="57095BD1" w14:textId="77777777">
      <w:pPr>
        <w:pStyle w:val="Lista3"/>
      </w:pPr>
      <w:r>
        <w:t>encode vacat for the entire length of the space originally left blank</w:t>
      </w:r>
    </w:p>
    <w:p w14:paraId="1D14355F" w14:textId="73661429">
      <w:pPr>
        <w:pStyle w:val="Lista3"/>
      </w:pPr>
      <w:r>
        <w:t xml:space="preserve">immediately after the </w:t>
      </w:r>
      <w:r>
        <w:rPr>
          <w:rStyle w:val="Code"/>
        </w:rPr>
        <w:t>&lt;space/&gt;</w:t>
      </w:r>
      <w:r>
        <w:t xml:space="preserve"> element, encode a premodern inline addition </w:t>
      </w:r>
      <w:r>
        <w:rPr>
          <w:noProof/>
        </w:rPr>
        <w:t>(</w:t>
      </w:r>
      <w:r>
        <w:t>§</w:t>
      </w:r>
      <w:r>
        <w:fldChar w:fldCharType="begin"/>
      </w:r>
      <w:r>
        <w:instrText xml:space="preserve"> REF _Ref43978471 \r \h  \* MERGEFORMAT </w:instrText>
      </w:r>
      <w:r>
        <w:fldChar w:fldCharType="separate"/>
      </w:r>
      <w:r>
        <w:t>5.5.2</w:t>
      </w:r>
      <w:r>
        <w:fldChar w:fldCharType="end"/>
      </w:r>
      <w:r>
        <w:t>)</w:t>
      </w:r>
    </w:p>
    <w:p w14:paraId="2B504C30" w14:textId="2C97D3F7">
      <w:pPr>
        <w:pStyle w:val="Lista3"/>
      </w:pPr>
      <w:r>
        <w:t>if any blank space remains, include an unclassified space (§</w:t>
      </w:r>
      <w:r>
        <w:fldChar w:fldCharType="begin"/>
      </w:r>
      <w:r>
        <w:instrText xml:space="preserve"> REF _Ref63674539 \r \h </w:instrText>
      </w:r>
      <w:r>
        <w:fldChar w:fldCharType="separate"/>
      </w:r>
      <w:r>
        <w:t>5.4.2.3</w:t>
      </w:r>
      <w:r>
        <w:fldChar w:fldCharType="end"/>
      </w:r>
      <w:r>
        <w:t>) within the encoded premodern addition</w:t>
      </w:r>
    </w:p>
    <w:p w14:paraId="42879CA3" w14:textId="77777777">
      <w:pPr>
        <w:pStyle w:val="Cmsor4"/>
      </w:pPr>
      <w:bookmarkStart w:id="471" w:name="_8rva2rlyx9df" w:colFirst="0" w:colLast="0"/>
      <w:bookmarkStart w:id="472" w:name="_3hdkntv18hp0" w:colFirst="0" w:colLast="0"/>
      <w:bookmarkStart w:id="473" w:name="_Ref43985107"/>
      <w:bookmarkEnd w:id="471"/>
      <w:bookmarkEnd w:id="472"/>
      <w:r>
        <w:t>Space imposed by physical necessity</w:t>
      </w:r>
      <w:bookmarkEnd w:id="473"/>
    </w:p>
    <w:p w14:paraId="6790F2D4" w14:textId="77777777">
      <w:r>
        <w:t>This subsection is about spaces left blank because a physical feature of the support prevented the engraver from writing on a certain area. Encoding such interruptions as significant space is helpful because their presence may be the cause of non-standard sandhi and scribal errors.</w:t>
      </w:r>
    </w:p>
    <w:p w14:paraId="3EC09225" w14:textId="77777777">
      <w:pPr>
        <w:pStyle w:val="Lista"/>
      </w:pPr>
      <w:r>
        <w:lastRenderedPageBreak/>
        <w:t>the encoding of spaces imposed by physical necessity is optional, and may not be possible when working from a printed edition without access to the original or a surrogate</w:t>
      </w:r>
    </w:p>
    <w:p w14:paraId="7CB37B31" w14:textId="77777777">
      <w:pPr>
        <w:pStyle w:val="Lista"/>
      </w:pPr>
      <w:r>
        <w:t>if you do choose to encode any such space in an edition, then do so consistently throughout that particular edition</w:t>
      </w:r>
    </w:p>
    <w:p w14:paraId="0C89FA45" w14:textId="77777777">
      <w:pPr>
        <w:pStyle w:val="Lista2"/>
      </w:pPr>
      <w:r>
        <w:t>consistency does not necessarily mean encoding each and every imposed space; instead, you may opt for one of the following strategies:</w:t>
      </w:r>
    </w:p>
    <w:p w14:paraId="2452D919" w14:textId="77777777">
      <w:pPr>
        <w:pStyle w:val="Lista3"/>
      </w:pPr>
      <w:r>
        <w:t>encoding all imposed spaces of a particular class (of those listed below), but not other classes</w:t>
      </w:r>
    </w:p>
    <w:p w14:paraId="195F581F" w14:textId="77777777">
      <w:pPr>
        <w:pStyle w:val="Lista3"/>
      </w:pPr>
      <w:r>
        <w:t>encoding imposed spaces when they disrupt the text by falling inside a word, but not encoding them when they fall between words</w:t>
      </w:r>
    </w:p>
    <w:p w14:paraId="79C44E09" w14:textId="77777777">
      <w:pPr>
        <w:pStyle w:val="Lista2"/>
      </w:pPr>
      <w:r>
        <w:t>consistency should be complete within an edition, but cannot be realistically expected across our entire corpus or even across the body of texts encoded by a single person</w:t>
      </w:r>
    </w:p>
    <w:p w14:paraId="7AF2B8FC" w14:textId="77777777">
      <w:pPr>
        <w:pStyle w:val="Lista3"/>
      </w:pPr>
      <w:r>
        <w:t>aiming for consistency across your subcorpus is a good idea, but feel free to adopt a different strategy for any text where this seems desirable</w:t>
      </w:r>
    </w:p>
    <w:p w14:paraId="4CAF965B" w14:textId="77777777">
      <w:pPr>
        <w:pStyle w:val="Lista"/>
      </w:pPr>
      <w:r>
        <w:t xml:space="preserve">when encoding spaces imposed by physical necessity, distinguish these from other spaces by adding the attribute </w:t>
      </w:r>
      <w:r>
        <w:rPr>
          <w:rStyle w:val="Codeattribute"/>
        </w:rPr>
        <w:t>@type</w:t>
      </w:r>
      <w:r>
        <w:t xml:space="preserve"> to </w:t>
      </w:r>
      <w:r>
        <w:rPr>
          <w:rStyle w:val="Code"/>
        </w:rPr>
        <w:t>&lt;space/&gt;</w:t>
      </w:r>
      <w:r>
        <w:t>, with a value depending on the nature of the interruption as follows</w:t>
      </w:r>
    </w:p>
    <w:p w14:paraId="0727EFD0" w14:textId="77777777">
      <w:pPr>
        <w:pStyle w:val="Lista2"/>
      </w:pPr>
      <w:r>
        <w:rPr>
          <w:rStyle w:val="Codevalue"/>
        </w:rPr>
        <w:t>"binding-hole"</w:t>
      </w:r>
      <w:r>
        <w:t xml:space="preserve"> for the binding hole in a copper plate or manuscript page</w:t>
      </w:r>
    </w:p>
    <w:p w14:paraId="2227AE5E" w14:textId="77777777">
      <w:pPr>
        <w:pStyle w:val="Lista3"/>
      </w:pPr>
      <w:r>
        <w:t>see also below for additional instructions concerning the encoding of such holes</w:t>
      </w:r>
    </w:p>
    <w:p w14:paraId="675921A4" w14:textId="77777777">
      <w:pPr>
        <w:pStyle w:val="Lista2"/>
      </w:pPr>
      <w:r>
        <w:rPr>
          <w:rStyle w:val="Codevalue"/>
        </w:rPr>
        <w:t>"descender"</w:t>
      </w:r>
      <w:r>
        <w:t xml:space="preserve"> for part of a glyph encroaching from the previous line</w:t>
      </w:r>
    </w:p>
    <w:p w14:paraId="616C7415" w14:textId="77777777">
      <w:pPr>
        <w:pStyle w:val="Lista2"/>
      </w:pPr>
      <w:r>
        <w:rPr>
          <w:rStyle w:val="Codevalue"/>
        </w:rPr>
        <w:t>"ascender"</w:t>
      </w:r>
      <w:r>
        <w:t xml:space="preserve"> for part of a glyph encroaching from the following line</w:t>
      </w:r>
    </w:p>
    <w:tbl>
      <w:tblPr>
        <w:tblStyle w:val="FigureTable"/>
        <w:tblpPr w:leftFromText="180" w:rightFromText="180" w:vertAnchor="text" w:tblpXSpec="right" w:tblpY="1"/>
        <w:tblW w:w="3402" w:type="dxa"/>
        <w:tblLook w:val="04A0" w:firstRow="1" w:lastRow="0" w:firstColumn="1" w:lastColumn="0" w:noHBand="0" w:noVBand="1"/>
      </w:tblPr>
      <w:tblGrid>
        <w:gridCol w:w="3402"/>
      </w:tblGrid>
      <w:tr w14:paraId="6CD575C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8AE2BDD" w14:textId="0C9C25C4">
            <w:pPr>
              <w:pStyle w:val="Kpalrs"/>
            </w:pPr>
            <w:bookmarkStart w:id="474" w:name="_Ref226041197"/>
            <w:r>
              <w:t xml:space="preserve">Exhibit </w:t>
            </w:r>
            <w:fldSimple w:instr=" STYLEREF 2 \s ">
              <w:r>
                <w:rPr>
                  <w:noProof/>
                </w:rPr>
                <w:t>5.4</w:t>
              </w:r>
            </w:fldSimple>
            <w:r>
              <w:t>.</w:t>
            </w:r>
            <w:fldSimple w:instr=" SEQ Exhibit \* ALPHABETIC \s 2 ">
              <w:r>
                <w:rPr>
                  <w:noProof/>
                </w:rPr>
                <w:t>C</w:t>
              </w:r>
            </w:fldSimple>
            <w:bookmarkEnd w:id="474"/>
            <w:r>
              <w:t>. space skipped due to feature</w:t>
            </w:r>
          </w:p>
        </w:tc>
      </w:tr>
      <w:tr w14:paraId="2A94C3BB" w14:textId="77777777">
        <w:tc>
          <w:tcPr>
            <w:tcW w:w="0" w:type="auto"/>
          </w:tcPr>
          <w:p w14:paraId="541451D9" w14:textId="77777777">
            <w:pPr>
              <w:pStyle w:val="Image"/>
            </w:pPr>
            <w:r>
              <w:drawing>
                <wp:inline distT="0" distB="0" distL="0" distR="0" wp14:anchorId="74474E48" wp14:editId="6E9313EB">
                  <wp:extent cx="2081530" cy="1078230"/>
                  <wp:effectExtent l="0" t="0" r="0" b="7620"/>
                  <wp:docPr id="45" name="Kép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81530" cy="1078230"/>
                          </a:xfrm>
                          <a:prstGeom prst="rect">
                            <a:avLst/>
                          </a:prstGeom>
                          <a:noFill/>
                          <a:ln>
                            <a:noFill/>
                          </a:ln>
                        </pic:spPr>
                      </pic:pic>
                    </a:graphicData>
                  </a:graphic>
                </wp:inline>
              </w:drawing>
            </w:r>
          </w:p>
        </w:tc>
      </w:tr>
      <w:tr w14:paraId="47329A83" w14:textId="77777777">
        <w:tc>
          <w:tcPr>
            <w:tcW w:w="0" w:type="auto"/>
          </w:tcPr>
          <w:p w14:paraId="2825A4DE" w14:textId="77777777">
            <w:pPr>
              <w:pStyle w:val="CodeParagraph"/>
            </w:pPr>
            <w:r>
              <w:rPr>
                <w:rStyle w:val="Code"/>
              </w:rPr>
              <w:t xml:space="preserve">&lt;space </w:t>
            </w:r>
            <w:r>
              <w:rPr>
                <w:rStyle w:val="Codeattribute"/>
              </w:rPr>
              <w:t>type</w:t>
            </w:r>
            <w:r>
              <w:rPr>
                <w:rStyle w:val="Code"/>
              </w:rPr>
              <w:t>=</w:t>
            </w:r>
            <w:r>
              <w:rPr>
                <w:rStyle w:val="Codevalue"/>
              </w:rPr>
              <w:t>"feature"</w:t>
            </w:r>
            <w:r>
              <w:rPr>
                <w:rStyle w:val="Code"/>
              </w:rPr>
              <w:t>/&gt;</w:t>
            </w:r>
          </w:p>
        </w:tc>
      </w:tr>
    </w:tbl>
    <w:p w14:paraId="7B5E6077" w14:textId="396E7908">
      <w:pPr>
        <w:pStyle w:val="Lista2"/>
      </w:pPr>
      <w:r>
        <w:rPr>
          <w:rStyle w:val="Codevalue"/>
        </w:rPr>
        <w:t>"feature"</w:t>
      </w:r>
      <w:r>
        <w:t xml:space="preserve"> for a deliberately created feature on the surface (such as engraved artwork, high relief, or a seal attached directly to a copper plate, excluding binding holes, ascenders and descenders covered above), as in </w:t>
      </w:r>
      <w:r>
        <w:fldChar w:fldCharType="begin"/>
      </w:r>
      <w:r>
        <w:instrText xml:space="preserve"> REF _Ref226041197 \h </w:instrText>
      </w:r>
      <w:r>
        <w:fldChar w:fldCharType="separate"/>
      </w:r>
      <w:r>
        <w:t xml:space="preserve">Exhibit </w:t>
      </w:r>
      <w:r>
        <w:rPr>
          <w:noProof/>
        </w:rPr>
        <w:t>5.4</w:t>
      </w:r>
      <w:r>
        <w:t>.</w:t>
      </w:r>
      <w:r>
        <w:rPr>
          <w:noProof/>
        </w:rPr>
        <w:t>C</w:t>
      </w:r>
      <w:r>
        <w:fldChar w:fldCharType="end"/>
      </w:r>
    </w:p>
    <w:p w14:paraId="6EA79D01" w14:textId="77777777">
      <w:pPr>
        <w:pStyle w:val="Lista2"/>
      </w:pPr>
      <w:r>
        <w:rPr>
          <w:rStyle w:val="Codevalue"/>
        </w:rPr>
        <w:t>"defect"</w:t>
      </w:r>
      <w:r>
        <w:t xml:space="preserve"> for a blemish of the surface that was not deliberately created (such as a natural crack or pit, or a fault in the creation of the writing surface)</w:t>
      </w:r>
    </w:p>
    <w:p w14:paraId="2F3F1F3C" w14:textId="77777777">
      <w:pPr>
        <w:pStyle w:val="Lista"/>
      </w:pPr>
      <w:r>
        <w:t xml:space="preserve">imposed spaces shall always be encoded without further attributes, i.e. never use </w:t>
      </w:r>
      <w:r>
        <w:rPr>
          <w:rStyle w:val="Codeattribute"/>
        </w:rPr>
        <w:t>@quantity</w:t>
      </w:r>
      <w:r>
        <w:t xml:space="preserve"> and </w:t>
      </w:r>
      <w:r>
        <w:rPr>
          <w:rStyle w:val="Codeattribute"/>
        </w:rPr>
        <w:t>@unit</w:t>
      </w:r>
      <w:r>
        <w:t xml:space="preserve"> to encode their size, because the size of such spaces is determined by factors extraneous to the text</w:t>
      </w:r>
    </w:p>
    <w:p w14:paraId="239DFB9E" w14:textId="77777777">
      <w:pPr>
        <w:pStyle w:val="Lista2"/>
      </w:pPr>
      <w:r>
        <w:t>the location and size of large surface irregularities, whether or not you have encoded them as space elements, may be described in your layout description (briefly), your commentary (when you wish to discuss them at some length), or an apparatus note (to discuss a specific imposed space)</w:t>
      </w:r>
    </w:p>
    <w:p w14:paraId="7ECAA66D" w14:textId="73FE03F8">
      <w:pPr>
        <w:pStyle w:val="Lista"/>
      </w:pPr>
      <w:r>
        <w:t>unlike other encoded spaces, imposed space will frequently occur within a word, in which case you should not surround the element with editorial spaces (§</w:t>
      </w:r>
      <w:r>
        <w:fldChar w:fldCharType="begin"/>
      </w:r>
      <w:r>
        <w:instrText xml:space="preserve"> REF _Ref183011230 \r \h </w:instrText>
      </w:r>
      <w:r>
        <w:fldChar w:fldCharType="separate"/>
      </w:r>
      <w:r>
        <w:t>5.4.4</w:t>
      </w:r>
      <w:r>
        <w:fldChar w:fldCharType="end"/>
      </w:r>
      <w:r>
        <w:t>)</w:t>
      </w:r>
    </w:p>
    <w:p w14:paraId="3F5F8F1F" w14:textId="77777777">
      <w:pPr>
        <w:pStyle w:val="Lista"/>
        <w:rPr>
          <w:rFonts w:ascii="Arial" w:hAnsi="Arial" w:cs="Arial"/>
        </w:rPr>
      </w:pPr>
      <w:r>
        <w:t>when a single surface irregularity affects more than one line in this way, separately encode an imposed space for every affected line</w:t>
      </w:r>
    </w:p>
    <w:p w14:paraId="500264EA" w14:textId="77777777">
      <w:pPr>
        <w:pStyle w:val="Lista2"/>
        <w:rPr>
          <w:rFonts w:ascii="Arial" w:hAnsi="Arial" w:cs="Arial"/>
        </w:rPr>
      </w:pPr>
      <w:r>
        <w:t>we use no explicit encoding for the fact that these interruptions are due to a single irregularity (but this may be mentioned in your annotation)</w:t>
      </w:r>
    </w:p>
    <w:p w14:paraId="06E637E2" w14:textId="77777777">
      <w:pPr>
        <w:pStyle w:val="Lista"/>
      </w:pPr>
      <w:bookmarkStart w:id="475" w:name="_mo8ye4cvqr4s" w:colFirst="0" w:colLast="0"/>
      <w:bookmarkEnd w:id="475"/>
      <w:r>
        <w:t>when encoding binding holes, keep in mind that the occasion for encoding is not the presence of a binding hole, but the fact that such a hole has obliged the engraver to skip horizontally, therefore</w:t>
      </w:r>
    </w:p>
    <w:p w14:paraId="48FA8888" w14:textId="79A943BE">
      <w:pPr>
        <w:pStyle w:val="Lista2"/>
      </w:pPr>
      <w:r>
        <w:t xml:space="preserve">do not encode a space for a hole that is fully outside a margin line </w:t>
      </w:r>
      <w:r>
        <w:rPr>
          <w:noProof/>
        </w:rPr>
        <w:t>(</w:t>
      </w:r>
      <w:r>
        <w:t xml:space="preserve">in the area surrounding the text field), as in </w:t>
      </w:r>
      <w:r>
        <w:fldChar w:fldCharType="begin"/>
      </w:r>
      <w:r>
        <w:instrText xml:space="preserve"> REF _Ref44063881 \h  \* MERGEFORMAT </w:instrText>
      </w:r>
      <w:r>
        <w:fldChar w:fldCharType="separate"/>
      </w:r>
      <w:r>
        <w:t xml:space="preserve">Exhibit </w:t>
      </w:r>
      <w:r>
        <w:rPr>
          <w:noProof/>
        </w:rPr>
        <w:t>5.4.D</w:t>
      </w:r>
      <w:r>
        <w:fldChar w:fldCharType="end"/>
      </w:r>
      <w:r>
        <w:t>/1</w:t>
      </w:r>
    </w:p>
    <w:p w14:paraId="4E54A26C" w14:textId="1C01D9FF">
      <w:pPr>
        <w:pStyle w:val="Lista2"/>
      </w:pPr>
      <w:r>
        <w:t xml:space="preserve">do not encode a space for a hole that lies within the text field, but between lines, as in </w:t>
      </w:r>
      <w:r>
        <w:fldChar w:fldCharType="begin"/>
      </w:r>
      <w:r>
        <w:instrText xml:space="preserve"> REF _Ref44063881 \h  \* MERGEFORMAT </w:instrText>
      </w:r>
      <w:r>
        <w:fldChar w:fldCharType="separate"/>
      </w:r>
      <w:r>
        <w:t xml:space="preserve">Exhibit </w:t>
      </w:r>
      <w:r>
        <w:rPr>
          <w:noProof/>
        </w:rPr>
        <w:t>5.4.D</w:t>
      </w:r>
      <w:r>
        <w:fldChar w:fldCharType="end"/>
      </w:r>
      <w:r>
        <w:t>/2</w:t>
      </w:r>
    </w:p>
    <w:p w14:paraId="1FE7DAFC" w14:textId="77777777">
      <w:pPr>
        <w:pStyle w:val="Lista3"/>
      </w:pPr>
      <w:r>
        <w:t>this applies even if lines above/below the hole bend, or if glyphs in those lines are distorted in order to accommodate the hole</w:t>
      </w:r>
    </w:p>
    <w:p w14:paraId="1CC8AF8B" w14:textId="3D428B53">
      <w:pPr>
        <w:pStyle w:val="Lista2"/>
      </w:pPr>
      <w:r>
        <w:t xml:space="preserve">optionally encode a space for a hole that is on or within the margin line, causing one or more text lines to begin with an indent, as in </w:t>
      </w:r>
      <w:r>
        <w:fldChar w:fldCharType="begin"/>
      </w:r>
      <w:r>
        <w:instrText xml:space="preserve"> REF _Ref44063881 \h  \* MERGEFORMAT </w:instrText>
      </w:r>
      <w:r>
        <w:fldChar w:fldCharType="separate"/>
      </w:r>
      <w:r>
        <w:t xml:space="preserve">Exhibit </w:t>
      </w:r>
      <w:r>
        <w:rPr>
          <w:noProof/>
        </w:rPr>
        <w:t>5.4.D</w:t>
      </w:r>
      <w:r>
        <w:fldChar w:fldCharType="end"/>
      </w:r>
      <w:r>
        <w:t>/3</w:t>
      </w:r>
    </w:p>
    <w:p w14:paraId="5A033199" w14:textId="4A876C3F">
      <w:pPr>
        <w:pStyle w:val="Lista2"/>
      </w:pPr>
      <w:r>
        <w:t xml:space="preserve">preferably encode a space for a hole that is fully within the text field, interrupting one or more text lines, as in </w:t>
      </w:r>
      <w:r>
        <w:fldChar w:fldCharType="begin"/>
      </w:r>
      <w:r>
        <w:instrText xml:space="preserve"> REF _Ref44063881 \h  \* MERGEFORMAT </w:instrText>
      </w:r>
      <w:r>
        <w:fldChar w:fldCharType="separate"/>
      </w:r>
      <w:r>
        <w:t xml:space="preserve">Exhibit </w:t>
      </w:r>
      <w:r>
        <w:rPr>
          <w:noProof/>
        </w:rPr>
        <w:t>5.4.D</w:t>
      </w:r>
      <w:r>
        <w:fldChar w:fldCharType="end"/>
      </w:r>
      <w:r>
        <w:t>/4</w:t>
      </w:r>
    </w:p>
    <w:p w14:paraId="4792AD13" w14:textId="136D7690">
      <w:pPr>
        <w:pStyle w:val="Lista3"/>
      </w:pPr>
      <w:r>
        <w:t xml:space="preserve">this applies to all lines that skip some space around the hole, even if the hole itself does not penetrate into the area where a line’s text could have been inscribed, as in </w:t>
      </w:r>
      <w:r>
        <w:fldChar w:fldCharType="begin"/>
      </w:r>
      <w:r>
        <w:instrText xml:space="preserve"> REF _Ref44063881 \h  \* MERGEFORMAT </w:instrText>
      </w:r>
      <w:r>
        <w:fldChar w:fldCharType="separate"/>
      </w:r>
      <w:r>
        <w:t xml:space="preserve">Exhibit </w:t>
      </w:r>
      <w:r>
        <w:rPr>
          <w:noProof/>
        </w:rPr>
        <w:t>5.4.D</w:t>
      </w:r>
      <w:r>
        <w:fldChar w:fldCharType="end"/>
      </w:r>
      <w:r>
        <w:t>/5</w:t>
      </w:r>
    </w:p>
    <w:tbl>
      <w:tblPr>
        <w:tblStyle w:val="CodeSampleTable"/>
        <w:tblW w:w="5000" w:type="pct"/>
        <w:tblLook w:val="04A0" w:firstRow="1" w:lastRow="0" w:firstColumn="1" w:lastColumn="0" w:noHBand="0" w:noVBand="1"/>
      </w:tblPr>
      <w:tblGrid>
        <w:gridCol w:w="1925"/>
        <w:gridCol w:w="1925"/>
        <w:gridCol w:w="1926"/>
        <w:gridCol w:w="1926"/>
        <w:gridCol w:w="1926"/>
      </w:tblGrid>
      <w:tr w14:paraId="5090E7B3"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5"/>
            <w:tcBorders>
              <w:bottom w:val="single" w:sz="4" w:space="0" w:color="auto"/>
            </w:tcBorders>
          </w:tcPr>
          <w:p w14:paraId="61067A5B" w14:textId="2CCC1AA6">
            <w:pPr>
              <w:pStyle w:val="Kpalrs"/>
              <w:keepLines/>
            </w:pPr>
            <w:bookmarkStart w:id="476" w:name="_Ref44063881"/>
            <w:bookmarkStart w:id="477" w:name="_Ref44063878"/>
            <w:r>
              <w:lastRenderedPageBreak/>
              <w:t xml:space="preserve">Exhibit </w:t>
            </w:r>
            <w:fldSimple w:instr=" STYLEREF 2 \s ">
              <w:r>
                <w:rPr>
                  <w:noProof/>
                </w:rPr>
                <w:t>5.4</w:t>
              </w:r>
            </w:fldSimple>
            <w:r>
              <w:t>.</w:t>
            </w:r>
            <w:fldSimple w:instr=" SEQ Exhibit \* ALPHABETIC \s 2 ">
              <w:r>
                <w:rPr>
                  <w:noProof/>
                </w:rPr>
                <w:t>D</w:t>
              </w:r>
            </w:fldSimple>
            <w:bookmarkEnd w:id="476"/>
            <w:r>
              <w:t>: positions of a binding hole relative to text</w:t>
            </w:r>
            <w:bookmarkEnd w:id="477"/>
          </w:p>
        </w:tc>
      </w:tr>
      <w:tr w14:paraId="09AAF9BA" w14:textId="77777777">
        <w:tc>
          <w:tcPr>
            <w:tcW w:w="1000" w:type="pct"/>
            <w:tcBorders>
              <w:right w:val="single" w:sz="4" w:space="0" w:color="auto"/>
            </w:tcBorders>
            <w:vAlign w:val="center"/>
          </w:tcPr>
          <w:p w14:paraId="6215946B" w14:textId="77777777">
            <w:pPr>
              <w:pStyle w:val="Tabletext"/>
              <w:keepNext/>
              <w:jc w:val="center"/>
            </w:pPr>
            <w:r>
              <w:t>1</w:t>
            </w:r>
          </w:p>
        </w:tc>
        <w:tc>
          <w:tcPr>
            <w:tcW w:w="1000" w:type="pct"/>
            <w:tcBorders>
              <w:left w:val="single" w:sz="4" w:space="0" w:color="auto"/>
              <w:right w:val="single" w:sz="4" w:space="0" w:color="auto"/>
            </w:tcBorders>
            <w:vAlign w:val="center"/>
          </w:tcPr>
          <w:p w14:paraId="70EBB744" w14:textId="77777777">
            <w:pPr>
              <w:pStyle w:val="Tabletext"/>
              <w:keepNext/>
              <w:jc w:val="center"/>
            </w:pPr>
            <w:r>
              <w:t>2</w:t>
            </w:r>
          </w:p>
        </w:tc>
        <w:tc>
          <w:tcPr>
            <w:tcW w:w="1000" w:type="pct"/>
            <w:tcBorders>
              <w:left w:val="single" w:sz="4" w:space="0" w:color="auto"/>
              <w:right w:val="single" w:sz="4" w:space="0" w:color="auto"/>
            </w:tcBorders>
            <w:vAlign w:val="center"/>
          </w:tcPr>
          <w:p w14:paraId="1DE2A936" w14:textId="77777777">
            <w:pPr>
              <w:pStyle w:val="Tabletext"/>
              <w:keepNext/>
              <w:jc w:val="center"/>
            </w:pPr>
            <w:r>
              <w:t>3</w:t>
            </w:r>
          </w:p>
        </w:tc>
        <w:tc>
          <w:tcPr>
            <w:tcW w:w="1000" w:type="pct"/>
            <w:tcBorders>
              <w:left w:val="single" w:sz="4" w:space="0" w:color="auto"/>
              <w:right w:val="single" w:sz="4" w:space="0" w:color="auto"/>
            </w:tcBorders>
            <w:vAlign w:val="center"/>
          </w:tcPr>
          <w:p w14:paraId="1B8239B0" w14:textId="77777777">
            <w:pPr>
              <w:pStyle w:val="Tabletext"/>
              <w:keepNext/>
              <w:jc w:val="center"/>
            </w:pPr>
            <w:r>
              <w:t>4</w:t>
            </w:r>
          </w:p>
        </w:tc>
        <w:tc>
          <w:tcPr>
            <w:tcW w:w="1000" w:type="pct"/>
            <w:tcBorders>
              <w:left w:val="single" w:sz="4" w:space="0" w:color="auto"/>
            </w:tcBorders>
          </w:tcPr>
          <w:p w14:paraId="6DEBC9D6" w14:textId="77777777">
            <w:pPr>
              <w:pStyle w:val="Tabletext"/>
              <w:keepNext/>
              <w:jc w:val="center"/>
            </w:pPr>
            <w:r>
              <w:t>5</w:t>
            </w:r>
          </w:p>
        </w:tc>
      </w:tr>
      <w:tr w14:paraId="2AB06C8C" w14:textId="77777777">
        <w:tc>
          <w:tcPr>
            <w:tcW w:w="1000" w:type="pct"/>
            <w:tcBorders>
              <w:right w:val="single" w:sz="4" w:space="0" w:color="auto"/>
            </w:tcBorders>
            <w:vAlign w:val="center"/>
          </w:tcPr>
          <w:p w14:paraId="7F3B0618" w14:textId="77777777">
            <w:pPr>
              <w:pStyle w:val="Image"/>
              <w:keepNext w:val="0"/>
            </w:pPr>
            <w:r>
              <w:drawing>
                <wp:inline distT="0" distB="0" distL="0" distR="0" wp14:anchorId="1B7010A4" wp14:editId="353B1734">
                  <wp:extent cx="1170000" cy="990000"/>
                  <wp:effectExtent l="0" t="0" r="0" b="635"/>
                  <wp:docPr id="49" name="Kép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170000" cy="990000"/>
                          </a:xfrm>
                          <a:prstGeom prst="rect">
                            <a:avLst/>
                          </a:prstGeom>
                          <a:noFill/>
                          <a:ln>
                            <a:noFill/>
                          </a:ln>
                        </pic:spPr>
                      </pic:pic>
                    </a:graphicData>
                  </a:graphic>
                </wp:inline>
              </w:drawing>
            </w:r>
          </w:p>
        </w:tc>
        <w:tc>
          <w:tcPr>
            <w:tcW w:w="1000" w:type="pct"/>
            <w:tcBorders>
              <w:left w:val="single" w:sz="4" w:space="0" w:color="auto"/>
              <w:right w:val="single" w:sz="4" w:space="0" w:color="auto"/>
            </w:tcBorders>
            <w:vAlign w:val="center"/>
          </w:tcPr>
          <w:p w14:paraId="1665C966" w14:textId="77777777">
            <w:pPr>
              <w:pStyle w:val="Image"/>
              <w:keepNext w:val="0"/>
            </w:pPr>
            <w:r>
              <w:drawing>
                <wp:inline distT="0" distB="0" distL="0" distR="0" wp14:anchorId="36F60580" wp14:editId="173DD0A6">
                  <wp:extent cx="1170000" cy="990000"/>
                  <wp:effectExtent l="0" t="0" r="0" b="635"/>
                  <wp:docPr id="51" name="Kép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170000" cy="990000"/>
                          </a:xfrm>
                          <a:prstGeom prst="rect">
                            <a:avLst/>
                          </a:prstGeom>
                          <a:noFill/>
                          <a:ln>
                            <a:noFill/>
                          </a:ln>
                        </pic:spPr>
                      </pic:pic>
                    </a:graphicData>
                  </a:graphic>
                </wp:inline>
              </w:drawing>
            </w:r>
          </w:p>
        </w:tc>
        <w:tc>
          <w:tcPr>
            <w:tcW w:w="1000" w:type="pct"/>
            <w:tcBorders>
              <w:left w:val="single" w:sz="4" w:space="0" w:color="auto"/>
              <w:right w:val="single" w:sz="4" w:space="0" w:color="auto"/>
            </w:tcBorders>
            <w:vAlign w:val="center"/>
          </w:tcPr>
          <w:p w14:paraId="59EBF923" w14:textId="77777777">
            <w:pPr>
              <w:pStyle w:val="Image"/>
              <w:keepNext w:val="0"/>
            </w:pPr>
            <w:r>
              <w:drawing>
                <wp:inline distT="0" distB="0" distL="0" distR="0" wp14:anchorId="397A3F48" wp14:editId="21DA71DE">
                  <wp:extent cx="1170000" cy="990000"/>
                  <wp:effectExtent l="0" t="0" r="0" b="635"/>
                  <wp:docPr id="53" name="Kép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170000" cy="990000"/>
                          </a:xfrm>
                          <a:prstGeom prst="rect">
                            <a:avLst/>
                          </a:prstGeom>
                          <a:noFill/>
                          <a:ln>
                            <a:noFill/>
                          </a:ln>
                        </pic:spPr>
                      </pic:pic>
                    </a:graphicData>
                  </a:graphic>
                </wp:inline>
              </w:drawing>
            </w:r>
          </w:p>
        </w:tc>
        <w:tc>
          <w:tcPr>
            <w:tcW w:w="1000" w:type="pct"/>
            <w:tcBorders>
              <w:left w:val="single" w:sz="4" w:space="0" w:color="auto"/>
              <w:right w:val="single" w:sz="4" w:space="0" w:color="auto"/>
            </w:tcBorders>
            <w:vAlign w:val="center"/>
          </w:tcPr>
          <w:p w14:paraId="4CC19E90" w14:textId="77777777">
            <w:pPr>
              <w:pStyle w:val="Image"/>
              <w:keepNext w:val="0"/>
            </w:pPr>
            <w:r>
              <w:drawing>
                <wp:inline distT="0" distB="0" distL="0" distR="0" wp14:anchorId="544F1AC7" wp14:editId="79C328EB">
                  <wp:extent cx="1170000" cy="990000"/>
                  <wp:effectExtent l="0" t="0" r="0" b="635"/>
                  <wp:docPr id="54" name="Kép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170000" cy="990000"/>
                          </a:xfrm>
                          <a:prstGeom prst="rect">
                            <a:avLst/>
                          </a:prstGeom>
                          <a:noFill/>
                          <a:ln>
                            <a:noFill/>
                          </a:ln>
                        </pic:spPr>
                      </pic:pic>
                    </a:graphicData>
                  </a:graphic>
                </wp:inline>
              </w:drawing>
            </w:r>
          </w:p>
        </w:tc>
        <w:tc>
          <w:tcPr>
            <w:tcW w:w="1000" w:type="pct"/>
            <w:tcBorders>
              <w:left w:val="single" w:sz="4" w:space="0" w:color="auto"/>
            </w:tcBorders>
          </w:tcPr>
          <w:p w14:paraId="3AECD4E7" w14:textId="77777777">
            <w:pPr>
              <w:pStyle w:val="Image"/>
              <w:keepNext w:val="0"/>
            </w:pPr>
            <w:r>
              <w:drawing>
                <wp:inline distT="0" distB="0" distL="0" distR="0" wp14:anchorId="4F05BD66" wp14:editId="2A3FDFFA">
                  <wp:extent cx="1170000" cy="990000"/>
                  <wp:effectExtent l="0" t="0" r="0" b="635"/>
                  <wp:docPr id="56" name="Kép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170000" cy="990000"/>
                          </a:xfrm>
                          <a:prstGeom prst="rect">
                            <a:avLst/>
                          </a:prstGeom>
                          <a:noFill/>
                          <a:ln>
                            <a:noFill/>
                          </a:ln>
                        </pic:spPr>
                      </pic:pic>
                    </a:graphicData>
                  </a:graphic>
                </wp:inline>
              </w:drawing>
            </w:r>
          </w:p>
        </w:tc>
      </w:tr>
    </w:tbl>
    <w:p w14:paraId="53ABFA63" w14:textId="77777777">
      <w:pPr>
        <w:pStyle w:val="Cmsor4"/>
      </w:pPr>
      <w:bookmarkStart w:id="478" w:name="_4ie6uwnthfaw" w:colFirst="0" w:colLast="0"/>
      <w:bookmarkStart w:id="479" w:name="_9qk9995s9cyz" w:colFirst="0" w:colLast="0"/>
      <w:bookmarkStart w:id="480" w:name="_Ref63674539"/>
      <w:bookmarkStart w:id="481" w:name="_Ref43985257"/>
      <w:bookmarkEnd w:id="478"/>
      <w:bookmarkEnd w:id="479"/>
      <w:r>
        <w:t>Unclassified space</w:t>
      </w:r>
      <w:bookmarkEnd w:id="480"/>
    </w:p>
    <w:p w14:paraId="07B19D3B" w14:textId="77777777">
      <w:r>
        <w:t>This subsection concerns spaces which may be deemed significant even though they cannot be assigned to any of the types dealt with above.</w:t>
      </w:r>
    </w:p>
    <w:p w14:paraId="43E99E2D" w14:textId="77777777">
      <w:pPr>
        <w:pStyle w:val="Lista"/>
      </w:pPr>
      <w:r>
        <w:t>spaces may, for instance, be unclassified because</w:t>
      </w:r>
    </w:p>
    <w:p w14:paraId="7465F199" w14:textId="77777777">
      <w:pPr>
        <w:pStyle w:val="Lista2"/>
      </w:pPr>
      <w:r>
        <w:t>working without access to a good surrogate, you cannot decide if any of the classes apply, or</w:t>
      </w:r>
    </w:p>
    <w:p w14:paraId="05F25ED7" w14:textId="77777777">
      <w:pPr>
        <w:pStyle w:val="Lista2"/>
      </w:pPr>
      <w:r>
        <w:t>none of these types correspond closely enough to your hypothesis of why the space is present</w:t>
      </w:r>
    </w:p>
    <w:p w14:paraId="3E2D1315" w14:textId="77777777">
      <w:pPr>
        <w:pStyle w:val="Lista"/>
      </w:pPr>
      <w:r>
        <w:t xml:space="preserve">unclassified spaces shall be encoded using </w:t>
      </w:r>
      <w:r>
        <w:rPr>
          <w:rStyle w:val="Code"/>
        </w:rPr>
        <w:t>&lt;space/&gt;</w:t>
      </w:r>
      <w:r>
        <w:t xml:space="preserve"> with </w:t>
      </w:r>
      <w:r>
        <w:rPr>
          <w:rStyle w:val="Codeattribute"/>
        </w:rPr>
        <w:t>@type</w:t>
      </w:r>
      <w:r>
        <w:rPr>
          <w:rStyle w:val="Code"/>
        </w:rPr>
        <w:t>=</w:t>
      </w:r>
      <w:r>
        <w:rPr>
          <w:rStyle w:val="Codevalue"/>
        </w:rPr>
        <w:t>"unclassified"</w:t>
      </w:r>
    </w:p>
    <w:p w14:paraId="6241D036" w14:textId="77777777">
      <w:pPr>
        <w:pStyle w:val="Lista2"/>
      </w:pPr>
      <w:r>
        <w:t>add no further attributes for normal-sized spaces</w:t>
      </w:r>
    </w:p>
    <w:p w14:paraId="11DDA1AE" w14:textId="277AD098">
      <w:pPr>
        <w:pStyle w:val="Lista2"/>
      </w:pPr>
      <w:r>
        <w:t>for larger spaces, encode size as per §</w:t>
      </w:r>
      <w:r>
        <w:fldChar w:fldCharType="begin"/>
      </w:r>
      <w:r>
        <w:instrText xml:space="preserve"> REF _Ref183008428 \r \h </w:instrText>
      </w:r>
      <w:r>
        <w:fldChar w:fldCharType="separate"/>
      </w:r>
      <w:r>
        <w:t>5.4.2.4</w:t>
      </w:r>
      <w:r>
        <w:fldChar w:fldCharType="end"/>
      </w:r>
    </w:p>
    <w:p w14:paraId="7E903F90" w14:textId="77777777">
      <w:pPr>
        <w:pStyle w:val="Cmsor4"/>
      </w:pPr>
      <w:bookmarkStart w:id="482" w:name="_Ref227835279"/>
      <w:bookmarkStart w:id="483" w:name="_Ref183008428"/>
      <w:bookmarkStart w:id="484" w:name="_Ref182216826"/>
      <w:r>
        <w:t>Layout spacing</w:t>
      </w:r>
      <w:bookmarkEnd w:id="482"/>
    </w:p>
    <w:p w14:paraId="7EE36FB8" w14:textId="77777777">
      <w:r>
        <w:t>Space left blank in a document for the sake of visual layout should not, as a rule, be marked up as space. Such features should be mentioned in the annotation, and may be represented through encoding as follows:</w:t>
      </w:r>
    </w:p>
    <w:p w14:paraId="7641E226" w14:textId="16E58A29">
      <w:pPr>
        <w:pStyle w:val="Lista"/>
      </w:pPr>
      <w:r>
        <w:t xml:space="preserve">for </w:t>
      </w:r>
      <w:r>
        <w:rPr>
          <w:b/>
          <w:bCs/>
        </w:rPr>
        <w:t>inline layout blanks</w:t>
      </w:r>
      <w:r>
        <w:t>: optionally encode specially aligned lines as per §</w:t>
      </w:r>
      <w:r>
        <w:fldChar w:fldCharType="begin"/>
      </w:r>
      <w:r>
        <w:instrText xml:space="preserve"> REF _Ref43987598 \r \h </w:instrText>
      </w:r>
      <w:r>
        <w:fldChar w:fldCharType="separate"/>
      </w:r>
      <w:r>
        <w:t>8.5.1</w:t>
      </w:r>
      <w:r>
        <w:fldChar w:fldCharType="end"/>
      </w:r>
      <w:r>
        <w:t xml:space="preserve"> when spaces appear</w:t>
      </w:r>
    </w:p>
    <w:p w14:paraId="588DB2D4" w14:textId="77777777">
      <w:pPr>
        <w:pStyle w:val="Lista2"/>
      </w:pPr>
      <w:r>
        <w:t>at the end of a line that begins flush with the left margin</w:t>
      </w:r>
    </w:p>
    <w:p w14:paraId="4F1265ED" w14:textId="77777777">
      <w:pPr>
        <w:pStyle w:val="Lista2"/>
      </w:pPr>
      <w:r>
        <w:t>at the beginning of a line that ends flush with the right margin</w:t>
      </w:r>
    </w:p>
    <w:p w14:paraId="0FDD190E" w14:textId="77777777">
      <w:pPr>
        <w:pStyle w:val="Lista2"/>
      </w:pPr>
      <w:r>
        <w:t>at the beginning and end of a line that is centred between the two margins</w:t>
      </w:r>
    </w:p>
    <w:p w14:paraId="3016ED67" w14:textId="77777777">
      <w:pPr>
        <w:pStyle w:val="Lista2"/>
      </w:pPr>
      <w:r>
        <w:t>between words or glyphs throughout a line that is justified to both margins</w:t>
      </w:r>
    </w:p>
    <w:p w14:paraId="7A9E4E8C" w14:textId="77777777">
      <w:pPr>
        <w:pStyle w:val="Lista"/>
      </w:pPr>
      <w:r>
        <w:t xml:space="preserve">for </w:t>
      </w:r>
      <w:r>
        <w:rPr>
          <w:b/>
          <w:bCs/>
        </w:rPr>
        <w:t>blank areas between lines</w:t>
      </w:r>
      <w:r>
        <w:t>: by default encode nothing</w:t>
      </w:r>
    </w:p>
    <w:p w14:paraId="263851AA" w14:textId="77777777">
      <w:pPr>
        <w:pStyle w:val="Lista2"/>
      </w:pPr>
      <w:r>
        <w:t xml:space="preserve">create no </w:t>
      </w:r>
      <w:r>
        <w:rPr>
          <w:rStyle w:val="Code"/>
        </w:rPr>
        <w:t>&lt;lb/&gt;</w:t>
      </w:r>
      <w:r>
        <w:t xml:space="preserve"> elements for empty lines and insert no </w:t>
      </w:r>
      <w:r>
        <w:rPr>
          <w:rStyle w:val="Code"/>
        </w:rPr>
        <w:t>&lt;space/&gt;</w:t>
      </w:r>
      <w:r>
        <w:t xml:space="preserve"> elements to represent them</w:t>
      </w:r>
    </w:p>
    <w:p w14:paraId="59A1A386" w14:textId="77777777">
      <w:pPr>
        <w:pStyle w:val="Lista2"/>
      </w:pPr>
      <w:r>
        <w:t>the regular line spacing and any deviations from it should be described for human readers in the layout description</w:t>
      </w:r>
    </w:p>
    <w:p w14:paraId="290B316F" w14:textId="2743BBF9">
      <w:pPr>
        <w:pStyle w:val="Lista2"/>
      </w:pPr>
      <w:r>
        <w:t>opening passages (incipits) separated by space from the body of an inscription may be given special line numbers as per §</w:t>
      </w:r>
      <w:r>
        <w:fldChar w:fldCharType="begin"/>
      </w:r>
      <w:r>
        <w:instrText xml:space="preserve"> REF _Ref43978135 \r \h </w:instrText>
      </w:r>
      <w:r>
        <w:fldChar w:fldCharType="separate"/>
      </w:r>
      <w:r>
        <w:t>4.7.1.1</w:t>
      </w:r>
      <w:r>
        <w:fldChar w:fldCharType="end"/>
      </w:r>
    </w:p>
    <w:p w14:paraId="2D743C6D" w14:textId="484BCFF9">
      <w:pPr>
        <w:pStyle w:val="Lista"/>
      </w:pPr>
      <w:r>
        <w:t xml:space="preserve">for </w:t>
      </w:r>
      <w:r>
        <w:rPr>
          <w:b/>
          <w:bCs/>
        </w:rPr>
        <w:t>blank pages in copper plates</w:t>
      </w:r>
      <w:r>
        <w:t xml:space="preserve">: encode </w:t>
      </w:r>
      <w:r>
        <w:rPr>
          <w:rStyle w:val="Code"/>
        </w:rPr>
        <w:t>&lt;pb/&gt;</w:t>
      </w:r>
      <w:r>
        <w:t xml:space="preserve"> elements for each page as per §</w:t>
      </w:r>
      <w:r>
        <w:fldChar w:fldCharType="begin"/>
      </w:r>
      <w:r>
        <w:instrText xml:space="preserve"> REF _Ref182318940 \r \h </w:instrText>
      </w:r>
      <w:r>
        <w:fldChar w:fldCharType="separate"/>
      </w:r>
      <w:r>
        <w:t>4.4.2.2</w:t>
      </w:r>
      <w:r>
        <w:fldChar w:fldCharType="end"/>
      </w:r>
      <w:r>
        <w:t xml:space="preserve">, but insert no </w:t>
      </w:r>
      <w:r>
        <w:rPr>
          <w:rStyle w:val="Code"/>
        </w:rPr>
        <w:t>&lt;space/&gt;</w:t>
      </w:r>
      <w:r>
        <w:t xml:space="preserve"> elements to represent their content</w:t>
      </w:r>
    </w:p>
    <w:p w14:paraId="5F3EF7EA" w14:textId="77777777">
      <w:pPr>
        <w:pStyle w:val="Cmsor3"/>
      </w:pPr>
      <w:bookmarkStart w:id="485" w:name="_Toc243922657"/>
      <w:r>
        <w:t>The size of spaces</w:t>
      </w:r>
      <w:bookmarkEnd w:id="483"/>
      <w:bookmarkEnd w:id="485"/>
    </w:p>
    <w:p w14:paraId="0DB9AF71" w14:textId="77777777">
      <w:pPr>
        <w:pStyle w:val="Lista"/>
      </w:pPr>
      <w:r>
        <w:t xml:space="preserve">to encode the size of a space, add both of the following attributes to the </w:t>
      </w:r>
      <w:r>
        <w:rPr>
          <w:rStyle w:val="Code"/>
        </w:rPr>
        <w:t>&lt;space/&gt;</w:t>
      </w:r>
      <w:r>
        <w:t xml:space="preserve"> element</w:t>
      </w:r>
    </w:p>
    <w:p w14:paraId="278C36F4" w14:textId="77777777">
      <w:pPr>
        <w:pStyle w:val="Lista2"/>
      </w:pPr>
      <w:r>
        <w:rPr>
          <w:rStyle w:val="Codeattribute"/>
        </w:rPr>
        <w:t>@quantity</w:t>
      </w:r>
      <w:r>
        <w:t xml:space="preserve">, whose value shall be the width of the space given as the number of characters that could fit into it </w:t>
      </w:r>
      <w:r>
        <w:rPr>
          <w:noProof/>
        </w:rPr>
        <w:t>(</w:t>
      </w:r>
      <w:r>
        <w:t xml:space="preserve">i.e., the number of widths of an average </w:t>
      </w:r>
      <w:r>
        <w:rPr>
          <w:rStyle w:val="Foreign"/>
        </w:rPr>
        <w:t>akṣara</w:t>
      </w:r>
      <w:r>
        <w:t>)</w:t>
      </w:r>
    </w:p>
    <w:p w14:paraId="4924EB42" w14:textId="77777777">
      <w:pPr>
        <w:pStyle w:val="Lista3"/>
      </w:pPr>
      <w:r>
        <w:t>this quantity is always understood to be approximate</w:t>
      </w:r>
    </w:p>
    <w:p w14:paraId="28621ACB" w14:textId="77777777">
      <w:pPr>
        <w:pStyle w:val="Lista2"/>
      </w:pPr>
      <w:r>
        <w:rPr>
          <w:rStyle w:val="Codeattribute"/>
        </w:rPr>
        <w:t>@unit</w:t>
      </w:r>
      <w:r>
        <w:t xml:space="preserve">, with the value </w:t>
      </w:r>
      <w:r>
        <w:rPr>
          <w:rStyle w:val="Codevalue"/>
        </w:rPr>
        <w:t>"character"</w:t>
      </w:r>
    </w:p>
    <w:p w14:paraId="56AAB317" w14:textId="77777777">
      <w:pPr>
        <w:pStyle w:val="Lista3"/>
      </w:pPr>
      <w:r>
        <w:t>our encoding does not use any other units for the size of spaces</w:t>
      </w:r>
    </w:p>
    <w:p w14:paraId="6DA54EEC" w14:textId="77777777">
      <w:pPr>
        <w:pStyle w:val="Lista"/>
      </w:pPr>
      <w:r>
        <w:t xml:space="preserve">when these attributes are not present, </w:t>
      </w:r>
      <w:r>
        <w:rPr>
          <w:rStyle w:val="Code"/>
        </w:rPr>
        <w:t>&lt;space/&gt;</w:t>
      </w:r>
      <w:r>
        <w:t xml:space="preserve"> is by default understood to represent a “normal” space such as that found between two words, which usually has a breadth no larger than two average characters</w:t>
      </w:r>
    </w:p>
    <w:p w14:paraId="79D19E34" w14:textId="77777777">
      <w:pPr>
        <w:pStyle w:val="Lista2"/>
      </w:pPr>
      <w:r>
        <w:t>it is therefore not necessary to explicitly encode the size of normal spaces</w:t>
      </w:r>
    </w:p>
    <w:p w14:paraId="79AF3570" w14:textId="77777777">
      <w:pPr>
        <w:pStyle w:val="Cmsor3"/>
      </w:pPr>
      <w:bookmarkStart w:id="486" w:name="_Ref183011230"/>
      <w:bookmarkStart w:id="487" w:name="_Ref227836913"/>
      <w:bookmarkStart w:id="488" w:name="_Ref183012048"/>
      <w:bookmarkStart w:id="489" w:name="_Toc243922658"/>
      <w:r>
        <w:t xml:space="preserve">Spaces </w:t>
      </w:r>
      <w:bookmarkEnd w:id="486"/>
      <w:r>
        <w:t>and their context</w:t>
      </w:r>
      <w:bookmarkEnd w:id="487"/>
      <w:bookmarkEnd w:id="489"/>
    </w:p>
    <w:p w14:paraId="51A1EFF7" w14:textId="77777777">
      <w:pPr>
        <w:pStyle w:val="Lista"/>
        <w:rPr>
          <w:lang w:eastAsia="en-US" w:bidi="ar-SA"/>
        </w:rPr>
      </w:pPr>
      <w:r>
        <w:t xml:space="preserve">the element </w:t>
      </w:r>
      <w:r>
        <w:rPr>
          <w:rStyle w:val="Code"/>
        </w:rPr>
        <w:t>&lt;space/&gt;</w:t>
      </w:r>
      <w:r>
        <w:t xml:space="preserve"> should normally be separated from surrounding text by editorial spaces in your file, except:</w:t>
      </w:r>
    </w:p>
    <w:p w14:paraId="4C7FAE52" w14:textId="2017BC81">
      <w:pPr>
        <w:pStyle w:val="Lista2"/>
        <w:rPr>
          <w:lang w:eastAsia="en-US" w:bidi="ar-SA"/>
        </w:rPr>
      </w:pPr>
      <w:r>
        <w:lastRenderedPageBreak/>
        <w:t xml:space="preserve">if a </w:t>
      </w:r>
      <w:r>
        <w:rPr>
          <w:rStyle w:val="Code"/>
        </w:rPr>
        <w:t>&lt;space/&gt;</w:t>
      </w:r>
      <w:r>
        <w:t xml:space="preserve"> occurs within a word of the text, no spaces must be added around the element; see §</w:t>
      </w:r>
      <w:r>
        <w:fldChar w:fldCharType="begin"/>
      </w:r>
      <w:r>
        <w:instrText xml:space="preserve"> REF _Ref43984944 \w \h  \* MERGEFORMAT </w:instrText>
      </w:r>
      <w:r>
        <w:fldChar w:fldCharType="separate"/>
      </w:r>
      <w:r>
        <w:t>7.8.1</w:t>
      </w:r>
      <w:r>
        <w:fldChar w:fldCharType="end"/>
      </w:r>
      <w:r>
        <w:t xml:space="preserve"> for more details.</w:t>
      </w:r>
    </w:p>
    <w:p w14:paraId="594F6697" w14:textId="77777777">
      <w:pPr>
        <w:pStyle w:val="Lista3"/>
        <w:rPr>
          <w:lang w:eastAsia="en-US" w:bidi="ar-SA"/>
        </w:rPr>
      </w:pPr>
      <w:r>
        <w:rPr>
          <w:lang w:eastAsia="en-US" w:bidi="ar-SA"/>
        </w:rPr>
        <w:t>there is no explicit encoding for the fact that a space interrupts a word</w:t>
      </w:r>
    </w:p>
    <w:p w14:paraId="561F90C9" w14:textId="77777777">
      <w:pPr>
        <w:pStyle w:val="Lista2"/>
        <w:rPr>
          <w:lang w:eastAsia="en-US" w:bidi="ar-SA"/>
        </w:rPr>
      </w:pPr>
      <w:r>
        <w:t xml:space="preserve">if a </w:t>
      </w:r>
      <w:r>
        <w:rPr>
          <w:rStyle w:val="Code"/>
        </w:rPr>
        <w:t>&lt;space/&gt;</w:t>
      </w:r>
      <w:r>
        <w:t xml:space="preserve"> occurs at the boundary (beginning or end) of a structural container, do not add a space between the containing element’s tag and the </w:t>
      </w:r>
      <w:r>
        <w:rPr>
          <w:rStyle w:val="Code"/>
        </w:rPr>
        <w:t>&lt;space/&gt;</w:t>
      </w:r>
      <w:r>
        <w:t xml:space="preserve"> element</w:t>
      </w:r>
    </w:p>
    <w:p w14:paraId="1402585F" w14:textId="33332117">
      <w:pPr>
        <w:pStyle w:val="Lista"/>
      </w:pPr>
      <w:r>
        <w:t>if a space appears in lieu of punctuation at the boundary of two block-level containers for intrinsic structure (§</w:t>
      </w:r>
      <w:r>
        <w:fldChar w:fldCharType="begin"/>
      </w:r>
      <w:r>
        <w:instrText xml:space="preserve"> REF _Ref43978632 \r \h </w:instrText>
      </w:r>
      <w:r>
        <w:fldChar w:fldCharType="separate"/>
      </w:r>
      <w:r>
        <w:t>3</w:t>
      </w:r>
      <w:r>
        <w:fldChar w:fldCharType="end"/>
      </w:r>
      <w:r>
        <w:t>), allocate it to the end of the earlier container unless you strongly feel that it belongs to the beginning of the latter container</w:t>
      </w:r>
    </w:p>
    <w:p w14:paraId="3904F6D3" w14:textId="77777777">
      <w:pPr>
        <w:pStyle w:val="Lista"/>
      </w:pPr>
      <w:r>
        <w:t xml:space="preserve">as a special case, spaces may appear at an </w:t>
      </w:r>
      <w:r>
        <w:rPr>
          <w:rStyle w:val="Foreign"/>
        </w:rPr>
        <w:t>akṣara</w:t>
      </w:r>
      <w:r>
        <w:t xml:space="preserve"> boundary next to, but not coincident with, a word boundary (which would fall within the </w:t>
      </w:r>
      <w:r>
        <w:rPr>
          <w:rStyle w:val="Foreign"/>
        </w:rPr>
        <w:t>akṣara</w:t>
      </w:r>
      <w:r>
        <w:t>)</w:t>
      </w:r>
    </w:p>
    <w:p w14:paraId="0E7DCCFB" w14:textId="77777777">
      <w:pPr>
        <w:pStyle w:val="Lista2"/>
      </w:pPr>
      <w:r>
        <w:t>such spaces must always be represented in the transliterated text at their actual location (and thus without editorial spacing)</w:t>
      </w:r>
    </w:p>
    <w:p w14:paraId="0B2D61E0" w14:textId="3D092050">
      <w:pPr>
        <w:pStyle w:val="Lista2"/>
      </w:pPr>
      <w:r>
        <w:t>however, it is recommended that you flag this as non-standard usage and optionally also normalise the text (§</w:t>
      </w:r>
      <w:r>
        <w:fldChar w:fldCharType="begin"/>
      </w:r>
      <w:r>
        <w:instrText xml:space="preserve"> REF _Ref43978565 \r \h </w:instrText>
      </w:r>
      <w:r>
        <w:fldChar w:fldCharType="separate"/>
      </w:r>
      <w:r>
        <w:t>7</w:t>
      </w:r>
      <w:r>
        <w:fldChar w:fldCharType="end"/>
      </w:r>
      <w:r>
        <w:t xml:space="preserve">) by restoring the symbol at the word boundary and changing the sandhi and editorial spacing as applicable, as in </w:t>
      </w:r>
      <w:r>
        <w:fldChar w:fldCharType="begin"/>
      </w:r>
      <w:r>
        <w:instrText xml:space="preserve"> REF _Ref227838262 \h </w:instrText>
      </w:r>
      <w:r>
        <w:fldChar w:fldCharType="separate"/>
      </w:r>
      <w:r>
        <w:t xml:space="preserve">Exhibit </w:t>
      </w:r>
      <w:r>
        <w:rPr>
          <w:noProof/>
        </w:rPr>
        <w:t>5.4</w:t>
      </w:r>
      <w:r>
        <w:t>.</w:t>
      </w:r>
      <w:r>
        <w:rPr>
          <w:noProof/>
        </w:rPr>
        <w:t>E</w:t>
      </w:r>
      <w:r>
        <w:fldChar w:fldCharType="end"/>
      </w:r>
    </w:p>
    <w:p w14:paraId="671073B0" w14:textId="2D55BB7C">
      <w:pPr>
        <w:pStyle w:val="Lista2"/>
      </w:pPr>
      <w:r>
        <w:t>when this happens at the end of a container element such as a verse line, encode the container boundary at its logical place (§</w:t>
      </w:r>
      <w:r>
        <w:fldChar w:fldCharType="begin"/>
      </w:r>
      <w:r>
        <w:instrText xml:space="preserve"> REF _Ref225328264 \r \h </w:instrText>
      </w:r>
      <w:r>
        <w:fldChar w:fldCharType="separate"/>
      </w:r>
      <w:r>
        <w:t>3.2.4.1</w:t>
      </w:r>
      <w:r>
        <w:fldChar w:fldCharType="end"/>
      </w:r>
      <w:r>
        <w:t xml:space="preserve">), disregarding the </w:t>
      </w:r>
      <w:r>
        <w:rPr>
          <w:rStyle w:val="Foreign"/>
        </w:rPr>
        <w:t>akṣara</w:t>
      </w:r>
      <w:r>
        <w:t xml:space="preserve"> boundary and the symbol</w:t>
      </w:r>
    </w:p>
    <w:tbl>
      <w:tblPr>
        <w:tblStyle w:val="CodeSampleTable"/>
        <w:tblW w:w="5000" w:type="pct"/>
        <w:tblLook w:val="04A0" w:firstRow="1" w:lastRow="0" w:firstColumn="1" w:lastColumn="0" w:noHBand="0" w:noVBand="1"/>
      </w:tblPr>
      <w:tblGrid>
        <w:gridCol w:w="9628"/>
      </w:tblGrid>
      <w:tr w14:paraId="2B5245B4"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D33124E" w14:textId="48DDFC80">
            <w:pPr>
              <w:pStyle w:val="Kpalrs"/>
            </w:pPr>
            <w:bookmarkStart w:id="490" w:name="_Ref227838262"/>
            <w:r>
              <w:t xml:space="preserve">Exhibit </w:t>
            </w:r>
            <w:fldSimple w:instr=" STYLEREF 2 \s ">
              <w:r>
                <w:rPr>
                  <w:noProof/>
                </w:rPr>
                <w:t>5.4</w:t>
              </w:r>
            </w:fldSimple>
            <w:r>
              <w:t>.</w:t>
            </w:r>
            <w:fldSimple w:instr=" SEQ Exhibit \* ALPHABETIC \s 2 ">
              <w:r>
                <w:rPr>
                  <w:noProof/>
                </w:rPr>
                <w:t>E</w:t>
              </w:r>
            </w:fldSimple>
            <w:bookmarkEnd w:id="490"/>
            <w:r>
              <w:t xml:space="preserve">: space at </w:t>
            </w:r>
            <w:r>
              <w:rPr>
                <w:rStyle w:val="Foreign"/>
              </w:rPr>
              <w:t>akṣara</w:t>
            </w:r>
            <w:r>
              <w:t xml:space="preserve"> boundary rather than word boundary</w:t>
            </w:r>
          </w:p>
        </w:tc>
      </w:tr>
      <w:tr w14:paraId="75E0F957" w14:textId="77777777">
        <w:tc>
          <w:tcPr>
            <w:tcW w:w="5000" w:type="pct"/>
          </w:tcPr>
          <w:p w14:paraId="0E48DE8A" w14:textId="77777777">
            <w:pPr>
              <w:pStyle w:val="TableNote"/>
              <w:rPr>
                <w:rFonts w:ascii="Consolas" w:hAnsi="Consolas" w:cs="Consolas"/>
                <w:noProof/>
                <w:color w:val="000000" w:themeColor="text1"/>
                <w:shd w:val="clear" w:color="auto" w:fill="F2F2F2" w:themeFill="background1" w:themeFillShade="F2"/>
              </w:rPr>
            </w:pPr>
            <w:r>
              <w:t xml:space="preserve">original: </w:t>
            </w:r>
            <w:r>
              <w:rPr>
                <w:rStyle w:val="Code"/>
              </w:rPr>
              <w:t xml:space="preserve">&lt;l </w:t>
            </w:r>
            <w:r>
              <w:rPr>
                <w:rStyle w:val="Codeattribute"/>
              </w:rPr>
              <w:t>n</w:t>
            </w:r>
            <w:r>
              <w:rPr>
                <w:rStyle w:val="Codetext"/>
              </w:rPr>
              <w:t>=</w:t>
            </w:r>
            <w:r>
              <w:rPr>
                <w:rStyle w:val="Codevalue"/>
              </w:rPr>
              <w:t>"a"</w:t>
            </w:r>
            <w:r>
              <w:rPr>
                <w:rStyle w:val="Code"/>
              </w:rPr>
              <w:t>&gt;</w:t>
            </w:r>
            <w:r>
              <w:rPr>
                <w:rStyle w:val="Codetext"/>
              </w:rPr>
              <w:t>jayatīndrādidevāsya</w:t>
            </w:r>
            <w:r>
              <w:rPr>
                <w:rStyle w:val="Code"/>
              </w:rPr>
              <w:t xml:space="preserve">&lt;space/&gt;ś&lt;/l&gt;&lt;l </w:t>
            </w:r>
            <w:r>
              <w:rPr>
                <w:rStyle w:val="Codeattribute"/>
              </w:rPr>
              <w:t>n</w:t>
            </w:r>
            <w:r>
              <w:rPr>
                <w:rStyle w:val="Codetext"/>
              </w:rPr>
              <w:t>=</w:t>
            </w:r>
            <w:r>
              <w:rPr>
                <w:rStyle w:val="Codevalue"/>
              </w:rPr>
              <w:t>"b"</w:t>
            </w:r>
            <w:r>
              <w:rPr>
                <w:rStyle w:val="Code"/>
              </w:rPr>
              <w:t>&gt;</w:t>
            </w:r>
            <w:r>
              <w:rPr>
                <w:rStyle w:val="Codetext"/>
              </w:rPr>
              <w:t>śrīmān yajñapatīśvaraḥ</w:t>
            </w:r>
            <w:r>
              <w:rPr>
                <w:rStyle w:val="Code"/>
              </w:rPr>
              <w:t>&lt;/l&gt;</w:t>
            </w:r>
          </w:p>
          <w:p w14:paraId="1C8E06F0" w14:textId="77777777">
            <w:pPr>
              <w:pStyle w:val="TableNote"/>
              <w:rPr>
                <w:rFonts w:ascii="Consolas" w:hAnsi="Consolas" w:cs="Consolas"/>
                <w:noProof/>
                <w:color w:val="000000" w:themeColor="text1"/>
                <w:shd w:val="clear" w:color="auto" w:fill="F2F2F2" w:themeFill="background1" w:themeFillShade="F2"/>
              </w:rPr>
            </w:pPr>
            <w:r>
              <w:t xml:space="preserve">flagged: </w:t>
            </w:r>
            <w:r>
              <w:rPr>
                <w:rStyle w:val="Code"/>
              </w:rPr>
              <w:t xml:space="preserve">&lt;l </w:t>
            </w:r>
            <w:r>
              <w:rPr>
                <w:rStyle w:val="Codeattribute"/>
              </w:rPr>
              <w:t>n</w:t>
            </w:r>
            <w:r>
              <w:rPr>
                <w:rStyle w:val="Codetext"/>
              </w:rPr>
              <w:t>=</w:t>
            </w:r>
            <w:r>
              <w:rPr>
                <w:rStyle w:val="Codevalue"/>
              </w:rPr>
              <w:t>"a"</w:t>
            </w:r>
            <w:r>
              <w:rPr>
                <w:rStyle w:val="Code"/>
              </w:rPr>
              <w:t>&gt;</w:t>
            </w:r>
            <w:r>
              <w:rPr>
                <w:rStyle w:val="Codetext"/>
              </w:rPr>
              <w:t>jayatīndrādidevāsya</w:t>
            </w:r>
            <w:r>
              <w:rPr>
                <w:rStyle w:val="Code"/>
              </w:rPr>
              <w:t xml:space="preserve">&lt;orig&gt;&lt;space/&gt;ś&lt;/orig&gt;&lt;/l&gt;&lt;l </w:t>
            </w:r>
            <w:r>
              <w:rPr>
                <w:rStyle w:val="Codeattribute"/>
              </w:rPr>
              <w:t>n</w:t>
            </w:r>
            <w:r>
              <w:rPr>
                <w:rStyle w:val="Codetext"/>
              </w:rPr>
              <w:t>=</w:t>
            </w:r>
            <w:r>
              <w:rPr>
                <w:rStyle w:val="Codevalue"/>
              </w:rPr>
              <w:t>"b"</w:t>
            </w:r>
            <w:r>
              <w:rPr>
                <w:rStyle w:val="Code"/>
              </w:rPr>
              <w:t>&gt;</w:t>
            </w:r>
            <w:r>
              <w:rPr>
                <w:rStyle w:val="Codetext"/>
              </w:rPr>
              <w:t>śrīmān yajñapatīśvaraḥ</w:t>
            </w:r>
            <w:r>
              <w:rPr>
                <w:rStyle w:val="Code"/>
              </w:rPr>
              <w:t>&lt;/l&gt;</w:t>
            </w:r>
          </w:p>
          <w:p w14:paraId="0FACDE83" w14:textId="77777777">
            <w:pPr>
              <w:pStyle w:val="TableNote"/>
              <w:rPr>
                <w:rStyle w:val="Code"/>
              </w:rPr>
            </w:pPr>
            <w:r>
              <w:t xml:space="preserve">normalised: </w:t>
            </w:r>
            <w:r>
              <w:rPr>
                <w:rStyle w:val="Code"/>
              </w:rPr>
              <w:t xml:space="preserve">&lt;l </w:t>
            </w:r>
            <w:r>
              <w:rPr>
                <w:rStyle w:val="Codeattribute"/>
              </w:rPr>
              <w:t>n</w:t>
            </w:r>
            <w:r>
              <w:rPr>
                <w:rStyle w:val="Codetext"/>
              </w:rPr>
              <w:t>=</w:t>
            </w:r>
            <w:r>
              <w:rPr>
                <w:rStyle w:val="Codevalue"/>
              </w:rPr>
              <w:t>"a"</w:t>
            </w:r>
            <w:r>
              <w:rPr>
                <w:rStyle w:val="Code"/>
              </w:rPr>
              <w:t>&gt;</w:t>
            </w:r>
            <w:r>
              <w:rPr>
                <w:rStyle w:val="Codetext"/>
              </w:rPr>
              <w:t>jayatīndrādidevāsya</w:t>
            </w:r>
            <w:r>
              <w:rPr>
                <w:rStyle w:val="Code"/>
              </w:rPr>
              <w:t>&lt;choice&gt;&lt;orig&gt;&lt;space/&gt;ś&lt;/orig&gt;&lt;reg&gt;</w:t>
            </w:r>
            <w:r>
              <w:rPr>
                <w:rStyle w:val="Codetext"/>
              </w:rPr>
              <w:t>ḥ</w:t>
            </w:r>
            <w:r>
              <w:rPr>
                <w:rStyle w:val="Code"/>
              </w:rPr>
              <w:t xml:space="preserve">&lt;space/&gt;&lt;/reg&gt;&lt;/choice&gt;&lt;/l&gt;&lt;l </w:t>
            </w:r>
            <w:r>
              <w:rPr>
                <w:rStyle w:val="Codeattribute"/>
              </w:rPr>
              <w:t>n</w:t>
            </w:r>
            <w:r>
              <w:rPr>
                <w:rStyle w:val="Codetext"/>
              </w:rPr>
              <w:t>=</w:t>
            </w:r>
            <w:r>
              <w:rPr>
                <w:rStyle w:val="Codevalue"/>
              </w:rPr>
              <w:t>"b"</w:t>
            </w:r>
            <w:r>
              <w:rPr>
                <w:rStyle w:val="Code"/>
              </w:rPr>
              <w:t>&gt;</w:t>
            </w:r>
            <w:r>
              <w:rPr>
                <w:rStyle w:val="Codetext"/>
              </w:rPr>
              <w:t>śrīmān yajñapatīśvaraḥ</w:t>
            </w:r>
            <w:r>
              <w:rPr>
                <w:rStyle w:val="Code"/>
              </w:rPr>
              <w:t>&lt;/l&gt;</w:t>
            </w:r>
          </w:p>
        </w:tc>
      </w:tr>
      <w:tr w14:paraId="3B30B6D0" w14:textId="77777777">
        <w:tc>
          <w:tcPr>
            <w:tcW w:w="5000" w:type="pct"/>
          </w:tcPr>
          <w:p w14:paraId="52CA6FD2" w14:textId="77777777">
            <w:pPr>
              <w:pStyle w:val="TableNote"/>
            </w:pPr>
            <w:r>
              <w:t xml:space="preserve">the space belonging at the end of the word </w:t>
            </w:r>
            <w:r>
              <w:rPr>
                <w:rStyle w:val="Foreign"/>
              </w:rPr>
              <w:t xml:space="preserve">°āsyaḥ </w:t>
            </w:r>
            <w:r>
              <w:t xml:space="preserve">is placed after </w:t>
            </w:r>
            <w:r>
              <w:rPr>
                <w:rStyle w:val="Foreign"/>
              </w:rPr>
              <w:t>sya</w:t>
            </w:r>
            <w:r>
              <w:t xml:space="preserve">, because the end of this word has been merged in sandhi into conjunct </w:t>
            </w:r>
            <w:r>
              <w:rPr>
                <w:noProof/>
              </w:rPr>
              <w:t>(</w:t>
            </w:r>
            <w:r>
              <w:rPr>
                <w:rStyle w:val="Foreign"/>
              </w:rPr>
              <w:t>śśrī</w:t>
            </w:r>
            <w:r>
              <w:t>) with the beginning of the next word</w:t>
            </w:r>
          </w:p>
        </w:tc>
      </w:tr>
    </w:tbl>
    <w:p w14:paraId="3A782EFB" w14:textId="77777777">
      <w:pPr>
        <w:pStyle w:val="Cmsor2"/>
      </w:pPr>
      <w:bookmarkStart w:id="491" w:name="_Ref228799393"/>
      <w:bookmarkStart w:id="492" w:name="_Toc243922659"/>
      <w:r>
        <w:t>Premodern scribal intervention</w:t>
      </w:r>
      <w:bookmarkEnd w:id="481"/>
      <w:bookmarkEnd w:id="484"/>
      <w:bookmarkEnd w:id="488"/>
      <w:bookmarkEnd w:id="491"/>
      <w:bookmarkEnd w:id="492"/>
    </w:p>
    <w:p w14:paraId="2FAF2D19" w14:textId="2644080E">
      <w:r>
        <w:t>The word ‘scribe’ refers in this Guide to any person who has made a purposeful and meaningful contribution to a written document before it became an object of modern study. Scribal intervention thus means a purposeful and meaningful change effected in an already written text, often by the original scribe and at or near the time of the original engraving, but in some cases by a different person and/or at a much later time. Scribal intervention is usually constructive (as in addition, discussed in §</w:t>
      </w:r>
      <w:r>
        <w:fldChar w:fldCharType="begin"/>
      </w:r>
      <w:r>
        <w:instrText xml:space="preserve"> REF _Ref43978471 \r \h </w:instrText>
      </w:r>
      <w:r>
        <w:fldChar w:fldCharType="separate"/>
      </w:r>
      <w:r>
        <w:t>5.5.2</w:t>
      </w:r>
      <w:r>
        <w:fldChar w:fldCharType="end"/>
      </w:r>
      <w:r>
        <w:t xml:space="preserve"> and correction, §</w:t>
      </w:r>
      <w:r>
        <w:fldChar w:fldCharType="begin"/>
      </w:r>
      <w:r>
        <w:instrText xml:space="preserve"> REF _Ref74727538 \r \h </w:instrText>
      </w:r>
      <w:r>
        <w:fldChar w:fldCharType="separate"/>
      </w:r>
      <w:r>
        <w:t>5.5.3</w:t>
      </w:r>
      <w:r>
        <w:fldChar w:fldCharType="end"/>
      </w:r>
      <w:r>
        <w:t>), but it may also be destructive in a deliberate and targeted manner (deletion, §</w:t>
      </w:r>
      <w:r>
        <w:fldChar w:fldCharType="begin"/>
      </w:r>
      <w:r>
        <w:instrText xml:space="preserve"> REF _Ref43985171 \r \h </w:instrText>
      </w:r>
      <w:r>
        <w:fldChar w:fldCharType="separate"/>
      </w:r>
      <w:r>
        <w:t>5.5.1</w:t>
      </w:r>
      <w:r>
        <w:fldChar w:fldCharType="end"/>
      </w:r>
      <w:r>
        <w:t>). Scribal intervention does not include the purposeful or accidental effacement of an entire inscription or random parts thereof, nor the engraving of a palimpsest over a pre-existing inscription.</w:t>
      </w:r>
    </w:p>
    <w:p w14:paraId="6E61F0B8" w14:textId="77777777">
      <w:pPr>
        <w:pStyle w:val="Cmsor3"/>
      </w:pPr>
      <w:bookmarkStart w:id="493" w:name="_an1iq23tb1j" w:colFirst="0" w:colLast="0"/>
      <w:bookmarkStart w:id="494" w:name="_Ref43985171"/>
      <w:bookmarkStart w:id="495" w:name="_Toc243922660"/>
      <w:bookmarkEnd w:id="493"/>
      <w:r>
        <w:t>Scribal deletion</w:t>
      </w:r>
      <w:bookmarkEnd w:id="494"/>
      <w:bookmarkEnd w:id="495"/>
    </w:p>
    <w:p w14:paraId="3E5CBE7A" w14:textId="594429C4">
      <w:r>
        <w:rPr>
          <w:lang w:eastAsia="en-US" w:bidi="ar-SA"/>
        </w:rPr>
        <w:t xml:space="preserve">Scribal deletion is the deliberate cancellation of one or more graphemes in a pre-written text by a scribe. Deletion is usually of an editorial nature, affecting parts of the text that were incorrectly or needlessly written. Deletion also </w:t>
      </w:r>
      <w:r>
        <w:t xml:space="preserve">includes the targeted removal of circumscribed sections of an inscription </w:t>
      </w:r>
      <w:r>
        <w:rPr>
          <w:noProof/>
        </w:rPr>
        <w:t>(</w:t>
      </w:r>
      <w:r>
        <w:t>e.g. of names). Deletion accompanied by a corrective or restitutive addition is correction, treated in §</w:t>
      </w:r>
      <w:r>
        <w:fldChar w:fldCharType="begin"/>
      </w:r>
      <w:r>
        <w:instrText xml:space="preserve"> REF _Ref74727538 \r \h </w:instrText>
      </w:r>
      <w:r>
        <w:fldChar w:fldCharType="separate"/>
      </w:r>
      <w:r>
        <w:t>5.5.3</w:t>
      </w:r>
      <w:r>
        <w:fldChar w:fldCharType="end"/>
      </w:r>
      <w:r>
        <w:t xml:space="preserve">. </w:t>
      </w:r>
      <w:r>
        <w:rPr>
          <w:lang w:eastAsia="en-US" w:bidi="ar-SA"/>
        </w:rPr>
        <w:t xml:space="preserve">Damage to the support is to be handled according to </w:t>
      </w:r>
      <w:r>
        <w:t>§</w:t>
      </w:r>
      <w:r>
        <w:fldChar w:fldCharType="begin"/>
      </w:r>
      <w:r>
        <w:instrText xml:space="preserve"> REF _Ref231895504 \r \h </w:instrText>
      </w:r>
      <w:r>
        <w:fldChar w:fldCharType="separate"/>
      </w:r>
      <w:r>
        <w:t>6</w:t>
      </w:r>
      <w:r>
        <w:fldChar w:fldCharType="end"/>
      </w:r>
      <w:r>
        <w:t>, while space left blank in an inscription is discussed in §</w:t>
      </w:r>
      <w:r>
        <w:fldChar w:fldCharType="begin"/>
      </w:r>
      <w:r>
        <w:instrText xml:space="preserve"> REF _Ref183075544 \r \h </w:instrText>
      </w:r>
      <w:r>
        <w:fldChar w:fldCharType="separate"/>
      </w:r>
      <w:r>
        <w:t>5.3.5</w:t>
      </w:r>
      <w:r>
        <w:fldChar w:fldCharType="end"/>
      </w:r>
      <w:r>
        <w:t>. When it is doubtful whether purposeful deletion has taken place, choose the encoding for the phenomenon you deem most likely, and discuss the matter in your annotation.</w:t>
      </w:r>
    </w:p>
    <w:p w14:paraId="07041D13" w14:textId="77777777">
      <w:pPr>
        <w:pStyle w:val="Lista"/>
      </w:pPr>
      <w:r>
        <w:t xml:space="preserve">graphemes that were deleted in premodern time are to be wrapped in the element </w:t>
      </w:r>
      <w:r>
        <w:rPr>
          <w:rStyle w:val="Code"/>
        </w:rPr>
        <w:t>&lt;del&gt;</w:t>
      </w:r>
      <w:r>
        <w:t>, with the following attribute</w:t>
      </w:r>
    </w:p>
    <w:p w14:paraId="43DC11B5" w14:textId="4119B5D6">
      <w:pPr>
        <w:pStyle w:val="Lista2"/>
      </w:pPr>
      <w:r>
        <w:t xml:space="preserve">as applicable, </w:t>
      </w:r>
      <w:r>
        <w:rPr>
          <w:rStyle w:val="Codeattribute"/>
        </w:rPr>
        <w:t>@rend</w:t>
      </w:r>
      <w:r>
        <w:t xml:space="preserve"> for the manner of deletion as per §</w:t>
      </w:r>
      <w:r>
        <w:fldChar w:fldCharType="begin"/>
      </w:r>
      <w:r>
        <w:instrText xml:space="preserve"> REF _Ref227846179 \r \h </w:instrText>
      </w:r>
      <w:r>
        <w:fldChar w:fldCharType="separate"/>
      </w:r>
      <w:r>
        <w:t>5.5.1.1</w:t>
      </w:r>
      <w:r>
        <w:fldChar w:fldCharType="end"/>
      </w:r>
    </w:p>
    <w:p w14:paraId="6CA0223F" w14:textId="77777777">
      <w:pPr>
        <w:pStyle w:val="Lista"/>
      </w:pPr>
      <w:r>
        <w:t>this element must always contain text or markup equivalent to text</w:t>
      </w:r>
    </w:p>
    <w:p w14:paraId="564EAE64" w14:textId="4796E844">
      <w:pPr>
        <w:pStyle w:val="Lista2"/>
      </w:pPr>
      <w:r>
        <w:lastRenderedPageBreak/>
        <w:t>if the vestiges of the deleted text cannot be read with confidence, use the applicable markup (§</w:t>
      </w:r>
      <w:r>
        <w:fldChar w:fldCharType="begin"/>
      </w:r>
      <w:r>
        <w:instrText xml:space="preserve"> REF _Ref43987867 \r \h </w:instrText>
      </w:r>
      <w:r>
        <w:fldChar w:fldCharType="separate"/>
      </w:r>
      <w:r>
        <w:t>6.3.1.3</w:t>
      </w:r>
      <w:r>
        <w:fldChar w:fldCharType="end"/>
      </w:r>
      <w:r>
        <w:t xml:space="preserve">) within the </w:t>
      </w:r>
      <w:r>
        <w:rPr>
          <w:rStyle w:val="Code"/>
        </w:rPr>
        <w:t>&lt;del&gt;</w:t>
      </w:r>
      <w:r>
        <w:t xml:space="preserve"> element</w:t>
      </w:r>
    </w:p>
    <w:p w14:paraId="23851490" w14:textId="16D15860">
      <w:pPr>
        <w:pStyle w:val="Lista3"/>
        <w:rPr>
          <w:rStyle w:val="Code"/>
          <w:rFonts w:ascii="Gentium Plus" w:hAnsi="Gentium Plus" w:cs="Arial Unicode MS"/>
          <w:noProof w:val="0"/>
          <w:color w:val="auto"/>
          <w:shd w:val="clear" w:color="auto" w:fill="auto"/>
        </w:rPr>
      </w:pPr>
      <w:r>
        <w:t>text that has been rendered illegible by deletion must be marked up as a lacuna (§</w:t>
      </w:r>
      <w:r>
        <w:fldChar w:fldCharType="begin"/>
      </w:r>
      <w:r>
        <w:instrText xml:space="preserve"> REF _Ref228460110 \r \h </w:instrText>
      </w:r>
      <w:r>
        <w:fldChar w:fldCharType="separate"/>
      </w:r>
      <w:r>
        <w:t>6.5</w:t>
      </w:r>
      <w:r>
        <w:fldChar w:fldCharType="end"/>
      </w:r>
      <w:r>
        <w:t xml:space="preserve">) within the deletion, e.g. </w:t>
      </w:r>
      <w:r>
        <w:rPr>
          <w:rStyle w:val="Code"/>
        </w:rPr>
        <w:t xml:space="preserve">&lt;del&gt;&lt;gap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"character"</w:t>
      </w:r>
      <w:r>
        <w:rPr>
          <w:rStyle w:val="Code"/>
        </w:rPr>
        <w:t>/&gt;&lt;/del&gt;</w:t>
      </w:r>
    </w:p>
    <w:p w14:paraId="437290CF" w14:textId="77777777">
      <w:pPr>
        <w:pStyle w:val="Cmsor4"/>
      </w:pPr>
      <w:bookmarkStart w:id="496" w:name="_Ref227846179"/>
      <w:r>
        <w:t>Encoding the manner of deletion</w:t>
      </w:r>
      <w:bookmarkEnd w:id="496"/>
    </w:p>
    <w:p w14:paraId="1D2A2D64" w14:textId="5FA2B23E">
      <w:r>
        <w:t xml:space="preserve">In DHARMA usage, the </w:t>
      </w:r>
      <w:r>
        <w:rPr>
          <w:rStyle w:val="Code"/>
        </w:rPr>
        <w:t>&lt;del&gt;</w:t>
      </w:r>
      <w:r>
        <w:t xml:space="preserve"> element will by default be understood to represent text rendered illegible through erasure by means such as chiselling the stone, hammering the copper flat, or rubbing the surface smooth. Deletion by erasure needs no additional encoding. In some inscriptions, scribal cancellation marks are employed instead of, or in addition to, erasure. In both of these cases, encode the presence of such marks by adding the </w:t>
      </w:r>
      <w:r>
        <w:rPr>
          <w:noProof/>
        </w:rPr>
        <w:t>attribute</w:t>
      </w:r>
      <w:r>
        <w:t xml:space="preserve"> </w:t>
      </w:r>
      <w:r>
        <w:rPr>
          <w:rStyle w:val="Codeattribute"/>
        </w:rPr>
        <w:t>@rend</w:t>
      </w:r>
      <w:r>
        <w:t xml:space="preserve"> to the </w:t>
      </w:r>
      <w:r>
        <w:rPr>
          <w:rStyle w:val="Code"/>
        </w:rPr>
        <w:t>&lt;del&gt;</w:t>
      </w:r>
      <w:r>
        <w:t xml:space="preserve"> element, as in </w:t>
      </w:r>
      <w:r>
        <w:fldChar w:fldCharType="begin"/>
      </w:r>
      <w:r>
        <w:instrText xml:space="preserve"> REF _Ref183076770 \h </w:instrText>
      </w:r>
      <w:r>
        <w:fldChar w:fldCharType="separate"/>
      </w:r>
      <w:r>
        <w:t xml:space="preserve">Exhibit </w:t>
      </w:r>
      <w:r>
        <w:rPr>
          <w:noProof/>
        </w:rPr>
        <w:t>5.5</w:t>
      </w:r>
      <w:r>
        <w:t>.</w:t>
      </w:r>
      <w:r>
        <w:rPr>
          <w:noProof/>
        </w:rPr>
        <w:t>A</w:t>
      </w:r>
      <w:r>
        <w:fldChar w:fldCharType="end"/>
      </w:r>
      <w:r>
        <w:t>.</w:t>
      </w:r>
    </w:p>
    <w:p w14:paraId="761C2726" w14:textId="77777777">
      <w:pPr>
        <w:pStyle w:val="Lista"/>
      </w:pPr>
      <w:r>
        <w:t xml:space="preserve">the following values are permitted for </w:t>
      </w:r>
      <w:r>
        <w:rPr>
          <w:rStyle w:val="Codeattribute"/>
        </w:rPr>
        <w:t>@rend</w:t>
      </w:r>
      <w:r>
        <w:t xml:space="preserve"> with </w:t>
      </w:r>
      <w:r>
        <w:rPr>
          <w:rStyle w:val="Code"/>
        </w:rPr>
        <w:t>&lt;del&gt;</w:t>
      </w:r>
      <w:r>
        <w:t>:</w:t>
      </w:r>
    </w:p>
    <w:p w14:paraId="3116C422" w14:textId="77777777">
      <w:pPr>
        <w:pStyle w:val="Lista2"/>
      </w:pPr>
      <w:r>
        <w:rPr>
          <w:rStyle w:val="Codevalue"/>
        </w:rPr>
        <w:t>"strikeout"</w:t>
      </w:r>
      <w:r>
        <w:t xml:space="preserve"> for text struck through or cross-hatched</w:t>
      </w:r>
    </w:p>
    <w:p w14:paraId="516F1269" w14:textId="77777777">
      <w:pPr>
        <w:pStyle w:val="Lista2"/>
      </w:pPr>
      <w:r>
        <w:rPr>
          <w:rStyle w:val="Codevalue"/>
        </w:rPr>
        <w:t>"ui"</w:t>
      </w:r>
      <w:r>
        <w:t xml:space="preserve"> for the combined application of vowel markers </w:t>
      </w:r>
      <w:r>
        <w:rPr>
          <w:rStyle w:val="Foreign"/>
        </w:rPr>
        <w:t>u</w:t>
      </w:r>
      <w:r>
        <w:t xml:space="preserve"> and </w:t>
      </w:r>
      <w:r>
        <w:rPr>
          <w:rStyle w:val="Foreign"/>
        </w:rPr>
        <w:t>i</w:t>
      </w:r>
      <w:r>
        <w:t xml:space="preserve"> to glyphs to be deleted</w:t>
      </w:r>
    </w:p>
    <w:p w14:paraId="2D22199E" w14:textId="77777777">
      <w:pPr>
        <w:pStyle w:val="Lista2"/>
      </w:pPr>
      <w:r>
        <w:rPr>
          <w:rStyle w:val="Codevalue"/>
        </w:rPr>
        <w:t>"other"</w:t>
      </w:r>
      <w:r>
        <w:t xml:space="preserve"> for any deletion marker other than those listed above </w:t>
      </w:r>
    </w:p>
    <w:p w14:paraId="103D8337" w14:textId="3FEFFD13">
      <w:pPr>
        <w:pStyle w:val="Lista2"/>
      </w:pPr>
      <w:r>
        <w:rPr>
          <w:rStyle w:val="Codevalue"/>
        </w:rPr>
        <w:t>"corrected"</w:t>
      </w:r>
      <w:r>
        <w:t xml:space="preserve"> when neither erasure nor a cancellation mark is present, and deletion is implied by the presence of a correction written over the earlier text (to be encoded as per §</w:t>
      </w:r>
      <w:r>
        <w:fldChar w:fldCharType="begin"/>
      </w:r>
      <w:r>
        <w:instrText xml:space="preserve"> REF _Ref74727538 \r \h </w:instrText>
      </w:r>
      <w:r>
        <w:fldChar w:fldCharType="separate"/>
      </w:r>
      <w:r>
        <w:t>5.5.3</w:t>
      </w:r>
      <w:r>
        <w:fldChar w:fldCharType="end"/>
      </w:r>
      <w:r>
        <w:t>)</w:t>
      </w:r>
    </w:p>
    <w:p w14:paraId="22DF8D07" w14:textId="77777777">
      <w:pPr>
        <w:pStyle w:val="Lista"/>
      </w:pPr>
      <w:r>
        <w:t>further details about the form and placement of deletion marks used in your inscription may be annotated</w:t>
      </w:r>
    </w:p>
    <w:tbl>
      <w:tblPr>
        <w:tblStyle w:val="CodeSampleTable"/>
        <w:tblW w:w="5000" w:type="pct"/>
        <w:tblLook w:val="04A0" w:firstRow="1" w:lastRow="0" w:firstColumn="1" w:lastColumn="0" w:noHBand="0" w:noVBand="1"/>
      </w:tblPr>
      <w:tblGrid>
        <w:gridCol w:w="5665"/>
        <w:gridCol w:w="3963"/>
      </w:tblGrid>
      <w:tr w14:paraId="1E274D12"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75321A49" w14:textId="2C8121BC">
            <w:pPr>
              <w:pStyle w:val="Kpalrs"/>
            </w:pPr>
            <w:bookmarkStart w:id="497" w:name="_Ref183076770"/>
            <w:r>
              <w:t xml:space="preserve">Exhibit </w:t>
            </w:r>
            <w:fldSimple w:instr=" STYLEREF 2 \s ">
              <w:r>
                <w:rPr>
                  <w:noProof/>
                </w:rPr>
                <w:t>5.5</w:t>
              </w:r>
            </w:fldSimple>
            <w:r>
              <w:t>.</w:t>
            </w:r>
            <w:fldSimple w:instr=" SEQ Exhibit \* ALPHABETIC \s 2 ">
              <w:r>
                <w:rPr>
                  <w:noProof/>
                </w:rPr>
                <w:t>A</w:t>
              </w:r>
            </w:fldSimple>
            <w:bookmarkEnd w:id="497"/>
            <w:r>
              <w:t>: premodern deletion with editorial marks</w:t>
            </w:r>
          </w:p>
        </w:tc>
      </w:tr>
      <w:tr w14:paraId="5FF3FA65" w14:textId="77777777">
        <w:tc>
          <w:tcPr>
            <w:tcW w:w="2942" w:type="pct"/>
          </w:tcPr>
          <w:p w14:paraId="64C46A67" w14:textId="77777777">
            <w:pPr>
              <w:pStyle w:val="TableNote"/>
            </w:pPr>
            <w:r>
              <w:t xml:space="preserve">the inscribed text </w:t>
            </w:r>
            <w:r>
              <w:rPr>
                <w:rStyle w:val="Foreign"/>
              </w:rPr>
              <w:t>naiḥ mas· su</w:t>
            </w:r>
            <w:r>
              <w:t xml:space="preserve"> has been marked for cancellation</w:t>
            </w:r>
          </w:p>
        </w:tc>
        <w:tc>
          <w:tcPr>
            <w:tcW w:w="2058" w:type="pct"/>
          </w:tcPr>
          <w:p w14:paraId="5E32DA77" w14:textId="77777777">
            <w:pPr>
              <w:pStyle w:val="Image"/>
            </w:pPr>
            <w:r>
              <w:drawing>
                <wp:inline distT="0" distB="0" distL="0" distR="0" wp14:anchorId="6F803F34" wp14:editId="26058F60">
                  <wp:extent cx="2329200" cy="720000"/>
                  <wp:effectExtent l="0" t="0" r="0" b="4445"/>
                  <wp:docPr id="40" name="Kép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329200" cy="720000"/>
                          </a:xfrm>
                          <a:prstGeom prst="rect">
                            <a:avLst/>
                          </a:prstGeom>
                          <a:noFill/>
                          <a:ln>
                            <a:noFill/>
                          </a:ln>
                        </pic:spPr>
                      </pic:pic>
                    </a:graphicData>
                  </a:graphic>
                </wp:inline>
              </w:drawing>
            </w:r>
          </w:p>
        </w:tc>
      </w:tr>
      <w:tr w14:paraId="18E05D0E" w14:textId="77777777">
        <w:tc>
          <w:tcPr>
            <w:tcW w:w="5000" w:type="pct"/>
            <w:gridSpan w:val="2"/>
          </w:tcPr>
          <w:p w14:paraId="2DD9D580" w14:textId="77777777">
            <w:pPr>
              <w:pStyle w:val="CodeParagraph"/>
              <w:rPr>
                <w:rStyle w:val="Code"/>
              </w:rPr>
            </w:pPr>
            <w:r>
              <w:rPr>
                <w:rStyle w:val="Code"/>
              </w:rPr>
              <w:t xml:space="preserve">&lt;del </w:t>
            </w:r>
            <w:r>
              <w:rPr>
                <w:rStyle w:val="Codeattribute"/>
              </w:rPr>
              <w:t>rend</w:t>
            </w:r>
            <w:r>
              <w:rPr>
                <w:rStyle w:val="Codetext"/>
              </w:rPr>
              <w:t>=</w:t>
            </w:r>
            <w:r>
              <w:rPr>
                <w:rStyle w:val="Codevalue"/>
              </w:rPr>
              <w:t>"other"</w:t>
            </w:r>
            <w:r>
              <w:rPr>
                <w:rStyle w:val="Code"/>
              </w:rPr>
              <w:t>&gt;</w:t>
            </w:r>
            <w:r>
              <w:rPr>
                <w:rStyle w:val="Codetext"/>
              </w:rPr>
              <w:t>naiḥ mas· su</w:t>
            </w:r>
            <w:r>
              <w:rPr>
                <w:rStyle w:val="Code"/>
              </w:rPr>
              <w:t>&lt;/del&gt;</w:t>
            </w:r>
            <w:r>
              <w:rPr>
                <w:rStyle w:val="Codetext"/>
              </w:rPr>
              <w:t xml:space="preserve"> vḍihan·</w:t>
            </w:r>
          </w:p>
        </w:tc>
      </w:tr>
    </w:tbl>
    <w:p w14:paraId="725E957C" w14:textId="77777777">
      <w:pPr>
        <w:pStyle w:val="Cmsor3"/>
      </w:pPr>
      <w:bookmarkStart w:id="498" w:name="_dvngk7b8udu7" w:colFirst="0" w:colLast="0"/>
      <w:bookmarkStart w:id="499" w:name="_Ref43978471"/>
      <w:bookmarkStart w:id="500" w:name="_Ref227850832"/>
      <w:bookmarkStart w:id="501" w:name="_Toc243922661"/>
      <w:bookmarkEnd w:id="498"/>
      <w:r>
        <w:t xml:space="preserve">Scribal </w:t>
      </w:r>
      <w:bookmarkEnd w:id="499"/>
      <w:r>
        <w:t>addition</w:t>
      </w:r>
      <w:bookmarkEnd w:id="500"/>
      <w:bookmarkEnd w:id="501"/>
    </w:p>
    <w:p w14:paraId="3199A71D" w14:textId="4164FE2A">
      <w:r>
        <w:t>Scribal addition is the insertion of one or more graphemes into a pre-written text by a scribe. Addition is usually of an editorial nature, restoring parts of the text that were erroneously omitted. Addition for the correction of deleted text is correction, treated in §</w:t>
      </w:r>
      <w:r>
        <w:fldChar w:fldCharType="begin"/>
      </w:r>
      <w:r>
        <w:instrText xml:space="preserve"> REF _Ref74727538 \r \h </w:instrText>
      </w:r>
      <w:r>
        <w:fldChar w:fldCharType="separate"/>
      </w:r>
      <w:r>
        <w:t>5.5.3</w:t>
      </w:r>
      <w:r>
        <w:fldChar w:fldCharType="end"/>
      </w:r>
      <w:r>
        <w:t>. Additions supplementing a previously written text with content that was presumably not originally intended at the time of its writing, such as an additional clause appended to an inscription, are generally to be treated as organic parts of the document and not as scribal additions. However, small supplementary items written in interlinear or marginal space may be treated as additions at your discretion. Additions written in space originally left blank with the purpose of filling later (§</w:t>
      </w:r>
      <w:r>
        <w:fldChar w:fldCharType="begin"/>
      </w:r>
      <w:r>
        <w:instrText xml:space="preserve"> REF _Ref227847574 \r \h </w:instrText>
      </w:r>
      <w:r>
        <w:fldChar w:fldCharType="separate"/>
      </w:r>
      <w:r>
        <w:t>5.4.2.1</w:t>
      </w:r>
      <w:r>
        <w:fldChar w:fldCharType="end"/>
      </w:r>
      <w:r>
        <w:t>) can and should be encoded as scribal addition if you are certain that this is what happened.</w:t>
      </w:r>
    </w:p>
    <w:p w14:paraId="6EACE11E" w14:textId="77777777">
      <w:pPr>
        <w:pStyle w:val="Lista"/>
      </w:pPr>
      <w:r>
        <w:t>in the digital edition, text added by the scribe must be placed at its logical location (where it was meant to be read), regardless of its physical location in the original</w:t>
      </w:r>
    </w:p>
    <w:p w14:paraId="79453714" w14:textId="77777777">
      <w:pPr>
        <w:pStyle w:val="Lista2"/>
      </w:pPr>
      <w:r>
        <w:t>in this subsection, we refer to an addition’s logical location as its locus, and its physical location as its place</w:t>
      </w:r>
    </w:p>
    <w:p w14:paraId="6F5EEBC8" w14:textId="77777777">
      <w:pPr>
        <w:pStyle w:val="Lista2"/>
      </w:pPr>
      <w:r>
        <w:t>if you cannot confidently determine the intended locus of a piece of interpolated or marginal text, choose one of the following options at your discretion:</w:t>
      </w:r>
    </w:p>
    <w:p w14:paraId="278838B1" w14:textId="77777777">
      <w:pPr>
        <w:pStyle w:val="Lista3"/>
      </w:pPr>
      <w:r>
        <w:t>put the added text at its most likely locus and describe the situation in your annotation</w:t>
      </w:r>
    </w:p>
    <w:p w14:paraId="2FF39A78" w14:textId="77777777">
      <w:pPr>
        <w:pStyle w:val="Lista3"/>
      </w:pPr>
      <w:r>
        <w:t>put the added text at a plausible structural point near to its place, such as the beginning or end of a line, page, semantic unit or the entire inscription and describe the situation in your annotation</w:t>
      </w:r>
    </w:p>
    <w:p w14:paraId="2F79C1F7" w14:textId="30DEC091">
      <w:pPr>
        <w:pStyle w:val="Lista3"/>
      </w:pPr>
      <w:r>
        <w:t xml:space="preserve">encode the added text at or near its place as an additional line of the principal text </w:t>
      </w:r>
      <w:r>
        <w:rPr>
          <w:noProof/>
        </w:rPr>
        <w:t>(</w:t>
      </w:r>
      <w:r>
        <w:t>§</w:t>
      </w:r>
      <w:r>
        <w:fldChar w:fldCharType="begin"/>
      </w:r>
      <w:r>
        <w:instrText xml:space="preserve"> REF _Ref182233273 \r \h </w:instrText>
      </w:r>
      <w:r>
        <w:fldChar w:fldCharType="separate"/>
      </w:r>
      <w:r>
        <w:t>4.7.1.2</w:t>
      </w:r>
      <w:r>
        <w:fldChar w:fldCharType="end"/>
      </w:r>
      <w:r>
        <w:t>)</w:t>
      </w:r>
    </w:p>
    <w:p w14:paraId="6D12E86F" w14:textId="2B0820BB">
      <w:pPr>
        <w:pStyle w:val="Lista3"/>
      </w:pPr>
      <w:r>
        <w:t>for longer additions that do not obviously integrate into the semantic structure of the principal text, especially when consisting of multiple lines, you may opt to create a separate textpart division (§</w:t>
      </w:r>
      <w:r>
        <w:fldChar w:fldCharType="begin"/>
      </w:r>
      <w:r>
        <w:instrText xml:space="preserve"> REF _Ref225778181 \r \h </w:instrText>
      </w:r>
      <w:r>
        <w:fldChar w:fldCharType="separate"/>
      </w:r>
      <w:r>
        <w:t>4.2</w:t>
      </w:r>
      <w:r>
        <w:fldChar w:fldCharType="end"/>
      </w:r>
      <w:r>
        <w:t>)</w:t>
      </w:r>
    </w:p>
    <w:p w14:paraId="096BE403" w14:textId="77777777">
      <w:pPr>
        <w:pStyle w:val="Lista"/>
      </w:pPr>
      <w:r>
        <w:lastRenderedPageBreak/>
        <w:t xml:space="preserve">graphemes that were added in premodern time are to be wrapped in the element </w:t>
      </w:r>
      <w:r>
        <w:rPr>
          <w:rStyle w:val="Code"/>
        </w:rPr>
        <w:t>&lt;add&gt;</w:t>
      </w:r>
      <w:r>
        <w:t>, with the following attributes</w:t>
      </w:r>
    </w:p>
    <w:p w14:paraId="0B16F9F8" w14:textId="30A63D0E">
      <w:pPr>
        <w:pStyle w:val="Lista2"/>
      </w:pPr>
      <w:r>
        <w:t xml:space="preserve">mandatorily, </w:t>
      </w:r>
      <w:r>
        <w:rPr>
          <w:rStyle w:val="Codeattribute"/>
        </w:rPr>
        <w:t>@place</w:t>
      </w:r>
      <w:r>
        <w:t xml:space="preserve"> for the physical location of the added text as per §</w:t>
      </w:r>
      <w:r>
        <w:fldChar w:fldCharType="begin"/>
      </w:r>
      <w:r>
        <w:instrText xml:space="preserve"> REF _Ref227848664 \r \h </w:instrText>
      </w:r>
      <w:r>
        <w:fldChar w:fldCharType="separate"/>
      </w:r>
      <w:r>
        <w:t>5.5.2.1</w:t>
      </w:r>
      <w:r>
        <w:fldChar w:fldCharType="end"/>
      </w:r>
    </w:p>
    <w:p w14:paraId="0B805F63" w14:textId="433E0A21">
      <w:pPr>
        <w:pStyle w:val="Lista2"/>
      </w:pPr>
      <w:r>
        <w:t xml:space="preserve">as applicable, </w:t>
      </w:r>
      <w:r>
        <w:rPr>
          <w:rStyle w:val="Codeattribute"/>
        </w:rPr>
        <w:t>@rend</w:t>
      </w:r>
      <w:r>
        <w:t xml:space="preserve"> with the value </w:t>
      </w:r>
      <w:r>
        <w:rPr>
          <w:rStyle w:val="Codevalue"/>
        </w:rPr>
        <w:t>"mark"</w:t>
      </w:r>
      <w:r>
        <w:t xml:space="preserve"> to encode the involvement of a premodern scribal mark </w:t>
      </w:r>
      <w:r>
        <w:rPr>
          <w:noProof/>
        </w:rPr>
        <w:t>(</w:t>
      </w:r>
      <w:r>
        <w:t xml:space="preserve">Sanskrit </w:t>
      </w:r>
      <w:r>
        <w:rPr>
          <w:rStyle w:val="Foreign"/>
        </w:rPr>
        <w:t>kākapada</w:t>
      </w:r>
      <w:r>
        <w:t xml:space="preserve">), as illustrated in </w:t>
      </w:r>
      <w:r>
        <w:fldChar w:fldCharType="begin"/>
      </w:r>
      <w:r>
        <w:instrText xml:space="preserve"> REF _Ref44078703 \h  \* MERGEFORMAT </w:instrText>
      </w:r>
      <w:r>
        <w:fldChar w:fldCharType="separate"/>
      </w:r>
      <w:r>
        <w:t xml:space="preserve">Exhibit </w:t>
      </w:r>
      <w:r>
        <w:rPr>
          <w:noProof/>
        </w:rPr>
        <w:t>5.5.C</w:t>
      </w:r>
      <w:r>
        <w:fldChar w:fldCharType="end"/>
      </w:r>
      <w:r>
        <w:t xml:space="preserve"> and </w:t>
      </w:r>
      <w:r>
        <w:fldChar w:fldCharType="begin"/>
      </w:r>
      <w:r>
        <w:instrText xml:space="preserve"> REF _Ref227849782 \h </w:instrText>
      </w:r>
      <w:r>
        <w:fldChar w:fldCharType="separate"/>
      </w:r>
      <w:r>
        <w:t xml:space="preserve">Exhibit </w:t>
      </w:r>
      <w:r>
        <w:rPr>
          <w:noProof/>
        </w:rPr>
        <w:t>5.5</w:t>
      </w:r>
      <w:r>
        <w:t>.</w:t>
      </w:r>
      <w:r>
        <w:rPr>
          <w:noProof/>
        </w:rPr>
        <w:t>D</w:t>
      </w:r>
      <w:r>
        <w:fldChar w:fldCharType="end"/>
      </w:r>
    </w:p>
    <w:p w14:paraId="56D80698" w14:textId="77777777">
      <w:pPr>
        <w:pStyle w:val="Lista3"/>
      </w:pPr>
      <w:r>
        <w:t xml:space="preserve">this encoding distinguishes neither the shape of such a mark, nor its location (e.g. at the locus of insertion, next to the inserted text, or at both places) </w:t>
      </w:r>
    </w:p>
    <w:p w14:paraId="3881E6D0" w14:textId="24F6E304">
      <w:pPr>
        <w:pStyle w:val="Lista3"/>
      </w:pPr>
      <w:r>
        <w:t>the shape and location of the marks shall be described in an apparatus note (§</w:t>
      </w:r>
      <w:r>
        <w:fldChar w:fldCharType="begin"/>
      </w:r>
      <w:r>
        <w:instrText xml:space="preserve"> REF _Ref43988104 \w \h  \* MERGEFORMAT </w:instrText>
      </w:r>
      <w:r>
        <w:fldChar w:fldCharType="separate"/>
      </w:r>
      <w:r>
        <w:t>10.7</w:t>
      </w:r>
      <w:r>
        <w:fldChar w:fldCharType="end"/>
      </w:r>
      <w:r>
        <w:t>)</w:t>
      </w:r>
    </w:p>
    <w:p w14:paraId="6A807B1F" w14:textId="77777777">
      <w:pPr>
        <w:pStyle w:val="Lista"/>
      </w:pPr>
      <w:r>
        <w:t>the inserted text may include additional markup when necessary</w:t>
      </w:r>
    </w:p>
    <w:p w14:paraId="5E0051FD" w14:textId="1362B49D">
      <w:pPr>
        <w:pStyle w:val="Lista2"/>
      </w:pPr>
      <w:r>
        <w:t>for any text-containing elements whose scope begins or ends outside the addition, take care to avoid overlap and split elements according to their hierarchy (§</w:t>
      </w:r>
      <w:r>
        <w:fldChar w:fldCharType="begin"/>
      </w:r>
      <w:r>
        <w:instrText xml:space="preserve"> REF _Ref43978660 \r \h </w:instrText>
      </w:r>
      <w:r>
        <w:fldChar w:fldCharType="separate"/>
      </w:r>
      <w:r>
        <w:t>16.2</w:t>
      </w:r>
      <w:r>
        <w:fldChar w:fldCharType="end"/>
      </w:r>
      <w:r>
        <w:t xml:space="preserve">) </w:t>
      </w:r>
    </w:p>
    <w:p w14:paraId="4D564F2B" w14:textId="6EBE2A15">
      <w:pPr>
        <w:pStyle w:val="Lista2"/>
      </w:pPr>
      <w:r>
        <w:t>empty structural elements (line beginnings, §</w:t>
      </w:r>
      <w:r>
        <w:fldChar w:fldCharType="begin"/>
      </w:r>
      <w:r>
        <w:instrText xml:space="preserve"> REF _Ref224720155 \r \h </w:instrText>
      </w:r>
      <w:r>
        <w:fldChar w:fldCharType="separate"/>
      </w:r>
      <w:r>
        <w:t>4.5</w:t>
      </w:r>
      <w:r>
        <w:fldChar w:fldCharType="end"/>
      </w:r>
      <w:r>
        <w:t>; and gridlike milestones, §</w:t>
      </w:r>
      <w:r>
        <w:fldChar w:fldCharType="begin"/>
      </w:r>
      <w:r>
        <w:instrText xml:space="preserve"> REF _Ref43984651 \r \h </w:instrText>
      </w:r>
      <w:r>
        <w:fldChar w:fldCharType="separate"/>
      </w:r>
      <w:r>
        <w:t>4.6</w:t>
      </w:r>
      <w:r>
        <w:fldChar w:fldCharType="end"/>
      </w:r>
      <w:r>
        <w:t xml:space="preserve">) should normally be placed outside the </w:t>
      </w:r>
      <w:r>
        <w:rPr>
          <w:rStyle w:val="Code"/>
        </w:rPr>
        <w:t>&lt;add&gt;</w:t>
      </w:r>
      <w:r>
        <w:t xml:space="preserve"> tags, but if an addition takes up the entirety of one or more physical lines (or stretches of text indicated by a gridlike milestone), then you may encode line beginnings and milestones within an addition at your discretion and number them as you deem appropriate; see </w:t>
      </w:r>
      <w:r>
        <w:fldChar w:fldCharType="begin"/>
      </w:r>
      <w:r>
        <w:instrText xml:space="preserve"> REF _Ref54603376 \h  \* MERGEFORMAT </w:instrText>
      </w:r>
      <w:r>
        <w:fldChar w:fldCharType="separate"/>
      </w:r>
      <w:r>
        <w:t xml:space="preserve">Exhibit </w:t>
      </w:r>
      <w:r>
        <w:rPr>
          <w:noProof/>
        </w:rPr>
        <w:t>3.2.D</w:t>
      </w:r>
      <w:r>
        <w:fldChar w:fldCharType="end"/>
      </w:r>
      <w:r>
        <w:t xml:space="preserve"> for an illustration</w:t>
      </w:r>
    </w:p>
    <w:p w14:paraId="032812EB" w14:textId="77777777">
      <w:pPr>
        <w:pStyle w:val="Cmsor4"/>
      </w:pPr>
      <w:bookmarkStart w:id="502" w:name="_Ref227848664"/>
      <w:r>
        <w:t>Encoding the place of the addition</w:t>
      </w:r>
      <w:bookmarkEnd w:id="502"/>
    </w:p>
    <w:p w14:paraId="336A833C" w14:textId="77777777">
      <w:pPr>
        <w:pStyle w:val="Lista"/>
      </w:pPr>
      <w:r>
        <w:t xml:space="preserve">the physical location of text added by the scribe is to be encoded with the attribute </w:t>
      </w:r>
      <w:r>
        <w:rPr>
          <w:rStyle w:val="Codeattribute"/>
        </w:rPr>
        <w:t>@place</w:t>
      </w:r>
      <w:r>
        <w:t xml:space="preserve"> on the </w:t>
      </w:r>
      <w:r>
        <w:rPr>
          <w:rStyle w:val="Code"/>
        </w:rPr>
        <w:t>&lt;add&gt;</w:t>
      </w:r>
      <w:r>
        <w:t xml:space="preserve"> element</w:t>
      </w:r>
    </w:p>
    <w:p w14:paraId="183961AE" w14:textId="77777777">
      <w:pPr>
        <w:pStyle w:val="Lista2"/>
      </w:pPr>
      <w:r>
        <w:t xml:space="preserve">in DHARMA encoding practice, this attribute must always be explicitly present on </w:t>
      </w:r>
      <w:r>
        <w:rPr>
          <w:rStyle w:val="Code"/>
        </w:rPr>
        <w:t>&lt;add&gt;</w:t>
      </w:r>
    </w:p>
    <w:p w14:paraId="6C650243" w14:textId="77777777">
      <w:pPr>
        <w:pStyle w:val="Lista"/>
      </w:pPr>
      <w:r>
        <w:t>the attribute may take the following values:</w:t>
      </w:r>
    </w:p>
    <w:p w14:paraId="7A14AB10" w14:textId="77777777">
      <w:pPr>
        <w:pStyle w:val="Lista2"/>
      </w:pPr>
      <w:r>
        <w:rPr>
          <w:rStyle w:val="Codevalue"/>
        </w:rPr>
        <w:t>"unspecified"</w:t>
      </w:r>
      <w:r>
        <w:t xml:space="preserve"> for cases where your only source is a previous edition that does not specify the place of the inserted text</w:t>
      </w:r>
    </w:p>
    <w:p w14:paraId="05F38638" w14:textId="77777777">
      <w:pPr>
        <w:pStyle w:val="Lista2"/>
      </w:pPr>
      <w:r>
        <w:rPr>
          <w:rStyle w:val="Codevalue"/>
        </w:rPr>
        <w:t>"inline"</w:t>
      </w:r>
      <w:r>
        <w:t xml:space="preserve"> for an addition inscribed within the same line in the immediate vicinity of the locus, including</w:t>
      </w:r>
    </w:p>
    <w:p w14:paraId="6A70BA21" w14:textId="77777777">
      <w:pPr>
        <w:pStyle w:val="Lista3"/>
      </w:pPr>
      <w:r>
        <w:t>one or more glyphs inserted between two pre-engraved glyphs</w:t>
      </w:r>
    </w:p>
    <w:p w14:paraId="01A16F24" w14:textId="7F2A7E20">
      <w:pPr>
        <w:pStyle w:val="Lista3"/>
      </w:pPr>
      <w:r>
        <w:t xml:space="preserve">one or more glyphs inserted into a space previously left blank </w:t>
      </w:r>
      <w:r>
        <w:rPr>
          <w:noProof/>
        </w:rPr>
        <w:t>(</w:t>
      </w:r>
      <w:r>
        <w:t>§</w:t>
      </w:r>
      <w:r>
        <w:fldChar w:fldCharType="begin"/>
      </w:r>
      <w:r>
        <w:instrText xml:space="preserve"> REF _Ref43987728 \w \h  \* MERGEFORMAT </w:instrText>
      </w:r>
      <w:r>
        <w:fldChar w:fldCharType="separate"/>
      </w:r>
      <w:r>
        <w:t>5.4.2.1</w:t>
      </w:r>
      <w:r>
        <w:fldChar w:fldCharType="end"/>
      </w:r>
      <w:r>
        <w:t>)</w:t>
      </w:r>
    </w:p>
    <w:p w14:paraId="293161D1" w14:textId="77777777">
      <w:pPr>
        <w:pStyle w:val="Lista3"/>
      </w:pPr>
      <w:r>
        <w:t>one or more graphs (e.g. a vowel marker or a subscript consonant) inserted into a pre-engraved glyph</w:t>
      </w:r>
    </w:p>
    <w:p w14:paraId="66824912" w14:textId="77777777">
      <w:pPr>
        <w:pStyle w:val="Lista2"/>
      </w:pPr>
      <w:r>
        <w:rPr>
          <w:rStyle w:val="Codevalue"/>
        </w:rPr>
        <w:t>"above"</w:t>
      </w:r>
      <w:r>
        <w:t xml:space="preserve"> for an interlinear addition above the locus (in any horizontal position)</w:t>
      </w:r>
    </w:p>
    <w:p w14:paraId="2F3A1B15" w14:textId="4AFE4AFC">
      <w:pPr>
        <w:pStyle w:val="Lista2"/>
      </w:pPr>
      <w:r>
        <w:rPr>
          <w:rStyle w:val="Codevalue"/>
        </w:rPr>
        <w:t>"below"</w:t>
      </w:r>
      <w:r>
        <w:t xml:space="preserve"> for an interlinear addition below the locus (in any horizontal position), as in </w:t>
      </w:r>
      <w:r>
        <w:fldChar w:fldCharType="begin"/>
      </w:r>
      <w:r>
        <w:instrText xml:space="preserve"> REF _Ref227849711 \h </w:instrText>
      </w:r>
      <w:r>
        <w:fldChar w:fldCharType="separate"/>
      </w:r>
      <w:r>
        <w:t xml:space="preserve">Exhibit </w:t>
      </w:r>
      <w:r>
        <w:rPr>
          <w:noProof/>
        </w:rPr>
        <w:t>5.5</w:t>
      </w:r>
      <w:r>
        <w:t>.</w:t>
      </w:r>
      <w:r>
        <w:rPr>
          <w:noProof/>
        </w:rPr>
        <w:t>B</w:t>
      </w:r>
      <w:r>
        <w:fldChar w:fldCharType="end"/>
      </w:r>
    </w:p>
    <w:p w14:paraId="632DC733" w14:textId="77777777">
      <w:pPr>
        <w:pStyle w:val="Lista2"/>
      </w:pPr>
      <w:r>
        <w:rPr>
          <w:rStyle w:val="Codevalue"/>
        </w:rPr>
        <w:t>"top"</w:t>
      </w:r>
      <w:r>
        <w:t xml:space="preserve"> for an addition in the top margin (in any horizontal position)</w:t>
      </w:r>
    </w:p>
    <w:p w14:paraId="6E3FCFCF" w14:textId="77777777">
      <w:pPr>
        <w:pStyle w:val="Lista2"/>
      </w:pPr>
      <w:r>
        <w:rPr>
          <w:rStyle w:val="Codevalue"/>
        </w:rPr>
        <w:t>"bottom"</w:t>
      </w:r>
      <w:r>
        <w:t xml:space="preserve"> for an addition in the bottom margin (in any horizontal position)</w:t>
      </w:r>
    </w:p>
    <w:p w14:paraId="211421B3" w14:textId="77777777">
      <w:pPr>
        <w:pStyle w:val="Lista2"/>
      </w:pPr>
      <w:r>
        <w:rPr>
          <w:rStyle w:val="Codevalue"/>
        </w:rPr>
        <w:t>"left"</w:t>
      </w:r>
      <w:r>
        <w:t xml:space="preserve"> for an addition in the left margin (in any vertical position)</w:t>
      </w:r>
    </w:p>
    <w:p w14:paraId="1C5DA047" w14:textId="77777777">
      <w:pPr>
        <w:pStyle w:val="Lista2"/>
      </w:pPr>
      <w:r>
        <w:rPr>
          <w:rStyle w:val="Codevalue"/>
        </w:rPr>
        <w:t>"right"</w:t>
      </w:r>
      <w:r>
        <w:t xml:space="preserve"> for an addition in the right margin (in any vertical position)</w:t>
      </w:r>
    </w:p>
    <w:p w14:paraId="3134E02D" w14:textId="54224A1E">
      <w:pPr>
        <w:pStyle w:val="Lista2"/>
        <w:rPr>
          <w:lang w:eastAsia="en-US" w:bidi="ar-SA"/>
        </w:rPr>
      </w:pPr>
      <w:r>
        <w:rPr>
          <w:rStyle w:val="Codevalue"/>
        </w:rPr>
        <w:t>"overstrike"</w:t>
      </w:r>
      <w:r>
        <w:t xml:space="preserve"> for an addition written over pre-existing text with the intent to replace (correct) it, discussed further in §</w:t>
      </w:r>
      <w:r>
        <w:fldChar w:fldCharType="begin"/>
      </w:r>
      <w:r>
        <w:instrText xml:space="preserve"> REF _Ref74727538 \r \h </w:instrText>
      </w:r>
      <w:r>
        <w:fldChar w:fldCharType="separate"/>
      </w:r>
      <w:r>
        <w:t>5.5.3</w:t>
      </w:r>
      <w:r>
        <w:fldChar w:fldCharType="end"/>
      </w:r>
    </w:p>
    <w:tbl>
      <w:tblPr>
        <w:tblStyle w:val="CodeSampleTable"/>
        <w:tblW w:w="5000" w:type="pct"/>
        <w:tblLook w:val="04A0" w:firstRow="1" w:lastRow="0" w:firstColumn="1" w:lastColumn="0" w:noHBand="0" w:noVBand="1"/>
      </w:tblPr>
      <w:tblGrid>
        <w:gridCol w:w="9628"/>
      </w:tblGrid>
      <w:tr w14:paraId="22789FB6"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488E2FB" w14:textId="075AEEFF">
            <w:pPr>
              <w:pStyle w:val="Kpalrs"/>
              <w:keepLines/>
            </w:pPr>
            <w:bookmarkStart w:id="503" w:name="_Ref227849711"/>
            <w:r>
              <w:t xml:space="preserve">Exhibit </w:t>
            </w:r>
            <w:fldSimple w:instr=" STYLEREF 2 \s ">
              <w:r>
                <w:rPr>
                  <w:noProof/>
                </w:rPr>
                <w:t>5.5</w:t>
              </w:r>
            </w:fldSimple>
            <w:r>
              <w:t>.</w:t>
            </w:r>
            <w:fldSimple w:instr=" SEQ Exhibit \* ALPHABETIC \s 2 ">
              <w:r>
                <w:rPr>
                  <w:noProof/>
                </w:rPr>
                <w:t>B</w:t>
              </w:r>
            </w:fldSimple>
            <w:bookmarkEnd w:id="503"/>
            <w:r>
              <w:t>: premodern interlinear addition</w:t>
            </w:r>
          </w:p>
        </w:tc>
      </w:tr>
      <w:tr w14:paraId="28F2EB28" w14:textId="77777777">
        <w:tc>
          <w:tcPr>
            <w:tcW w:w="5000" w:type="pct"/>
          </w:tcPr>
          <w:p w14:paraId="0893CB82" w14:textId="77777777">
            <w:pPr>
              <w:pStyle w:val="TableNote"/>
              <w:keepNext/>
              <w:keepLines/>
            </w:pPr>
            <w:r>
              <w:t xml:space="preserve">an originally inscribed </w:t>
            </w:r>
            <w:r>
              <w:rPr>
                <w:rStyle w:val="Foreign"/>
              </w:rPr>
              <w:t>dīnāram</w:t>
            </w:r>
            <w:r>
              <w:t xml:space="preserve"> was corrected to </w:t>
            </w:r>
            <w:r>
              <w:rPr>
                <w:rStyle w:val="Foreign"/>
              </w:rPr>
              <w:t>dīnāra-dvayam</w:t>
            </w:r>
            <w:r>
              <w:t xml:space="preserve"> by adding </w:t>
            </w:r>
            <w:r>
              <w:rPr>
                <w:rStyle w:val="Foreign"/>
              </w:rPr>
              <w:t>dvaya</w:t>
            </w:r>
            <w:r>
              <w:t xml:space="preserve"> between lines below this word</w:t>
            </w:r>
          </w:p>
        </w:tc>
      </w:tr>
      <w:tr w14:paraId="0E0102EC" w14:textId="77777777">
        <w:tc>
          <w:tcPr>
            <w:tcW w:w="5000" w:type="pct"/>
          </w:tcPr>
          <w:p w14:paraId="0A342877" w14:textId="77777777">
            <w:pPr>
              <w:pStyle w:val="CodeParagraph"/>
              <w:rPr>
                <w:rStyle w:val="Code"/>
              </w:rPr>
            </w:pPr>
            <w:r>
              <w:rPr>
                <w:rStyle w:val="Codetext"/>
              </w:rPr>
              <w:t>dīnāra</w:t>
            </w:r>
            <w:r>
              <w:rPr>
                <w:rStyle w:val="Code"/>
              </w:rPr>
              <w:t xml:space="preserve">&lt;add </w:t>
            </w:r>
            <w:r>
              <w:rPr>
                <w:rStyle w:val="Codeattribute"/>
              </w:rPr>
              <w:t>place</w:t>
            </w:r>
            <w:r>
              <w:rPr>
                <w:rStyle w:val="Code"/>
              </w:rPr>
              <w:t>=</w:t>
            </w:r>
            <w:r>
              <w:rPr>
                <w:rStyle w:val="Codevalue"/>
              </w:rPr>
              <w:t>"below"</w:t>
            </w:r>
            <w:r>
              <w:rPr>
                <w:rStyle w:val="Code"/>
              </w:rPr>
              <w:t>&gt;</w:t>
            </w:r>
            <w:r>
              <w:rPr>
                <w:rStyle w:val="Codetext"/>
              </w:rPr>
              <w:t>-dvaya</w:t>
            </w:r>
            <w:r>
              <w:rPr>
                <w:rStyle w:val="Code"/>
              </w:rPr>
              <w:t>&lt;/add&gt;</w:t>
            </w:r>
            <w:r>
              <w:rPr>
                <w:rStyle w:val="Codetext"/>
              </w:rPr>
              <w:t>m</w:t>
            </w:r>
          </w:p>
        </w:tc>
      </w:tr>
    </w:tbl>
    <w:p w14:paraId="57D9D938" w14:textId="77777777"/>
    <w:tbl>
      <w:tblPr>
        <w:tblStyle w:val="CodeSampleTable"/>
        <w:tblW w:w="5000" w:type="pct"/>
        <w:tblLook w:val="04A0" w:firstRow="1" w:lastRow="0" w:firstColumn="1" w:lastColumn="0" w:noHBand="0" w:noVBand="1"/>
      </w:tblPr>
      <w:tblGrid>
        <w:gridCol w:w="6833"/>
        <w:gridCol w:w="2795"/>
      </w:tblGrid>
      <w:tr w14:paraId="539551D3"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tcPr>
          <w:p w14:paraId="5B6F301B" w14:textId="6B614DC8">
            <w:pPr>
              <w:pStyle w:val="Kpalrs"/>
              <w:keepLines/>
            </w:pPr>
            <w:bookmarkStart w:id="504" w:name="_Ref44078703"/>
            <w:r>
              <w:t xml:space="preserve">Exhibit </w:t>
            </w:r>
            <w:fldSimple w:instr=" STYLEREF 2 \s ">
              <w:r>
                <w:rPr>
                  <w:noProof/>
                </w:rPr>
                <w:t>5.5</w:t>
              </w:r>
            </w:fldSimple>
            <w:r>
              <w:t>.</w:t>
            </w:r>
            <w:fldSimple w:instr=" SEQ Exhibit \* ALPHABETIC \s 2 ">
              <w:r>
                <w:rPr>
                  <w:noProof/>
                </w:rPr>
                <w:t>C</w:t>
              </w:r>
            </w:fldSimple>
            <w:bookmarkEnd w:id="504"/>
            <w:r>
              <w:t>: premodern addition with a scribal mark next to the added text</w:t>
            </w:r>
          </w:p>
        </w:tc>
      </w:tr>
      <w:tr w14:paraId="386A1D67" w14:textId="77777777">
        <w:tc>
          <w:tcPr>
            <w:tcW w:w="0" w:type="auto"/>
          </w:tcPr>
          <w:p w14:paraId="2270F993" w14:textId="77777777">
            <w:pPr>
              <w:pStyle w:val="TableNote"/>
              <w:keepNext/>
              <w:keepLines/>
            </w:pPr>
            <w:r>
              <w:t xml:space="preserve">an originally inscribed </w:t>
            </w:r>
            <w:r>
              <w:rPr>
                <w:rStyle w:val="Foreign"/>
              </w:rPr>
              <w:t>maphalā</w:t>
            </w:r>
            <w:r>
              <w:t xml:space="preserve"> was corrected into </w:t>
            </w:r>
            <w:r>
              <w:rPr>
                <w:rStyle w:val="Foreign"/>
              </w:rPr>
              <w:t>makaphalā</w:t>
            </w:r>
            <w:r>
              <w:t xml:space="preserve"> by adding </w:t>
            </w:r>
            <w:r>
              <w:rPr>
                <w:rStyle w:val="Foreign"/>
              </w:rPr>
              <w:t>ka</w:t>
            </w:r>
            <w:r>
              <w:t xml:space="preserve"> between lines below this word </w:t>
            </w:r>
            <w:r>
              <w:rPr>
                <w:noProof/>
              </w:rPr>
              <w:t>(</w:t>
            </w:r>
            <w:r>
              <w:t>see the illustration)</w:t>
            </w:r>
          </w:p>
          <w:p w14:paraId="632341C9" w14:textId="77777777">
            <w:pPr>
              <w:pStyle w:val="TableNote"/>
              <w:keepNext/>
              <w:keepLines/>
            </w:pPr>
            <w:r>
              <w:t xml:space="preserve">the scribal marks on the left and right of the added </w:t>
            </w:r>
            <w:r>
              <w:rPr>
                <w:rStyle w:val="Foreign"/>
              </w:rPr>
              <w:t>ka</w:t>
            </w:r>
            <w:r>
              <w:t xml:space="preserve"> look like punctuation marks, but the scribe’s intention was </w:t>
            </w:r>
            <w:r>
              <w:rPr>
                <w:b/>
                <w:bCs/>
              </w:rPr>
              <w:t>not</w:t>
            </w:r>
            <w:r>
              <w:t xml:space="preserve"> to write </w:t>
            </w:r>
            <w:r>
              <w:rPr>
                <w:rStyle w:val="Foreign"/>
              </w:rPr>
              <w:t>ma,ka,phalā</w:t>
            </w:r>
            <w:r>
              <w:t xml:space="preserve"> so we should not interpret these marks as punctuation marks</w:t>
            </w:r>
          </w:p>
        </w:tc>
        <w:tc>
          <w:tcPr>
            <w:tcW w:w="0" w:type="auto"/>
          </w:tcPr>
          <w:p w14:paraId="5A9F9D80" w14:textId="77777777">
            <w:pPr>
              <w:pStyle w:val="Image"/>
              <w:keepLines/>
              <w:widowControl/>
              <w:spacing w:after="0"/>
            </w:pPr>
            <w:r>
              <w:drawing>
                <wp:inline distT="0" distB="0" distL="0" distR="0" wp14:anchorId="3E5A157D" wp14:editId="20F73E6B">
                  <wp:extent cx="1771200" cy="1080000"/>
                  <wp:effectExtent l="0" t="0" r="635" b="635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7">
                            <a:extLst>
                              <a:ext uri="{28A0092B-C50C-407E-A947-70E740481C1C}">
                                <a14:useLocalDpi xmlns:a14="http://schemas.microsoft.com/office/drawing/2010/main" val="0"/>
                              </a:ext>
                            </a:extLst>
                          </a:blip>
                          <a:srcRect/>
                          <a:stretch>
                            <a:fillRect/>
                          </a:stretch>
                        </pic:blipFill>
                        <pic:spPr>
                          <a:xfrm>
                            <a:off x="0" y="0"/>
                            <a:ext cx="1771200" cy="1080000"/>
                          </a:xfrm>
                          <a:prstGeom prst="rect">
                            <a:avLst/>
                          </a:prstGeom>
                          <a:ln/>
                        </pic:spPr>
                      </pic:pic>
                    </a:graphicData>
                  </a:graphic>
                </wp:inline>
              </w:drawing>
            </w:r>
          </w:p>
        </w:tc>
      </w:tr>
      <w:tr w14:paraId="6D1AFD94" w14:textId="77777777">
        <w:tc>
          <w:tcPr>
            <w:tcW w:w="0" w:type="auto"/>
            <w:gridSpan w:val="2"/>
          </w:tcPr>
          <w:p w14:paraId="59F6D374" w14:textId="77777777">
            <w:pPr>
              <w:pStyle w:val="CodeParagraph"/>
              <w:rPr>
                <w:rStyle w:val="Code"/>
              </w:rPr>
            </w:pPr>
            <w:r>
              <w:rPr>
                <w:rStyle w:val="Codetext"/>
              </w:rPr>
              <w:t>ma</w:t>
            </w:r>
            <w:r>
              <w:rPr>
                <w:rStyle w:val="Code"/>
              </w:rPr>
              <w:t xml:space="preserve">&lt;add </w:t>
            </w:r>
            <w:r>
              <w:rPr>
                <w:rStyle w:val="Codeattribute"/>
              </w:rPr>
              <w:t>place</w:t>
            </w:r>
            <w:r>
              <w:rPr>
                <w:rStyle w:val="Code"/>
              </w:rPr>
              <w:t>=</w:t>
            </w:r>
            <w:r>
              <w:rPr>
                <w:rStyle w:val="Codevalue"/>
              </w:rPr>
              <w:t>"below"</w:t>
            </w:r>
            <w:r>
              <w:rPr>
                <w:rStyle w:val="Code"/>
              </w:rPr>
              <w:t xml:space="preserve"> </w:t>
            </w:r>
            <w:r>
              <w:rPr>
                <w:rStyle w:val="Codeattribute"/>
              </w:rPr>
              <w:t>rend</w:t>
            </w:r>
            <w:r>
              <w:rPr>
                <w:rStyle w:val="Code"/>
              </w:rPr>
              <w:t>=</w:t>
            </w:r>
            <w:r>
              <w:rPr>
                <w:rStyle w:val="Codevalue"/>
              </w:rPr>
              <w:t>"mark"</w:t>
            </w:r>
            <w:r>
              <w:rPr>
                <w:rStyle w:val="Code"/>
              </w:rPr>
              <w:t>&gt;</w:t>
            </w:r>
            <w:r>
              <w:rPr>
                <w:rStyle w:val="Codetext"/>
              </w:rPr>
              <w:t>ka</w:t>
            </w:r>
            <w:r>
              <w:rPr>
                <w:rStyle w:val="Code"/>
              </w:rPr>
              <w:t>&lt;/add&gt;</w:t>
            </w:r>
            <w:r>
              <w:rPr>
                <w:rStyle w:val="Codetext"/>
              </w:rPr>
              <w:t>phalā</w:t>
            </w:r>
          </w:p>
        </w:tc>
      </w:tr>
    </w:tbl>
    <w:p w14:paraId="3F7EFAF2" w14:textId="77777777">
      <w:bookmarkStart w:id="505" w:name="_maecup4bnx3" w:colFirst="0" w:colLast="0"/>
      <w:bookmarkStart w:id="506" w:name="_Ref43987708"/>
      <w:bookmarkEnd w:id="505"/>
    </w:p>
    <w:tbl>
      <w:tblPr>
        <w:tblStyle w:val="CodeSampleTable"/>
        <w:tblW w:w="5000" w:type="pct"/>
        <w:tblLook w:val="04A0" w:firstRow="1" w:lastRow="0" w:firstColumn="1" w:lastColumn="0" w:noHBand="0" w:noVBand="1"/>
      </w:tblPr>
      <w:tblGrid>
        <w:gridCol w:w="6091"/>
        <w:gridCol w:w="3537"/>
      </w:tblGrid>
      <w:tr w14:paraId="64BEDA5A"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056DEA36" w14:textId="6AE8416D">
            <w:pPr>
              <w:pStyle w:val="Kpalrs"/>
              <w:keepLines/>
            </w:pPr>
            <w:bookmarkStart w:id="507" w:name="_Ref227849782"/>
            <w:r>
              <w:t xml:space="preserve">Exhibit </w:t>
            </w:r>
            <w:fldSimple w:instr=" STYLEREF 2 \s ">
              <w:r>
                <w:rPr>
                  <w:noProof/>
                </w:rPr>
                <w:t>5.5</w:t>
              </w:r>
            </w:fldSimple>
            <w:r>
              <w:t>.</w:t>
            </w:r>
            <w:fldSimple w:instr=" SEQ Exhibit \* ALPHABETIC \s 2 ">
              <w:r>
                <w:rPr>
                  <w:noProof/>
                </w:rPr>
                <w:t>D</w:t>
              </w:r>
            </w:fldSimple>
            <w:bookmarkEnd w:id="507"/>
            <w:r>
              <w:t>: premodern addition with a scribal mark next to the place of addition</w:t>
            </w:r>
          </w:p>
        </w:tc>
      </w:tr>
      <w:tr w14:paraId="4DA1B6AA" w14:textId="77777777">
        <w:tc>
          <w:tcPr>
            <w:tcW w:w="3163" w:type="pct"/>
          </w:tcPr>
          <w:p w14:paraId="08CBAC81" w14:textId="77777777">
            <w:pPr>
              <w:pStyle w:val="TableNote"/>
              <w:keepNext/>
              <w:keepLines/>
            </w:pPr>
            <w:r>
              <w:t xml:space="preserve">the glyph </w:t>
            </w:r>
            <w:r>
              <w:rPr>
                <w:rStyle w:val="Foreign"/>
              </w:rPr>
              <w:t>va</w:t>
            </w:r>
            <w:r>
              <w:t xml:space="preserve"> was omitted from the text </w:t>
            </w:r>
            <w:r>
              <w:rPr>
                <w:rStyle w:val="Foreign"/>
              </w:rPr>
              <w:t>°r avadhāraṇayā</w:t>
            </w:r>
          </w:p>
          <w:p w14:paraId="08A5835E" w14:textId="77777777">
            <w:pPr>
              <w:pStyle w:val="TableNote"/>
              <w:keepNext/>
              <w:keepLines/>
            </w:pPr>
            <w:r>
              <w:t>subsequently inserted below the line</w:t>
            </w:r>
          </w:p>
          <w:p w14:paraId="50AD70F5" w14:textId="77777777">
            <w:pPr>
              <w:pStyle w:val="TableNote"/>
              <w:keepNext/>
              <w:keepLines/>
            </w:pPr>
            <w:r>
              <w:t xml:space="preserve">with </w:t>
            </w:r>
            <w:r>
              <w:rPr>
                <w:rStyle w:val="Foreign"/>
              </w:rPr>
              <w:t>kākapada</w:t>
            </w:r>
            <w:r>
              <w:t xml:space="preserve"> marking the spot of addition</w:t>
            </w:r>
          </w:p>
        </w:tc>
        <w:tc>
          <w:tcPr>
            <w:tcW w:w="1837" w:type="pct"/>
          </w:tcPr>
          <w:p w14:paraId="28D34F9B" w14:textId="77777777">
            <w:pPr>
              <w:pStyle w:val="Image"/>
              <w:keepLines/>
              <w:widowControl/>
              <w:spacing w:after="0"/>
            </w:pPr>
            <w:r>
              <w:rPr>
                <w:rStyle w:val="Codetext"/>
              </w:rPr>
              <w:drawing>
                <wp:inline distT="0" distB="0" distL="0" distR="0" wp14:anchorId="482258D3" wp14:editId="68B67B34">
                  <wp:extent cx="2001600" cy="1080000"/>
                  <wp:effectExtent l="0" t="0" r="0" b="6350"/>
                  <wp:docPr id="38" name="Kép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001600" cy="1080000"/>
                          </a:xfrm>
                          <a:prstGeom prst="rect">
                            <a:avLst/>
                          </a:prstGeom>
                          <a:noFill/>
                          <a:ln>
                            <a:noFill/>
                          </a:ln>
                        </pic:spPr>
                      </pic:pic>
                    </a:graphicData>
                  </a:graphic>
                </wp:inline>
              </w:drawing>
            </w:r>
          </w:p>
        </w:tc>
      </w:tr>
      <w:tr w14:paraId="48B7F7C3" w14:textId="77777777">
        <w:tc>
          <w:tcPr>
            <w:tcW w:w="5000" w:type="pct"/>
            <w:gridSpan w:val="2"/>
          </w:tcPr>
          <w:p w14:paraId="4FE96AED" w14:textId="77777777">
            <w:pPr>
              <w:pStyle w:val="CodeParagraph"/>
              <w:rPr>
                <w:rStyle w:val="Code"/>
              </w:rPr>
            </w:pPr>
            <w:r>
              <w:rPr>
                <w:rStyle w:val="Code"/>
              </w:rPr>
              <w:t xml:space="preserve">r a&lt;add </w:t>
            </w:r>
            <w:r>
              <w:rPr>
                <w:rStyle w:val="Codeattribute"/>
              </w:rPr>
              <w:t>place</w:t>
            </w:r>
            <w:r>
              <w:rPr>
                <w:rStyle w:val="Code"/>
              </w:rPr>
              <w:t>=</w:t>
            </w:r>
            <w:r>
              <w:rPr>
                <w:rStyle w:val="Codevalue"/>
              </w:rPr>
              <w:t xml:space="preserve">"below" </w:t>
            </w:r>
            <w:r>
              <w:rPr>
                <w:rStyle w:val="Codeattribute"/>
              </w:rPr>
              <w:t>rend</w:t>
            </w:r>
            <w:r>
              <w:rPr>
                <w:rStyle w:val="Code"/>
              </w:rPr>
              <w:t>=</w:t>
            </w:r>
            <w:r>
              <w:rPr>
                <w:rStyle w:val="Codevalue"/>
              </w:rPr>
              <w:t>"mark"</w:t>
            </w:r>
            <w:r>
              <w:rPr>
                <w:rStyle w:val="Code"/>
              </w:rPr>
              <w:t>&gt;</w:t>
            </w:r>
            <w:r>
              <w:rPr>
                <w:rStyle w:val="Codetext"/>
              </w:rPr>
              <w:t>va</w:t>
            </w:r>
            <w:r>
              <w:rPr>
                <w:rStyle w:val="Code"/>
              </w:rPr>
              <w:t>&lt;/add&gt;&lt;/subst&gt;</w:t>
            </w:r>
            <w:r>
              <w:rPr>
                <w:rStyle w:val="Codetext"/>
              </w:rPr>
              <w:t>dhāraṇayā</w:t>
            </w:r>
          </w:p>
        </w:tc>
      </w:tr>
    </w:tbl>
    <w:p w14:paraId="6E0F198A" w14:textId="77777777">
      <w:pPr>
        <w:pStyle w:val="Cmsor3"/>
      </w:pPr>
      <w:bookmarkStart w:id="508" w:name="_Ref74727538"/>
      <w:bookmarkStart w:id="509" w:name="_Toc243922662"/>
      <w:r>
        <w:t>Scribal correction</w:t>
      </w:r>
      <w:bookmarkEnd w:id="506"/>
      <w:bookmarkEnd w:id="508"/>
      <w:bookmarkEnd w:id="509"/>
    </w:p>
    <w:p w14:paraId="5453BBC4" w14:textId="77777777">
      <w:r>
        <w:t xml:space="preserve">Scribal correction is the deliberate cancellation of one or more graphemes in a pre-written text by a scribe, accompanied by the restitution of (not necessarily the same number of) other graphemes. Scribal correction is usually of editorial nature, replacing text deemed erroneous with text deemed correct, but may also be an amendment of the content. </w:t>
      </w:r>
    </w:p>
    <w:p w14:paraId="2B573921" w14:textId="26AF76F0">
      <w:pPr>
        <w:pStyle w:val="Lista"/>
      </w:pPr>
      <w:r>
        <w:t xml:space="preserve">when a correction is inscribed over previously engraved text which was rendered altogether illegible in the process and cannot be restored with any confidence, encode the correction as an addition with </w:t>
      </w:r>
      <w:r>
        <w:rPr>
          <w:rStyle w:val="Codeattribute"/>
        </w:rPr>
        <w:t>@place</w:t>
      </w:r>
      <w:r>
        <w:rPr>
          <w:rStyle w:val="Code"/>
        </w:rPr>
        <w:t>=</w:t>
      </w:r>
      <w:r>
        <w:rPr>
          <w:rStyle w:val="Codevalue"/>
        </w:rPr>
        <w:t>"overstrike"</w:t>
      </w:r>
      <w:r>
        <w:t xml:space="preserve">, as in </w:t>
      </w:r>
      <w:r>
        <w:fldChar w:fldCharType="begin"/>
      </w:r>
      <w:r>
        <w:instrText xml:space="preserve"> REF _Ref227852073 \h </w:instrText>
      </w:r>
      <w:r>
        <w:fldChar w:fldCharType="separate"/>
      </w:r>
      <w:r>
        <w:t xml:space="preserve">Exhibit </w:t>
      </w:r>
      <w:r>
        <w:rPr>
          <w:noProof/>
        </w:rPr>
        <w:t>5.5</w:t>
      </w:r>
      <w:r>
        <w:t>.</w:t>
      </w:r>
      <w:r>
        <w:rPr>
          <w:noProof/>
        </w:rPr>
        <w:t>E</w:t>
      </w:r>
      <w:r>
        <w:fldChar w:fldCharType="end"/>
      </w:r>
    </w:p>
    <w:p w14:paraId="4C37622E" w14:textId="77777777">
      <w:pPr>
        <w:pStyle w:val="Lista2"/>
      </w:pPr>
      <w:r>
        <w:t>in this case, the presence of cancelled pre-correction text is merely implied by the special value of this attribute</w:t>
      </w:r>
    </w:p>
    <w:p w14:paraId="03BE6B96" w14:textId="77777777">
      <w:pPr>
        <w:pStyle w:val="Lista"/>
      </w:pPr>
      <w:r>
        <w:t xml:space="preserve">whenever any of the pre-correction text can be read or restored, with high or low confidence, scribal correction must be encoded as a combination of scribal deletion and scribal addition, wrapped in the element </w:t>
      </w:r>
      <w:r>
        <w:rPr>
          <w:rStyle w:val="Code"/>
        </w:rPr>
        <w:t>&lt;subst&gt;</w:t>
      </w:r>
      <w:r>
        <w:t xml:space="preserve"> to show that one is meant to be substituted by the other</w:t>
      </w:r>
    </w:p>
    <w:p w14:paraId="3B320A0C" w14:textId="023366CC">
      <w:pPr>
        <w:pStyle w:val="Lista2"/>
      </w:pPr>
      <w:r>
        <w:t xml:space="preserve">within this element, use </w:t>
      </w:r>
      <w:r>
        <w:rPr>
          <w:rStyle w:val="Code"/>
        </w:rPr>
        <w:t>&lt;del&gt;</w:t>
      </w:r>
      <w:r>
        <w:t xml:space="preserve"> (§</w:t>
      </w:r>
      <w:r>
        <w:fldChar w:fldCharType="begin"/>
      </w:r>
      <w:r>
        <w:instrText xml:space="preserve"> REF _Ref43985171 \r \h </w:instrText>
      </w:r>
      <w:r>
        <w:fldChar w:fldCharType="separate"/>
      </w:r>
      <w:r>
        <w:t>5.5.1</w:t>
      </w:r>
      <w:r>
        <w:fldChar w:fldCharType="end"/>
      </w:r>
      <w:r>
        <w:t xml:space="preserve">) and </w:t>
      </w:r>
      <w:r>
        <w:rPr>
          <w:rStyle w:val="Code"/>
        </w:rPr>
        <w:t>&lt;add&gt;</w:t>
      </w:r>
      <w:r>
        <w:t xml:space="preserve"> (§</w:t>
      </w:r>
      <w:r>
        <w:fldChar w:fldCharType="begin"/>
      </w:r>
      <w:r>
        <w:instrText xml:space="preserve"> REF _Ref227850832 \r \h </w:instrText>
      </w:r>
      <w:r>
        <w:fldChar w:fldCharType="separate"/>
      </w:r>
      <w:r>
        <w:t>5.5.2</w:t>
      </w:r>
      <w:r>
        <w:fldChar w:fldCharType="end"/>
      </w:r>
      <w:r>
        <w:t>) as instructed above and with any applicable attributes, with the following additional considerations</w:t>
      </w:r>
    </w:p>
    <w:p w14:paraId="09B83CD0" w14:textId="77777777">
      <w:pPr>
        <w:pStyle w:val="Lista3"/>
      </w:pPr>
      <w:r>
        <w:t xml:space="preserve">use the attribute </w:t>
      </w:r>
      <w:r>
        <w:rPr>
          <w:rStyle w:val="Codeattribute"/>
        </w:rPr>
        <w:t>@rend=</w:t>
      </w:r>
      <w:r>
        <w:rPr>
          <w:rStyle w:val="Codevalue"/>
        </w:rPr>
        <w:t>"corrected"</w:t>
      </w:r>
      <w:r>
        <w:t xml:space="preserve"> on </w:t>
      </w:r>
      <w:r>
        <w:rPr>
          <w:rStyle w:val="Code"/>
        </w:rPr>
        <w:t>&lt;add&gt;</w:t>
      </w:r>
      <w:r>
        <w:t xml:space="preserve"> if the text to be replaced was neither erased nor marked for cancellation</w:t>
      </w:r>
    </w:p>
    <w:p w14:paraId="7C01B1DA" w14:textId="3E8817CC">
      <w:pPr>
        <w:pStyle w:val="Lista4"/>
      </w:pPr>
      <w:r>
        <w:t xml:space="preserve">either because it was overwritten with the post-correction text, as in </w:t>
      </w:r>
      <w:r>
        <w:fldChar w:fldCharType="begin"/>
      </w:r>
      <w:r>
        <w:instrText xml:space="preserve"> REF _Ref227852073 \h </w:instrText>
      </w:r>
      <w:r>
        <w:fldChar w:fldCharType="separate"/>
      </w:r>
      <w:r>
        <w:t xml:space="preserve">Exhibit </w:t>
      </w:r>
      <w:r>
        <w:rPr>
          <w:noProof/>
        </w:rPr>
        <w:t>5.5</w:t>
      </w:r>
      <w:r>
        <w:t>.</w:t>
      </w:r>
      <w:r>
        <w:rPr>
          <w:noProof/>
        </w:rPr>
        <w:t>E</w:t>
      </w:r>
      <w:r>
        <w:fldChar w:fldCharType="end"/>
      </w:r>
    </w:p>
    <w:p w14:paraId="68110489" w14:textId="5EE0B971">
      <w:pPr>
        <w:pStyle w:val="Lista4"/>
      </w:pPr>
      <w:r>
        <w:t xml:space="preserve">or because it was left in place without any apparent alteration and the post-correction text was inscribed nearby, as in </w:t>
      </w:r>
      <w:r>
        <w:fldChar w:fldCharType="begin"/>
      </w:r>
      <w:r>
        <w:instrText xml:space="preserve"> REF _Ref227852091 \h </w:instrText>
      </w:r>
      <w:r>
        <w:fldChar w:fldCharType="separate"/>
      </w:r>
      <w:r>
        <w:t xml:space="preserve">Exhibit </w:t>
      </w:r>
      <w:r>
        <w:rPr>
          <w:noProof/>
        </w:rPr>
        <w:t>5.5</w:t>
      </w:r>
      <w:r>
        <w:t>.</w:t>
      </w:r>
      <w:r>
        <w:rPr>
          <w:noProof/>
        </w:rPr>
        <w:t>F</w:t>
      </w:r>
      <w:r>
        <w:fldChar w:fldCharType="end"/>
      </w:r>
    </w:p>
    <w:p w14:paraId="6FE7DDD9" w14:textId="2B4FCBC3">
      <w:pPr>
        <w:pStyle w:val="Lista3"/>
      </w:pPr>
      <w:r>
        <w:t xml:space="preserve">use the attribute the attribute </w:t>
      </w:r>
      <w:r>
        <w:rPr>
          <w:rStyle w:val="Codeattribute"/>
        </w:rPr>
        <w:t>@place=</w:t>
      </w:r>
      <w:r>
        <w:rPr>
          <w:rStyle w:val="Codevalue"/>
        </w:rPr>
        <w:t>"overstrike"</w:t>
      </w:r>
      <w:r>
        <w:t xml:space="preserve"> on </w:t>
      </w:r>
      <w:r>
        <w:rPr>
          <w:rStyle w:val="Code"/>
        </w:rPr>
        <w:t>&lt;add&gt;</w:t>
      </w:r>
      <w:r>
        <w:t xml:space="preserve"> if the replacement text is inscribed right over the pre-correction text </w:t>
      </w:r>
      <w:r>
        <w:rPr>
          <w:noProof/>
        </w:rPr>
        <w:t>(</w:t>
      </w:r>
      <w:r>
        <w:t xml:space="preserve">rather than at some other position), as in </w:t>
      </w:r>
      <w:r>
        <w:fldChar w:fldCharType="begin"/>
      </w:r>
      <w:r>
        <w:instrText xml:space="preserve"> REF _Ref227852073 \h </w:instrText>
      </w:r>
      <w:r>
        <w:fldChar w:fldCharType="separate"/>
      </w:r>
      <w:r>
        <w:t xml:space="preserve">Exhibit </w:t>
      </w:r>
      <w:r>
        <w:rPr>
          <w:noProof/>
        </w:rPr>
        <w:t>5.5</w:t>
      </w:r>
      <w:r>
        <w:t>.</w:t>
      </w:r>
      <w:r>
        <w:rPr>
          <w:noProof/>
        </w:rPr>
        <w:t>E</w:t>
      </w:r>
      <w:r>
        <w:fldChar w:fldCharType="end"/>
      </w:r>
    </w:p>
    <w:p w14:paraId="2D36C51F" w14:textId="3A1DF008">
      <w:pPr>
        <w:pStyle w:val="Lista"/>
      </w:pPr>
      <w:r>
        <w:t xml:space="preserve">occasionally, scribal correction may take place without explicit addition, when the correction consists in changing the order of the already inscribed glyphs, and this is indicated by a mark rather than by re-inscribing the glyphs in the correct order, as in </w:t>
      </w:r>
      <w:r>
        <w:fldChar w:fldCharType="begin"/>
      </w:r>
      <w:r>
        <w:instrText xml:space="preserve"> REF _Ref227853363 \h </w:instrText>
      </w:r>
      <w:r>
        <w:fldChar w:fldCharType="separate"/>
      </w:r>
      <w:r>
        <w:t xml:space="preserve">Exhibit </w:t>
      </w:r>
      <w:r>
        <w:rPr>
          <w:noProof/>
        </w:rPr>
        <w:t>5.5</w:t>
      </w:r>
      <w:r>
        <w:t>.</w:t>
      </w:r>
      <w:r>
        <w:rPr>
          <w:noProof/>
        </w:rPr>
        <w:t>H</w:t>
      </w:r>
      <w:r>
        <w:fldChar w:fldCharType="end"/>
      </w:r>
    </w:p>
    <w:p w14:paraId="6EF4BDF3" w14:textId="3F387E11">
      <w:pPr>
        <w:pStyle w:val="Lista2"/>
      </w:pPr>
      <w:r>
        <w:t xml:space="preserve">if you are confident in your interpretation of such a situation, encode scribal correction normally, putting the presumably intended corrected reading in </w:t>
      </w:r>
      <w:r>
        <w:rPr>
          <w:rStyle w:val="Code"/>
        </w:rPr>
        <w:t>&lt;add&gt;</w:t>
      </w:r>
    </w:p>
    <w:tbl>
      <w:tblPr>
        <w:tblStyle w:val="CodeSampleTable"/>
        <w:tblW w:w="5000" w:type="pct"/>
        <w:tblLook w:val="04A0" w:firstRow="1" w:lastRow="0" w:firstColumn="1" w:lastColumn="0" w:noHBand="0" w:noVBand="1"/>
      </w:tblPr>
      <w:tblGrid>
        <w:gridCol w:w="5665"/>
        <w:gridCol w:w="3963"/>
      </w:tblGrid>
      <w:tr w14:paraId="1FD40636"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3E2801A6" w14:textId="5EC3E138">
            <w:pPr>
              <w:pStyle w:val="Kpalrs"/>
            </w:pPr>
            <w:bookmarkStart w:id="510" w:name="_Ref227852073"/>
            <w:r>
              <w:t xml:space="preserve">Exhibit </w:t>
            </w:r>
            <w:fldSimple w:instr=" STYLEREF 2 \s ">
              <w:r>
                <w:rPr>
                  <w:noProof/>
                </w:rPr>
                <w:t>5.5</w:t>
              </w:r>
            </w:fldSimple>
            <w:r>
              <w:t>.</w:t>
            </w:r>
            <w:fldSimple w:instr=" SEQ Exhibit \* ALPHABETIC \s 2 ">
              <w:r>
                <w:rPr>
                  <w:noProof/>
                </w:rPr>
                <w:t>E</w:t>
              </w:r>
            </w:fldSimple>
            <w:bookmarkEnd w:id="510"/>
            <w:r>
              <w:t>: scribal correction by overwriting</w:t>
            </w:r>
          </w:p>
        </w:tc>
      </w:tr>
      <w:tr w14:paraId="4B937D67" w14:textId="77777777">
        <w:tc>
          <w:tcPr>
            <w:tcW w:w="2942" w:type="pct"/>
          </w:tcPr>
          <w:p w14:paraId="23FF1558" w14:textId="77777777">
            <w:pPr>
              <w:pStyle w:val="TableNote"/>
              <w:keepNext/>
            </w:pPr>
            <w:r>
              <w:t xml:space="preserve">the glyphs </w:t>
            </w:r>
            <w:r>
              <w:rPr>
                <w:rStyle w:val="Foreign"/>
              </w:rPr>
              <w:t>tuṣṭa</w:t>
            </w:r>
            <w:r>
              <w:t xml:space="preserve"> were overwritten with </w:t>
            </w:r>
            <w:r>
              <w:rPr>
                <w:rStyle w:val="Foreign"/>
              </w:rPr>
              <w:t>catu</w:t>
            </w:r>
            <w:r>
              <w:t xml:space="preserve"> because the scribe had omitted the first </w:t>
            </w:r>
            <w:r>
              <w:rPr>
                <w:rStyle w:val="Foreign"/>
              </w:rPr>
              <w:t>akṣara</w:t>
            </w:r>
            <w:r>
              <w:t xml:space="preserve"> of the word </w:t>
            </w:r>
            <w:r>
              <w:rPr>
                <w:rStyle w:val="Foreign"/>
              </w:rPr>
              <w:t>catuṣṭayaṁ</w:t>
            </w:r>
            <w:r>
              <w:t>, but noticed and corrected the mistake immediately</w:t>
            </w:r>
          </w:p>
          <w:p w14:paraId="0BE28EA3" w14:textId="77777777">
            <w:pPr>
              <w:pStyle w:val="TableNote"/>
              <w:keepNext/>
            </w:pPr>
            <w:r>
              <w:t>the pre-correction glyphs are not deleted (</w:t>
            </w:r>
            <w:r>
              <w:rPr>
                <w:rStyle w:val="Codeattribute"/>
                <w:sz w:val="18"/>
                <w:szCs w:val="18"/>
              </w:rPr>
              <w:t>@rend</w:t>
            </w:r>
            <w:r>
              <w:rPr>
                <w:rStyle w:val="Codetext"/>
              </w:rPr>
              <w:t>=</w:t>
            </w:r>
            <w:r>
              <w:rPr>
                <w:rStyle w:val="Codevalue"/>
                <w:sz w:val="18"/>
                <w:szCs w:val="18"/>
              </w:rPr>
              <w:t>"corrected"</w:t>
            </w:r>
            <w:r>
              <w:t xml:space="preserve"> on </w:t>
            </w:r>
            <w:r>
              <w:rPr>
                <w:rStyle w:val="Code"/>
                <w:sz w:val="18"/>
                <w:szCs w:val="18"/>
              </w:rPr>
              <w:t>&lt;del&gt;</w:t>
            </w:r>
            <w:r>
              <w:t>)</w:t>
            </w:r>
          </w:p>
          <w:p w14:paraId="0D86C980" w14:textId="77777777">
            <w:pPr>
              <w:pStyle w:val="TableNote"/>
              <w:keepNext/>
            </w:pPr>
            <w:r>
              <w:t>the post-correction glyphs are written over the pre-correction text (</w:t>
            </w:r>
            <w:r>
              <w:rPr>
                <w:rStyle w:val="Codeattribute"/>
                <w:sz w:val="18"/>
                <w:szCs w:val="18"/>
              </w:rPr>
              <w:t>@place</w:t>
            </w:r>
            <w:r>
              <w:rPr>
                <w:rStyle w:val="Codetext"/>
              </w:rPr>
              <w:t>=</w:t>
            </w:r>
            <w:r>
              <w:rPr>
                <w:rStyle w:val="Codevalue"/>
                <w:sz w:val="18"/>
                <w:szCs w:val="18"/>
              </w:rPr>
              <w:t>"overstrike"</w:t>
            </w:r>
            <w:r>
              <w:t xml:space="preserve"> on </w:t>
            </w:r>
            <w:r>
              <w:rPr>
                <w:rStyle w:val="Code"/>
                <w:sz w:val="18"/>
                <w:szCs w:val="18"/>
              </w:rPr>
              <w:t>&lt;add&gt;</w:t>
            </w:r>
            <w:r>
              <w:t>)</w:t>
            </w:r>
          </w:p>
        </w:tc>
        <w:tc>
          <w:tcPr>
            <w:tcW w:w="2058" w:type="pct"/>
          </w:tcPr>
          <w:p w14:paraId="06ECF584" w14:textId="77777777">
            <w:pPr>
              <w:pStyle w:val="Image"/>
            </w:pPr>
            <w:r>
              <w:drawing>
                <wp:inline distT="0" distB="0" distL="0" distR="0" wp14:anchorId="3BA170F4" wp14:editId="3B770C2B">
                  <wp:extent cx="2365200" cy="1080000"/>
                  <wp:effectExtent l="0" t="0" r="0" b="6350"/>
                  <wp:docPr id="3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365200" cy="1080000"/>
                          </a:xfrm>
                          <a:prstGeom prst="rect">
                            <a:avLst/>
                          </a:prstGeom>
                          <a:noFill/>
                          <a:ln>
                            <a:noFill/>
                          </a:ln>
                        </pic:spPr>
                      </pic:pic>
                    </a:graphicData>
                  </a:graphic>
                </wp:inline>
              </w:drawing>
            </w:r>
          </w:p>
        </w:tc>
      </w:tr>
      <w:tr w14:paraId="2523D5D2" w14:textId="77777777">
        <w:tc>
          <w:tcPr>
            <w:tcW w:w="5000" w:type="pct"/>
            <w:gridSpan w:val="2"/>
          </w:tcPr>
          <w:p w14:paraId="743EB7F3" w14:textId="77777777">
            <w:pPr>
              <w:pStyle w:val="CodeParagraph"/>
              <w:rPr>
                <w:rStyle w:val="Code"/>
              </w:rPr>
            </w:pPr>
            <w:r>
              <w:rPr>
                <w:rStyle w:val="Code"/>
              </w:rPr>
              <w:t xml:space="preserve">&lt;subst&gt;&lt;del </w:t>
            </w:r>
            <w:r>
              <w:rPr>
                <w:rStyle w:val="Codeattribute"/>
              </w:rPr>
              <w:t>rend</w:t>
            </w:r>
            <w:r>
              <w:rPr>
                <w:rStyle w:val="Code"/>
              </w:rPr>
              <w:t>=</w:t>
            </w:r>
            <w:r>
              <w:rPr>
                <w:rStyle w:val="Codevalue"/>
              </w:rPr>
              <w:t>"corrected"</w:t>
            </w:r>
            <w:r>
              <w:rPr>
                <w:rStyle w:val="Code"/>
              </w:rPr>
              <w:t>&gt;</w:t>
            </w:r>
            <w:r>
              <w:rPr>
                <w:rStyle w:val="Codetext"/>
              </w:rPr>
              <w:t>tuṣṭa</w:t>
            </w:r>
            <w:r>
              <w:rPr>
                <w:rStyle w:val="Code"/>
              </w:rPr>
              <w:t>&lt;/del&gt;&lt;add p</w:t>
            </w:r>
            <w:r>
              <w:rPr>
                <w:rStyle w:val="Codeattribute"/>
              </w:rPr>
              <w:t>lace</w:t>
            </w:r>
            <w:r>
              <w:rPr>
                <w:rStyle w:val="Code"/>
              </w:rPr>
              <w:t>=</w:t>
            </w:r>
            <w:r>
              <w:rPr>
                <w:rStyle w:val="Codevalue"/>
              </w:rPr>
              <w:t>"overstrike"</w:t>
            </w:r>
            <w:r>
              <w:rPr>
                <w:rStyle w:val="Code"/>
              </w:rPr>
              <w:t>&gt;</w:t>
            </w:r>
            <w:r>
              <w:rPr>
                <w:rStyle w:val="Codetext"/>
              </w:rPr>
              <w:t>catu</w:t>
            </w:r>
            <w:r>
              <w:rPr>
                <w:rStyle w:val="Code"/>
              </w:rPr>
              <w:t>&lt;/add&gt;&lt;/subst&gt;</w:t>
            </w:r>
            <w:r>
              <w:rPr>
                <w:rStyle w:val="Codetext"/>
              </w:rPr>
              <w:t>ṣṭayaṁ</w:t>
            </w:r>
          </w:p>
        </w:tc>
      </w:tr>
    </w:tbl>
    <w:p w14:paraId="6ACEAC88" w14:textId="77777777"/>
    <w:tbl>
      <w:tblPr>
        <w:tblStyle w:val="CodeSampleTable"/>
        <w:tblW w:w="5000" w:type="pct"/>
        <w:tblLook w:val="04A0" w:firstRow="1" w:lastRow="0" w:firstColumn="1" w:lastColumn="0" w:noHBand="0" w:noVBand="1"/>
      </w:tblPr>
      <w:tblGrid>
        <w:gridCol w:w="5808"/>
        <w:gridCol w:w="3820"/>
      </w:tblGrid>
      <w:tr w14:paraId="2EC9288F"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15BDD60B" w14:textId="0B5D1502">
            <w:pPr>
              <w:pStyle w:val="Kpalrs"/>
            </w:pPr>
            <w:bookmarkStart w:id="511" w:name="_Ref227852091"/>
            <w:r>
              <w:lastRenderedPageBreak/>
              <w:t xml:space="preserve">Exhibit </w:t>
            </w:r>
            <w:fldSimple w:instr=" STYLEREF 2 \s ">
              <w:r>
                <w:rPr>
                  <w:noProof/>
                </w:rPr>
                <w:t>5.5</w:t>
              </w:r>
            </w:fldSimple>
            <w:r>
              <w:t>.</w:t>
            </w:r>
            <w:fldSimple w:instr=" SEQ Exhibit \* ALPHABETIC \s 2 ">
              <w:r>
                <w:rPr>
                  <w:noProof/>
                </w:rPr>
                <w:t>F</w:t>
              </w:r>
            </w:fldSimple>
            <w:bookmarkEnd w:id="511"/>
            <w:r>
              <w:t>: scribal correction written inline</w:t>
            </w:r>
          </w:p>
        </w:tc>
      </w:tr>
      <w:tr w14:paraId="715B8C95" w14:textId="77777777">
        <w:trPr>
          <w:trHeight w:val="1830"/>
        </w:trPr>
        <w:tc>
          <w:tcPr>
            <w:tcW w:w="3016" w:type="pct"/>
          </w:tcPr>
          <w:p w14:paraId="7625B124" w14:textId="77777777">
            <w:pPr>
              <w:pStyle w:val="TableNote"/>
              <w:keepNext/>
            </w:pPr>
            <w:r>
              <w:t xml:space="preserve">an originally inscribed </w:t>
            </w:r>
            <w:r>
              <w:rPr>
                <w:rStyle w:val="Foreign"/>
              </w:rPr>
              <w:t>dvau</w:t>
            </w:r>
            <w:r>
              <w:t xml:space="preserve"> was corrected to </w:t>
            </w:r>
            <w:r>
              <w:rPr>
                <w:rStyle w:val="Foreign"/>
              </w:rPr>
              <w:t>dve</w:t>
            </w:r>
            <w:r>
              <w:t xml:space="preserve"> immediately</w:t>
            </w:r>
          </w:p>
          <w:p w14:paraId="1F099EF4" w14:textId="77777777">
            <w:pPr>
              <w:pStyle w:val="TableNote"/>
              <w:keepNext/>
            </w:pPr>
            <w:r>
              <w:t>the correction is placed after the pre-correction glyph (</w:t>
            </w:r>
            <w:r>
              <w:rPr>
                <w:rStyle w:val="Codeattribute"/>
                <w:sz w:val="18"/>
                <w:szCs w:val="18"/>
              </w:rPr>
              <w:t>@place</w:t>
            </w:r>
            <w:r>
              <w:rPr>
                <w:rStyle w:val="Codetext"/>
              </w:rPr>
              <w:t>=</w:t>
            </w:r>
            <w:r>
              <w:rPr>
                <w:rStyle w:val="Codevalue"/>
                <w:sz w:val="18"/>
                <w:szCs w:val="18"/>
              </w:rPr>
              <w:t>"inline"</w:t>
            </w:r>
            <w:r>
              <w:t xml:space="preserve"> on </w:t>
            </w:r>
            <w:r>
              <w:rPr>
                <w:rStyle w:val="Code"/>
                <w:sz w:val="18"/>
                <w:szCs w:val="18"/>
              </w:rPr>
              <w:t>&lt;add&gt;</w:t>
            </w:r>
            <w:r>
              <w:t>)</w:t>
            </w:r>
          </w:p>
          <w:p w14:paraId="4F23A745" w14:textId="77777777">
            <w:pPr>
              <w:pStyle w:val="TableNote"/>
              <w:keepNext/>
            </w:pPr>
            <w:r>
              <w:t xml:space="preserve">the incorrect </w:t>
            </w:r>
            <w:r>
              <w:rPr>
                <w:rStyle w:val="Foreign"/>
              </w:rPr>
              <w:t>dvau</w:t>
            </w:r>
            <w:r>
              <w:t xml:space="preserve"> was not explicitly cancelled (</w:t>
            </w:r>
            <w:r>
              <w:rPr>
                <w:rStyle w:val="Codeattribute"/>
                <w:sz w:val="18"/>
                <w:szCs w:val="18"/>
              </w:rPr>
              <w:t>@rend</w:t>
            </w:r>
            <w:r>
              <w:rPr>
                <w:rStyle w:val="Codetext"/>
              </w:rPr>
              <w:t>=</w:t>
            </w:r>
            <w:r>
              <w:rPr>
                <w:rStyle w:val="Codevalue"/>
                <w:sz w:val="18"/>
                <w:szCs w:val="18"/>
              </w:rPr>
              <w:t>"corrected"</w:t>
            </w:r>
            <w:r>
              <w:t xml:space="preserve"> on </w:t>
            </w:r>
            <w:r>
              <w:rPr>
                <w:rStyle w:val="Code"/>
                <w:sz w:val="18"/>
                <w:szCs w:val="18"/>
              </w:rPr>
              <w:t>&lt;del&gt;</w:t>
            </w:r>
            <w:r>
              <w:t>)</w:t>
            </w:r>
          </w:p>
        </w:tc>
        <w:tc>
          <w:tcPr>
            <w:tcW w:w="1984" w:type="pct"/>
          </w:tcPr>
          <w:p w14:paraId="25D4D77D" w14:textId="77777777">
            <w:pPr>
              <w:pStyle w:val="Image"/>
            </w:pPr>
            <w:r>
              <w:rPr>
                <w:rStyle w:val="Codevalue"/>
              </w:rPr>
              <w:drawing>
                <wp:inline distT="0" distB="0" distL="0" distR="0" wp14:anchorId="611AAB0E" wp14:editId="57212555">
                  <wp:extent cx="2347200" cy="1080000"/>
                  <wp:effectExtent l="0" t="0" r="0" b="6350"/>
                  <wp:docPr id="37"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347200" cy="1080000"/>
                          </a:xfrm>
                          <a:prstGeom prst="rect">
                            <a:avLst/>
                          </a:prstGeom>
                          <a:noFill/>
                          <a:ln>
                            <a:noFill/>
                          </a:ln>
                        </pic:spPr>
                      </pic:pic>
                    </a:graphicData>
                  </a:graphic>
                </wp:inline>
              </w:drawing>
            </w:r>
          </w:p>
        </w:tc>
      </w:tr>
      <w:tr w14:paraId="3CC44B52" w14:textId="77777777">
        <w:tc>
          <w:tcPr>
            <w:tcW w:w="5000" w:type="pct"/>
            <w:gridSpan w:val="2"/>
          </w:tcPr>
          <w:p w14:paraId="602D167B" w14:textId="77777777">
            <w:pPr>
              <w:pStyle w:val="CodeParagraph"/>
              <w:rPr>
                <w:rStyle w:val="Code"/>
              </w:rPr>
            </w:pPr>
            <w:r>
              <w:rPr>
                <w:rStyle w:val="Codetext"/>
              </w:rPr>
              <w:t xml:space="preserve">devakule </w:t>
            </w:r>
            <w:r>
              <w:rPr>
                <w:rStyle w:val="Code"/>
              </w:rPr>
              <w:t xml:space="preserve">&lt;subst&gt;&lt;del </w:t>
            </w:r>
            <w:r>
              <w:rPr>
                <w:rStyle w:val="Codeattribute"/>
              </w:rPr>
              <w:t>rend</w:t>
            </w:r>
            <w:r>
              <w:rPr>
                <w:rStyle w:val="Codetext"/>
              </w:rPr>
              <w:t>=</w:t>
            </w:r>
            <w:r>
              <w:rPr>
                <w:rStyle w:val="Codevalue"/>
              </w:rPr>
              <w:t>"corrected"</w:t>
            </w:r>
            <w:r>
              <w:rPr>
                <w:rStyle w:val="Code"/>
              </w:rPr>
              <w:t>&gt;</w:t>
            </w:r>
            <w:r>
              <w:rPr>
                <w:rStyle w:val="Codetext"/>
              </w:rPr>
              <w:t>dvau</w:t>
            </w:r>
            <w:r>
              <w:rPr>
                <w:rStyle w:val="Code"/>
              </w:rPr>
              <w:t xml:space="preserve">&lt;/del&gt;&lt;add </w:t>
            </w:r>
            <w:r>
              <w:rPr>
                <w:rStyle w:val="Codeattribute"/>
              </w:rPr>
              <w:t>place</w:t>
            </w:r>
            <w:r>
              <w:rPr>
                <w:rStyle w:val="Codetext"/>
              </w:rPr>
              <w:t>=</w:t>
            </w:r>
            <w:r>
              <w:rPr>
                <w:rStyle w:val="Codevalue"/>
              </w:rPr>
              <w:t>"inline"</w:t>
            </w:r>
            <w:r>
              <w:rPr>
                <w:rStyle w:val="Code"/>
              </w:rPr>
              <w:t>&gt;</w:t>
            </w:r>
            <w:r>
              <w:rPr>
                <w:rStyle w:val="Codetext"/>
              </w:rPr>
              <w:t>dve</w:t>
            </w:r>
            <w:r>
              <w:rPr>
                <w:rStyle w:val="Code"/>
              </w:rPr>
              <w:t>&lt;/add&gt;&lt;/subst&gt;</w:t>
            </w:r>
          </w:p>
        </w:tc>
      </w:tr>
    </w:tbl>
    <w:p w14:paraId="518A4C13" w14:textId="77777777"/>
    <w:tbl>
      <w:tblPr>
        <w:tblStyle w:val="CodeSampleTable"/>
        <w:tblW w:w="5000" w:type="pct"/>
        <w:tblLook w:val="04A0" w:firstRow="1" w:lastRow="0" w:firstColumn="1" w:lastColumn="0" w:noHBand="0" w:noVBand="1"/>
      </w:tblPr>
      <w:tblGrid>
        <w:gridCol w:w="6659"/>
        <w:gridCol w:w="2969"/>
      </w:tblGrid>
      <w:tr w14:paraId="18A15932"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41955316" w14:textId="4035BB5A">
            <w:pPr>
              <w:pStyle w:val="Kpalrs"/>
              <w:keepLines/>
            </w:pPr>
            <w:bookmarkStart w:id="512" w:name="_Ref44078634"/>
            <w:r>
              <w:t xml:space="preserve">Exhibit </w:t>
            </w:r>
            <w:fldSimple w:instr=" STYLEREF 2 \s ">
              <w:r>
                <w:rPr>
                  <w:noProof/>
                </w:rPr>
                <w:t>5.5</w:t>
              </w:r>
            </w:fldSimple>
            <w:r>
              <w:t>.</w:t>
            </w:r>
            <w:fldSimple w:instr=" SEQ Exhibit \* ALPHABETIC \s 2 ">
              <w:r>
                <w:rPr>
                  <w:noProof/>
                </w:rPr>
                <w:t>G</w:t>
              </w:r>
            </w:fldSimple>
            <w:bookmarkEnd w:id="512"/>
            <w:r>
              <w:t>: scribal correction by striking out a component</w:t>
            </w:r>
          </w:p>
        </w:tc>
      </w:tr>
      <w:tr w14:paraId="051EBBCF" w14:textId="77777777">
        <w:tc>
          <w:tcPr>
            <w:tcW w:w="3458" w:type="pct"/>
          </w:tcPr>
          <w:p w14:paraId="00E7A3B7" w14:textId="77777777">
            <w:pPr>
              <w:pStyle w:val="TableNote"/>
              <w:keepNext/>
              <w:keepLines/>
            </w:pPr>
            <w:r>
              <w:t xml:space="preserve">an originally inscribed </w:t>
            </w:r>
            <w:r>
              <w:rPr>
                <w:rStyle w:val="Foreign"/>
              </w:rPr>
              <w:t>prisaṅgi</w:t>
            </w:r>
            <w:r>
              <w:t xml:space="preserve"> was corrected to </w:t>
            </w:r>
            <w:r>
              <w:rPr>
                <w:rStyle w:val="Foreign"/>
              </w:rPr>
              <w:t>prasaṅgi</w:t>
            </w:r>
            <w:r>
              <w:t xml:space="preserve"> by striking out the superfluous </w:t>
            </w:r>
            <w:r>
              <w:rPr>
                <w:rStyle w:val="Foreign"/>
              </w:rPr>
              <w:t xml:space="preserve">i </w:t>
            </w:r>
            <w:r>
              <w:t>marker</w:t>
            </w:r>
          </w:p>
          <w:p w14:paraId="51806112" w14:textId="77777777">
            <w:pPr>
              <w:pStyle w:val="TableNote"/>
              <w:keepNext/>
              <w:keepLines/>
            </w:pPr>
            <w:r>
              <w:rPr>
                <w:rStyle w:val="Codeattribute"/>
              </w:rPr>
              <w:t>@rend</w:t>
            </w:r>
            <w:r>
              <w:t xml:space="preserve"> is not used on </w:t>
            </w:r>
            <w:r>
              <w:rPr>
                <w:rStyle w:val="Code"/>
              </w:rPr>
              <w:t>&lt;del&gt;</w:t>
            </w:r>
            <w:r>
              <w:t xml:space="preserve">, since the </w:t>
            </w:r>
            <w:r>
              <w:rPr>
                <w:rStyle w:val="Foreign"/>
              </w:rPr>
              <w:t>i</w:t>
            </w:r>
            <w:r>
              <w:t xml:space="preserve"> was erased, which is the default method of deletion </w:t>
            </w:r>
          </w:p>
          <w:p w14:paraId="4518D538" w14:textId="74B5C175">
            <w:pPr>
              <w:pStyle w:val="TableNote"/>
              <w:keepNext/>
              <w:keepLines/>
            </w:pPr>
            <w:r>
              <w:t xml:space="preserve">although no explicit </w:t>
            </w:r>
            <w:r>
              <w:rPr>
                <w:rStyle w:val="Foreign"/>
              </w:rPr>
              <w:t>a</w:t>
            </w:r>
            <w:r>
              <w:t xml:space="preserve"> was engraved, the deletion of </w:t>
            </w:r>
            <w:r>
              <w:rPr>
                <w:rStyle w:val="Foreign"/>
              </w:rPr>
              <w:t>i</w:t>
            </w:r>
            <w:r>
              <w:t xml:space="preserve"> entails the replacement of that grapheme by </w:t>
            </w:r>
            <w:r>
              <w:rPr>
                <w:rStyle w:val="Foreign"/>
              </w:rPr>
              <w:t>a</w:t>
            </w:r>
            <w:r>
              <w:t>, so this must be encoded as correction rather than deletion (§</w:t>
            </w:r>
            <w:r>
              <w:fldChar w:fldCharType="begin"/>
            </w:r>
            <w:r>
              <w:instrText xml:space="preserve"> REF _Ref228890328 \r \h </w:instrText>
            </w:r>
            <w:r>
              <w:fldChar w:fldCharType="separate"/>
            </w:r>
            <w:r>
              <w:t>5.5.4</w:t>
            </w:r>
            <w:r>
              <w:fldChar w:fldCharType="end"/>
            </w:r>
            <w:r>
              <w:t>)</w:t>
            </w:r>
          </w:p>
          <w:p w14:paraId="64B896F0" w14:textId="77777777">
            <w:pPr>
              <w:pStyle w:val="TableNote"/>
              <w:keepNext/>
              <w:keepLines/>
            </w:pPr>
            <w:r>
              <w:t xml:space="preserve">the addition is encoded with </w:t>
            </w:r>
            <w:r>
              <w:rPr>
                <w:rStyle w:val="Codeattribute"/>
              </w:rPr>
              <w:t>@place</w:t>
            </w:r>
            <w:r>
              <w:rPr>
                <w:rStyle w:val="Code"/>
              </w:rPr>
              <w:t>=</w:t>
            </w:r>
            <w:r>
              <w:rPr>
                <w:rStyle w:val="Codevalue"/>
              </w:rPr>
              <w:t>"overstrike"</w:t>
            </w:r>
            <w:r>
              <w:t xml:space="preserve"> because the post-correction reading is in the same place as the pre-correction reading</w:t>
            </w:r>
          </w:p>
        </w:tc>
        <w:tc>
          <w:tcPr>
            <w:tcW w:w="1542" w:type="pct"/>
          </w:tcPr>
          <w:p w14:paraId="18836DFA" w14:textId="77777777">
            <w:pPr>
              <w:pStyle w:val="Image"/>
              <w:keepLines/>
              <w:widowControl/>
            </w:pPr>
            <w:r>
              <w:drawing>
                <wp:inline distT="0" distB="0" distL="0" distR="0" wp14:anchorId="2DA20147" wp14:editId="3B17BAA3">
                  <wp:extent cx="1742400" cy="1080000"/>
                  <wp:effectExtent l="0" t="0" r="0" b="6350"/>
                  <wp:docPr id="42" name="Kép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742400" cy="1080000"/>
                          </a:xfrm>
                          <a:prstGeom prst="rect">
                            <a:avLst/>
                          </a:prstGeom>
                          <a:noFill/>
                          <a:ln>
                            <a:noFill/>
                          </a:ln>
                        </pic:spPr>
                      </pic:pic>
                    </a:graphicData>
                  </a:graphic>
                </wp:inline>
              </w:drawing>
            </w:r>
          </w:p>
        </w:tc>
      </w:tr>
      <w:tr w14:paraId="2F5DA27B" w14:textId="77777777">
        <w:tc>
          <w:tcPr>
            <w:tcW w:w="5000" w:type="pct"/>
            <w:gridSpan w:val="2"/>
          </w:tcPr>
          <w:p w14:paraId="07179938" w14:textId="77777777">
            <w:pPr>
              <w:pStyle w:val="CodeParagraph"/>
              <w:rPr>
                <w:rStyle w:val="Code"/>
              </w:rPr>
            </w:pPr>
            <w:r>
              <w:rPr>
                <w:rStyle w:val="Codetext"/>
              </w:rPr>
              <w:t>pr</w:t>
            </w:r>
            <w:r>
              <w:rPr>
                <w:rStyle w:val="Code"/>
              </w:rPr>
              <w:t>&lt;subst&gt;&lt;del&gt;</w:t>
            </w:r>
            <w:r>
              <w:rPr>
                <w:rStyle w:val="Codetext"/>
              </w:rPr>
              <w:t>i</w:t>
            </w:r>
            <w:r>
              <w:rPr>
                <w:rStyle w:val="Code"/>
              </w:rPr>
              <w:t xml:space="preserve">&lt;/del&gt;&lt;add </w:t>
            </w:r>
            <w:r>
              <w:rPr>
                <w:rStyle w:val="Codeattribute"/>
              </w:rPr>
              <w:t>place</w:t>
            </w:r>
            <w:r>
              <w:rPr>
                <w:rStyle w:val="Code"/>
              </w:rPr>
              <w:t>=</w:t>
            </w:r>
            <w:r>
              <w:rPr>
                <w:rStyle w:val="Codevalue"/>
              </w:rPr>
              <w:t>"overstrike"</w:t>
            </w:r>
            <w:r>
              <w:rPr>
                <w:rStyle w:val="Code"/>
              </w:rPr>
              <w:t>&gt;</w:t>
            </w:r>
            <w:r>
              <w:rPr>
                <w:rStyle w:val="Codetext"/>
              </w:rPr>
              <w:t>a</w:t>
            </w:r>
            <w:r>
              <w:rPr>
                <w:rStyle w:val="Code"/>
              </w:rPr>
              <w:t>&lt;/add&gt;&lt;/subst&gt;</w:t>
            </w:r>
            <w:r>
              <w:rPr>
                <w:rStyle w:val="Codetext"/>
              </w:rPr>
              <w:t>saṅgi</w:t>
            </w:r>
          </w:p>
        </w:tc>
      </w:tr>
    </w:tbl>
    <w:p w14:paraId="362F17CF" w14:textId="77777777"/>
    <w:tbl>
      <w:tblPr>
        <w:tblStyle w:val="CodeSampleTable"/>
        <w:tblW w:w="5000" w:type="pct"/>
        <w:tblLook w:val="04A0" w:firstRow="1" w:lastRow="0" w:firstColumn="1" w:lastColumn="0" w:noHBand="0" w:noVBand="1"/>
      </w:tblPr>
      <w:tblGrid>
        <w:gridCol w:w="5280"/>
        <w:gridCol w:w="4348"/>
      </w:tblGrid>
      <w:tr w14:paraId="73F86FB8"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47B132D8" w14:textId="2A950499">
            <w:pPr>
              <w:pStyle w:val="Kpalrs"/>
            </w:pPr>
            <w:bookmarkStart w:id="513" w:name="_Ref227853363"/>
            <w:r>
              <w:t xml:space="preserve">Exhibit </w:t>
            </w:r>
            <w:fldSimple w:instr=" STYLEREF 2 \s ">
              <w:r>
                <w:rPr>
                  <w:noProof/>
                </w:rPr>
                <w:t>5.5</w:t>
              </w:r>
            </w:fldSimple>
            <w:r>
              <w:t>.</w:t>
            </w:r>
            <w:fldSimple w:instr=" SEQ Exhibit \* ALPHABETIC \s 2 ">
              <w:r>
                <w:rPr>
                  <w:noProof/>
                </w:rPr>
                <w:t>H</w:t>
              </w:r>
            </w:fldSimple>
            <w:bookmarkEnd w:id="513"/>
            <w:r>
              <w:t>: implied scribal transposition</w:t>
            </w:r>
          </w:p>
        </w:tc>
      </w:tr>
      <w:tr w14:paraId="3050D34F" w14:textId="77777777">
        <w:trPr>
          <w:trHeight w:val="1260"/>
        </w:trPr>
        <w:tc>
          <w:tcPr>
            <w:tcW w:w="2742" w:type="pct"/>
          </w:tcPr>
          <w:p w14:paraId="1CE2CB39" w14:textId="77777777">
            <w:pPr>
              <w:pStyle w:val="TableNote"/>
              <w:keepNext/>
            </w:pPr>
            <w:r>
              <w:t xml:space="preserve">an originally inscribed </w:t>
            </w:r>
            <w:r>
              <w:rPr>
                <w:rStyle w:val="Foreign"/>
              </w:rPr>
              <w:t>ri lata</w:t>
            </w:r>
            <w:r>
              <w:t xml:space="preserve"> was corrected to </w:t>
            </w:r>
            <w:r>
              <w:rPr>
                <w:rStyle w:val="Foreign"/>
              </w:rPr>
              <w:t>ri tala</w:t>
            </w:r>
            <w:r>
              <w:t xml:space="preserve"> in a manuscript by adding a scribal mark</w:t>
            </w:r>
          </w:p>
        </w:tc>
        <w:tc>
          <w:tcPr>
            <w:tcW w:w="2258" w:type="pct"/>
          </w:tcPr>
          <w:p w14:paraId="439B1A68" w14:textId="77777777">
            <w:pPr>
              <w:pStyle w:val="Image"/>
            </w:pPr>
            <w:r>
              <w:drawing>
                <wp:inline distT="0" distB="0" distL="0" distR="0" wp14:anchorId="185FE1C0" wp14:editId="67C38200">
                  <wp:extent cx="2592000" cy="720000"/>
                  <wp:effectExtent l="0" t="0" r="0" b="4445"/>
                  <wp:docPr id="1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2">
                            <a:extLst>
                              <a:ext uri="{28A0092B-C50C-407E-A947-70E740481C1C}">
                                <a14:useLocalDpi xmlns:a14="http://schemas.microsoft.com/office/drawing/2010/main" val="0"/>
                              </a:ext>
                            </a:extLst>
                          </a:blip>
                          <a:srcRect/>
                          <a:stretch>
                            <a:fillRect/>
                          </a:stretch>
                        </pic:blipFill>
                        <pic:spPr>
                          <a:xfrm>
                            <a:off x="0" y="0"/>
                            <a:ext cx="2592000" cy="720000"/>
                          </a:xfrm>
                          <a:prstGeom prst="rect">
                            <a:avLst/>
                          </a:prstGeom>
                          <a:ln/>
                        </pic:spPr>
                      </pic:pic>
                    </a:graphicData>
                  </a:graphic>
                </wp:inline>
              </w:drawing>
            </w:r>
          </w:p>
        </w:tc>
      </w:tr>
      <w:tr w14:paraId="26001499" w14:textId="77777777">
        <w:tc>
          <w:tcPr>
            <w:tcW w:w="5000" w:type="pct"/>
            <w:gridSpan w:val="2"/>
          </w:tcPr>
          <w:p w14:paraId="27C75B23" w14:textId="77777777">
            <w:pPr>
              <w:pStyle w:val="CodeParagraph"/>
            </w:pPr>
            <w:r>
              <w:rPr>
                <w:rStyle w:val="Codetext"/>
              </w:rPr>
              <w:t>ri</w:t>
            </w:r>
            <w:r>
              <w:rPr>
                <w:rStyle w:val="Code"/>
              </w:rPr>
              <w:t xml:space="preserve">&lt;subst&gt;&lt;del </w:t>
            </w:r>
            <w:r>
              <w:rPr>
                <w:rStyle w:val="Codeattribute"/>
              </w:rPr>
              <w:t>rend</w:t>
            </w:r>
            <w:r>
              <w:rPr>
                <w:rStyle w:val="Code"/>
              </w:rPr>
              <w:t>=</w:t>
            </w:r>
            <w:r>
              <w:rPr>
                <w:rStyle w:val="Codevalue"/>
              </w:rPr>
              <w:t>"corrected"</w:t>
            </w:r>
            <w:r>
              <w:rPr>
                <w:rStyle w:val="Code"/>
              </w:rPr>
              <w:t>&gt;</w:t>
            </w:r>
            <w:r>
              <w:rPr>
                <w:rStyle w:val="Codetext"/>
              </w:rPr>
              <w:t>lata</w:t>
            </w:r>
            <w:r>
              <w:rPr>
                <w:rStyle w:val="Code"/>
              </w:rPr>
              <w:t xml:space="preserve">&lt;/del&gt;&lt;add </w:t>
            </w:r>
            <w:r>
              <w:rPr>
                <w:rStyle w:val="Codeattribute"/>
              </w:rPr>
              <w:t>place</w:t>
            </w:r>
            <w:r>
              <w:rPr>
                <w:rStyle w:val="Code"/>
              </w:rPr>
              <w:t>=</w:t>
            </w:r>
            <w:r>
              <w:rPr>
                <w:rStyle w:val="Codevalue"/>
              </w:rPr>
              <w:t xml:space="preserve">"overstrike" </w:t>
            </w:r>
            <w:r>
              <w:rPr>
                <w:rStyle w:val="Codeattribute"/>
              </w:rPr>
              <w:t>rend</w:t>
            </w:r>
            <w:r>
              <w:rPr>
                <w:rStyle w:val="Code"/>
              </w:rPr>
              <w:t>=</w:t>
            </w:r>
            <w:r>
              <w:rPr>
                <w:rStyle w:val="Codevalue"/>
              </w:rPr>
              <w:t>"mark"</w:t>
            </w:r>
            <w:r>
              <w:rPr>
                <w:rStyle w:val="Code"/>
              </w:rPr>
              <w:t>&gt;</w:t>
            </w:r>
            <w:r>
              <w:rPr>
                <w:rStyle w:val="Codetext"/>
              </w:rPr>
              <w:t>tala</w:t>
            </w:r>
            <w:r>
              <w:rPr>
                <w:rStyle w:val="Code"/>
              </w:rPr>
              <w:t>&lt;/add&gt;&lt;/subst&gt;</w:t>
            </w:r>
          </w:p>
        </w:tc>
      </w:tr>
      <w:tr w14:paraId="0C00BC24" w14:textId="77777777">
        <w:tc>
          <w:tcPr>
            <w:tcW w:w="5000" w:type="pct"/>
            <w:gridSpan w:val="2"/>
          </w:tcPr>
          <w:p w14:paraId="6C2304FA" w14:textId="77777777">
            <w:pPr>
              <w:pStyle w:val="TableNote"/>
            </w:pPr>
            <w:r>
              <w:t>although the intended correction is not explicitly written anywhere, the intent was clear to the editor, so the encoding records implied correction with the details that can be represented in our encoding scheme:</w:t>
            </w:r>
          </w:p>
          <w:p w14:paraId="1682CB08" w14:textId="77777777">
            <w:pPr>
              <w:pStyle w:val="TableNote"/>
            </w:pPr>
            <w:r>
              <w:t xml:space="preserve">that the pre-correction text is not explicitly deleted, but overruled by the correction </w:t>
            </w:r>
            <w:r>
              <w:rPr>
                <w:noProof/>
              </w:rPr>
              <w:t>(</w:t>
            </w:r>
            <w:r>
              <w:rPr>
                <w:rStyle w:val="Codeattribute"/>
              </w:rPr>
              <w:t>@rend</w:t>
            </w:r>
            <w:r>
              <w:rPr>
                <w:rStyle w:val="Code"/>
              </w:rPr>
              <w:t>=</w:t>
            </w:r>
            <w:r>
              <w:rPr>
                <w:rStyle w:val="Codevalue"/>
              </w:rPr>
              <w:t>"corrected"</w:t>
            </w:r>
            <w:r>
              <w:t xml:space="preserve"> on </w:t>
            </w:r>
            <w:r>
              <w:rPr>
                <w:rStyle w:val="Code"/>
              </w:rPr>
              <w:t>&lt;del&gt;</w:t>
            </w:r>
            <w:r>
              <w:t>)</w:t>
            </w:r>
          </w:p>
          <w:p w14:paraId="32B3AE13" w14:textId="77777777">
            <w:pPr>
              <w:pStyle w:val="TableNote"/>
            </w:pPr>
            <w:r>
              <w:t xml:space="preserve">that the post-correction text is right there and not somewhere else on the support </w:t>
            </w:r>
            <w:r>
              <w:rPr>
                <w:noProof/>
              </w:rPr>
              <w:t>(</w:t>
            </w:r>
            <w:r>
              <w:rPr>
                <w:rStyle w:val="Codeattribute"/>
              </w:rPr>
              <w:t>@place</w:t>
            </w:r>
            <w:r>
              <w:rPr>
                <w:rStyle w:val="Code"/>
              </w:rPr>
              <w:t>=</w:t>
            </w:r>
            <w:r>
              <w:rPr>
                <w:rStyle w:val="Codevalue"/>
              </w:rPr>
              <w:t>"overstrike"</w:t>
            </w:r>
            <w:r>
              <w:t xml:space="preserve"> on </w:t>
            </w:r>
            <w:r>
              <w:rPr>
                <w:rStyle w:val="Code"/>
              </w:rPr>
              <w:t>&lt;add&gt;</w:t>
            </w:r>
            <w:r>
              <w:t>)</w:t>
            </w:r>
          </w:p>
          <w:p w14:paraId="3229E346" w14:textId="77777777">
            <w:pPr>
              <w:pStyle w:val="TableNote"/>
              <w:rPr>
                <w:rStyle w:val="Code"/>
              </w:rPr>
            </w:pPr>
            <w:r>
              <w:t xml:space="preserve">that a scribal mark is present </w:t>
            </w:r>
            <w:r>
              <w:rPr>
                <w:noProof/>
              </w:rPr>
              <w:t>(</w:t>
            </w:r>
            <w:r>
              <w:rPr>
                <w:rStyle w:val="Codeattribute"/>
              </w:rPr>
              <w:t>@rend</w:t>
            </w:r>
            <w:r>
              <w:rPr>
                <w:rStyle w:val="Code"/>
              </w:rPr>
              <w:t>=</w:t>
            </w:r>
            <w:r>
              <w:rPr>
                <w:rStyle w:val="Codevalue"/>
              </w:rPr>
              <w:t>"mark"</w:t>
            </w:r>
            <w:r>
              <w:t xml:space="preserve"> on </w:t>
            </w:r>
            <w:r>
              <w:rPr>
                <w:rStyle w:val="Code"/>
              </w:rPr>
              <w:t>&lt;add&gt;</w:t>
            </w:r>
            <w:r>
              <w:t>)</w:t>
            </w:r>
          </w:p>
        </w:tc>
      </w:tr>
    </w:tbl>
    <w:p w14:paraId="5AAA5882" w14:textId="77777777">
      <w:pPr>
        <w:pStyle w:val="Cmsor3"/>
      </w:pPr>
      <w:bookmarkStart w:id="514" w:name="_Ref228890328"/>
      <w:bookmarkStart w:id="515" w:name="_Toc243922663"/>
      <w:r>
        <w:t>Good practice in encoding scribal intervention</w:t>
      </w:r>
      <w:bookmarkEnd w:id="514"/>
      <w:bookmarkEnd w:id="515"/>
    </w:p>
    <w:p w14:paraId="541259E1" w14:textId="4F41DB42">
      <w:r>
        <w:t>Since the units to which all our encoding applies are the source graphemes (for which see also §</w:t>
      </w:r>
      <w:r>
        <w:fldChar w:fldCharType="begin"/>
      </w:r>
      <w:r>
        <w:instrText xml:space="preserve"> REF _Ref227844670 \r \h </w:instrText>
      </w:r>
      <w:r>
        <w:fldChar w:fldCharType="separate"/>
      </w:r>
      <w:r>
        <w:t>16.3</w:t>
      </w:r>
      <w:r>
        <w:fldChar w:fldCharType="end"/>
      </w:r>
      <w:r>
        <w:t xml:space="preserve">), scribal intervention can only be, and must always be, represented in our editions in terms of graphemes, and not in terms of </w:t>
      </w:r>
      <w:r>
        <w:rPr>
          <w:rStyle w:val="Foreign"/>
        </w:rPr>
        <w:t>akṣara</w:t>
      </w:r>
      <w:r>
        <w:rPr>
          <w:rStyle w:val="Foreign"/>
          <w:i w:val="0"/>
          <w:iCs w:val="0"/>
        </w:rPr>
        <w:t>s</w:t>
      </w:r>
      <w:r>
        <w:t>, graphs, elements or any other unit. This has the following important implications.</w:t>
      </w:r>
    </w:p>
    <w:p w14:paraId="5F0EE0BB" w14:textId="77777777">
      <w:pPr>
        <w:pStyle w:val="Lista"/>
      </w:pPr>
      <w:r>
        <w:t xml:space="preserve">scribal intervention </w:t>
      </w:r>
      <w:r>
        <w:rPr>
          <w:i/>
          <w:iCs/>
        </w:rPr>
        <w:t>can</w:t>
      </w:r>
      <w:r>
        <w:t xml:space="preserve"> apply to a unit smaller than the </w:t>
      </w:r>
      <w:r>
        <w:rPr>
          <w:rStyle w:val="Foreign"/>
        </w:rPr>
        <w:t>akṣara</w:t>
      </w:r>
      <w:r>
        <w:t xml:space="preserve">, so if one or more component graphs of a complex glyph have been changed by the scribe, this is to be encoded as a specific change of the corresponding graphemes, and not as a correction of the entire </w:t>
      </w:r>
      <w:r>
        <w:rPr>
          <w:rStyle w:val="Foreign"/>
        </w:rPr>
        <w:t>akṣara</w:t>
      </w:r>
      <w:r>
        <w:t xml:space="preserve"> (as it would usually be shown in an edition printed in an Indic script), for example</w:t>
      </w:r>
    </w:p>
    <w:p w14:paraId="58D05786" w14:textId="77777777">
      <w:pPr>
        <w:pStyle w:val="Lista3"/>
      </w:pPr>
      <w:r>
        <w:t xml:space="preserve">in deletion, </w:t>
      </w:r>
      <w:r>
        <w:rPr>
          <w:rStyle w:val="Codetext"/>
        </w:rPr>
        <w:t>ś</w:t>
      </w:r>
      <w:r>
        <w:rPr>
          <w:rStyle w:val="Code"/>
        </w:rPr>
        <w:t>&lt;del&gt;</w:t>
      </w:r>
      <w:r>
        <w:rPr>
          <w:rStyle w:val="Codetext"/>
        </w:rPr>
        <w:t>r</w:t>
      </w:r>
      <w:r>
        <w:rPr>
          <w:rStyle w:val="Code"/>
        </w:rPr>
        <w:t>&lt;/del&gt;</w:t>
      </w:r>
      <w:r>
        <w:rPr>
          <w:rStyle w:val="Codetext"/>
        </w:rPr>
        <w:t>āpa</w:t>
      </w:r>
    </w:p>
    <w:p w14:paraId="4BBA979B" w14:textId="77777777">
      <w:pPr>
        <w:pStyle w:val="Lista4"/>
      </w:pPr>
      <w:r>
        <w:rPr>
          <w:b/>
          <w:bCs/>
        </w:rPr>
        <w:t>not</w:t>
      </w:r>
      <w:r>
        <w:t xml:space="preserve"> </w:t>
      </w:r>
      <w:r>
        <w:rPr>
          <w:rStyle w:val="Code"/>
        </w:rPr>
        <w:t>&lt;subst&gt;&lt;del&gt;</w:t>
      </w:r>
      <w:r>
        <w:rPr>
          <w:rStyle w:val="Codetext"/>
        </w:rPr>
        <w:t>śrā</w:t>
      </w:r>
      <w:r>
        <w:rPr>
          <w:rStyle w:val="Code"/>
        </w:rPr>
        <w:t>&lt;/del&gt;&lt;add&gt;</w:t>
      </w:r>
      <w:r>
        <w:rPr>
          <w:rStyle w:val="Codetext"/>
        </w:rPr>
        <w:t>śā</w:t>
      </w:r>
      <w:r>
        <w:rPr>
          <w:rStyle w:val="Code"/>
        </w:rPr>
        <w:t>&lt;/add&gt;&lt;/subst&gt;</w:t>
      </w:r>
      <w:r>
        <w:rPr>
          <w:rStyle w:val="Codetext"/>
        </w:rPr>
        <w:t>pa</w:t>
      </w:r>
    </w:p>
    <w:p w14:paraId="5056ECAD" w14:textId="77777777">
      <w:pPr>
        <w:pStyle w:val="Lista3"/>
        <w:rPr>
          <w:rStyle w:val="Codetext"/>
          <w:rFonts w:ascii="Gentium" w:hAnsi="Gentium" w:cs="Tiro Devanagari Sanskrit"/>
          <w:noProof w:val="0"/>
          <w:color w:val="auto"/>
          <w:shd w:val="clear" w:color="auto" w:fill="auto"/>
        </w:rPr>
      </w:pPr>
      <w:r>
        <w:t xml:space="preserve">in addition, </w:t>
      </w:r>
      <w:r>
        <w:rPr>
          <w:rStyle w:val="Codetext"/>
        </w:rPr>
        <w:t>tārkṣ</w:t>
      </w:r>
      <w:r>
        <w:rPr>
          <w:rStyle w:val="Code"/>
        </w:rPr>
        <w:t>&lt;add&gt;</w:t>
      </w:r>
      <w:r>
        <w:rPr>
          <w:rStyle w:val="Codetext"/>
        </w:rPr>
        <w:t>y</w:t>
      </w:r>
      <w:r>
        <w:rPr>
          <w:rStyle w:val="Code"/>
        </w:rPr>
        <w:t>&lt;/add&gt;</w:t>
      </w:r>
      <w:r>
        <w:rPr>
          <w:rStyle w:val="Codetext"/>
        </w:rPr>
        <w:t>a</w:t>
      </w:r>
    </w:p>
    <w:p w14:paraId="31C27ABF" w14:textId="77777777">
      <w:pPr>
        <w:pStyle w:val="Lista4"/>
        <w:rPr>
          <w:rStyle w:val="Code"/>
          <w:rFonts w:ascii="Gentium" w:hAnsi="Gentium" w:cs="Tiro Devanagari Sanskrit"/>
          <w:noProof w:val="0"/>
          <w:color w:val="auto"/>
          <w:shd w:val="clear" w:color="auto" w:fill="auto"/>
        </w:rPr>
      </w:pPr>
      <w:r>
        <w:rPr>
          <w:b/>
          <w:bCs/>
        </w:rPr>
        <w:t>not</w:t>
      </w:r>
      <w:r>
        <w:t xml:space="preserve"> </w:t>
      </w:r>
      <w:r>
        <w:rPr>
          <w:rStyle w:val="Codetext"/>
        </w:rPr>
        <w:t>tā</w:t>
      </w:r>
      <w:r>
        <w:rPr>
          <w:rStyle w:val="Code"/>
        </w:rPr>
        <w:t>&lt;subst&gt;&lt;del&gt;</w:t>
      </w:r>
      <w:r>
        <w:rPr>
          <w:rStyle w:val="Codetext"/>
        </w:rPr>
        <w:t>rkṣa</w:t>
      </w:r>
      <w:r>
        <w:rPr>
          <w:rStyle w:val="Code"/>
        </w:rPr>
        <w:t>&lt;/del&gt;&lt;add&gt;</w:t>
      </w:r>
      <w:r>
        <w:rPr>
          <w:rStyle w:val="Codetext"/>
        </w:rPr>
        <w:t>rkṣya</w:t>
      </w:r>
      <w:r>
        <w:rPr>
          <w:rStyle w:val="Code"/>
        </w:rPr>
        <w:t>&lt;/add&gt;&lt;/subst&gt;</w:t>
      </w:r>
    </w:p>
    <w:p w14:paraId="0CEBB952" w14:textId="77777777">
      <w:pPr>
        <w:pStyle w:val="Lista3"/>
        <w:rPr>
          <w:rStyle w:val="Codetext"/>
          <w:rFonts w:ascii="Gentium" w:hAnsi="Gentium" w:cs="Tiro Devanagari Sanskrit"/>
          <w:noProof w:val="0"/>
          <w:color w:val="auto"/>
          <w:shd w:val="clear" w:color="auto" w:fill="auto"/>
        </w:rPr>
      </w:pPr>
      <w:r>
        <w:t xml:space="preserve">in correction, </w:t>
      </w:r>
      <w:r>
        <w:rPr>
          <w:rStyle w:val="Codetext"/>
        </w:rPr>
        <w:t>pa</w:t>
      </w:r>
      <w:r>
        <w:rPr>
          <w:rStyle w:val="Code"/>
        </w:rPr>
        <w:t>&lt;subst&gt;&lt;del&gt;</w:t>
      </w:r>
      <w:r>
        <w:rPr>
          <w:rStyle w:val="Codetext"/>
        </w:rPr>
        <w:t>t</w:t>
      </w:r>
      <w:r>
        <w:rPr>
          <w:rStyle w:val="Code"/>
        </w:rPr>
        <w:t>&lt;/del&gt;&lt;add&gt;</w:t>
      </w:r>
      <w:r>
        <w:rPr>
          <w:rStyle w:val="Codetext"/>
        </w:rPr>
        <w:t>d</w:t>
      </w:r>
      <w:r>
        <w:rPr>
          <w:rStyle w:val="Code"/>
        </w:rPr>
        <w:t>&lt;/add&gt;&lt;/subst&gt;</w:t>
      </w:r>
      <w:r>
        <w:rPr>
          <w:rStyle w:val="Codetext"/>
        </w:rPr>
        <w:t>ma</w:t>
      </w:r>
    </w:p>
    <w:p w14:paraId="4A3140A7" w14:textId="77777777">
      <w:pPr>
        <w:pStyle w:val="Lista4"/>
        <w:rPr>
          <w:rStyle w:val="Code"/>
          <w:rFonts w:ascii="Gentium" w:hAnsi="Gentium" w:cs="Tiro Devanagari Sanskrit"/>
          <w:noProof w:val="0"/>
          <w:color w:val="auto"/>
          <w:shd w:val="clear" w:color="auto" w:fill="auto"/>
        </w:rPr>
      </w:pPr>
      <w:r>
        <w:rPr>
          <w:b/>
          <w:bCs/>
        </w:rPr>
        <w:t>not</w:t>
      </w:r>
      <w:r>
        <w:t xml:space="preserve"> </w:t>
      </w:r>
      <w:r>
        <w:rPr>
          <w:rStyle w:val="Codetext"/>
        </w:rPr>
        <w:t>pa</w:t>
      </w:r>
      <w:r>
        <w:rPr>
          <w:rStyle w:val="Code"/>
        </w:rPr>
        <w:t>&lt;subst&gt;&lt;del&gt;</w:t>
      </w:r>
      <w:r>
        <w:rPr>
          <w:rStyle w:val="Codetext"/>
        </w:rPr>
        <w:t>tma</w:t>
      </w:r>
      <w:r>
        <w:rPr>
          <w:rStyle w:val="Code"/>
        </w:rPr>
        <w:t>&lt;/del&gt;&lt;add&gt;</w:t>
      </w:r>
      <w:r>
        <w:rPr>
          <w:rStyle w:val="Codetext"/>
        </w:rPr>
        <w:t>dma</w:t>
      </w:r>
      <w:r>
        <w:rPr>
          <w:rStyle w:val="Code"/>
        </w:rPr>
        <w:t>&lt;/add&gt;&lt;/subst&gt;</w:t>
      </w:r>
    </w:p>
    <w:p w14:paraId="5E8A138B" w14:textId="7CE713E6">
      <w:pPr>
        <w:pStyle w:val="Lista2"/>
      </w:pPr>
      <w:r>
        <w:lastRenderedPageBreak/>
        <w:t xml:space="preserve">note that these examples show no attributes on </w:t>
      </w:r>
      <w:r>
        <w:rPr>
          <w:rStyle w:val="Code"/>
        </w:rPr>
        <w:t>&lt;del&gt;</w:t>
      </w:r>
      <w:r>
        <w:t xml:space="preserve"> and </w:t>
      </w:r>
      <w:r>
        <w:rPr>
          <w:rStyle w:val="Code"/>
        </w:rPr>
        <w:t>&lt;add&gt;</w:t>
      </w:r>
      <w:r>
        <w:t>, because they illustrate hypothetical scenarios that may be implemented differently in the source, but the encoding of actual instances of scribal intervention may require the use of attributes as per §</w:t>
      </w:r>
      <w:r>
        <w:fldChar w:fldCharType="begin"/>
      </w:r>
      <w:r>
        <w:instrText xml:space="preserve"> REF _Ref227846179 \r \h </w:instrText>
      </w:r>
      <w:r>
        <w:fldChar w:fldCharType="separate"/>
      </w:r>
      <w:r>
        <w:t>5.5.1.1</w:t>
      </w:r>
      <w:r>
        <w:fldChar w:fldCharType="end"/>
      </w:r>
      <w:r>
        <w:t xml:space="preserve"> and §</w:t>
      </w:r>
      <w:r>
        <w:fldChar w:fldCharType="begin"/>
      </w:r>
      <w:r>
        <w:instrText xml:space="preserve"> REF _Ref227848664 \r \h </w:instrText>
      </w:r>
      <w:r>
        <w:fldChar w:fldCharType="separate"/>
      </w:r>
      <w:r>
        <w:t>5.5.2.1</w:t>
      </w:r>
      <w:r>
        <w:fldChar w:fldCharType="end"/>
      </w:r>
    </w:p>
    <w:p w14:paraId="721CA345" w14:textId="77777777">
      <w:pPr>
        <w:pStyle w:val="Lista"/>
      </w:pPr>
      <w:r>
        <w:t xml:space="preserve">scribal intervention </w:t>
      </w:r>
      <w:r>
        <w:rPr>
          <w:i/>
          <w:iCs/>
        </w:rPr>
        <w:t>cannot</w:t>
      </w:r>
      <w:r>
        <w:t xml:space="preserve"> apply to a unit smaller than the grapheme, so the deletion (or, when this can be discerned, the addition) of a graphic element cannot be encoded as such; instead,</w:t>
      </w:r>
    </w:p>
    <w:p w14:paraId="4FB07DDC" w14:textId="77777777">
      <w:pPr>
        <w:pStyle w:val="Lista2"/>
      </w:pPr>
      <w:r>
        <w:t>the scribal alteration of a non-distinctive element (such as an ornamental curlicue or a superfluous stroke) can be annotated if desired, but not represented in markup</w:t>
      </w:r>
    </w:p>
    <w:p w14:paraId="40D93B10" w14:textId="77777777">
      <w:pPr>
        <w:pStyle w:val="Lista2"/>
      </w:pPr>
      <w:r>
        <w:t>the deletion (or addition) of a distinctive element must be encoded as correction of one grapheme to another, for example</w:t>
      </w:r>
    </w:p>
    <w:p w14:paraId="68BB9BFE" w14:textId="77777777">
      <w:pPr>
        <w:pStyle w:val="Lista3"/>
      </w:pPr>
      <w:r>
        <w:t xml:space="preserve">in a script where </w:t>
      </w:r>
      <w:r>
        <w:rPr>
          <w:rStyle w:val="Foreign"/>
        </w:rPr>
        <w:t>śa</w:t>
      </w:r>
      <w:r>
        <w:t xml:space="preserve"> differs from </w:t>
      </w:r>
      <w:r>
        <w:rPr>
          <w:rStyle w:val="Foreign"/>
        </w:rPr>
        <w:t>ga</w:t>
      </w:r>
      <w:r>
        <w:t xml:space="preserve"> only in that the former has a cross-stroke, and the scribe erroneously engraved </w:t>
      </w:r>
      <w:r>
        <w:rPr>
          <w:rStyle w:val="Foreign"/>
        </w:rPr>
        <w:t>śuṇa</w:t>
      </w:r>
      <w:r>
        <w:t xml:space="preserve"> instead of </w:t>
      </w:r>
      <w:r>
        <w:rPr>
          <w:rStyle w:val="Foreign"/>
        </w:rPr>
        <w:t>guṇa</w:t>
      </w:r>
      <w:r>
        <w:t xml:space="preserve">, then corrected this by erasing the cross-stroke, this is a correction of </w:t>
      </w:r>
      <w:r>
        <w:rPr>
          <w:rStyle w:val="Foreign"/>
        </w:rPr>
        <w:t>ś</w:t>
      </w:r>
      <w:r>
        <w:t xml:space="preserve"> to </w:t>
      </w:r>
      <w:r>
        <w:rPr>
          <w:rStyle w:val="Foreign"/>
        </w:rPr>
        <w:t>g</w:t>
      </w:r>
      <w:r>
        <w:t xml:space="preserve">: </w:t>
      </w:r>
      <w:r>
        <w:rPr>
          <w:rStyle w:val="Code"/>
        </w:rPr>
        <w:t>&lt;subst&gt;&lt;del</w:t>
      </w:r>
      <w:r>
        <w:rPr>
          <w:rStyle w:val="Codeattribute"/>
        </w:rPr>
        <w:t xml:space="preserve"> rend=</w:t>
      </w:r>
      <w:r>
        <w:rPr>
          <w:rStyle w:val="Codevalue"/>
        </w:rPr>
        <w:t>"corrected"</w:t>
      </w:r>
      <w:r>
        <w:rPr>
          <w:rStyle w:val="Code"/>
        </w:rPr>
        <w:t>&gt;</w:t>
      </w:r>
      <w:r>
        <w:rPr>
          <w:rStyle w:val="Codetext"/>
        </w:rPr>
        <w:t>ś</w:t>
      </w:r>
      <w:r>
        <w:rPr>
          <w:rStyle w:val="Code"/>
        </w:rPr>
        <w:t xml:space="preserve">&lt;/del&gt;&lt;add </w:t>
      </w:r>
      <w:r>
        <w:rPr>
          <w:rStyle w:val="Codeattribute"/>
        </w:rPr>
        <w:t>place=</w:t>
      </w:r>
      <w:r>
        <w:rPr>
          <w:rStyle w:val="Codevalue"/>
        </w:rPr>
        <w:t>"overstrike"</w:t>
      </w:r>
      <w:r>
        <w:rPr>
          <w:rStyle w:val="Code"/>
        </w:rPr>
        <w:t>&gt;</w:t>
      </w:r>
      <w:r>
        <w:rPr>
          <w:rStyle w:val="Codetext"/>
        </w:rPr>
        <w:t>g</w:t>
      </w:r>
      <w:r>
        <w:rPr>
          <w:rStyle w:val="Code"/>
        </w:rPr>
        <w:t>&lt;/add&gt;&lt;/choice&gt;</w:t>
      </w:r>
      <w:r>
        <w:rPr>
          <w:rStyle w:val="Codetext"/>
        </w:rPr>
        <w:t>u</w:t>
      </w:r>
      <w:r>
        <w:rPr>
          <w:rStyle w:val="Code"/>
        </w:rPr>
        <w:t>ṇ</w:t>
      </w:r>
      <w:r>
        <w:rPr>
          <w:rStyle w:val="Codetext"/>
        </w:rPr>
        <w:t>a</w:t>
      </w:r>
    </w:p>
    <w:p w14:paraId="005C4E8C" w14:textId="68406D4A">
      <w:pPr>
        <w:pStyle w:val="Lista4"/>
      </w:pPr>
      <w:r>
        <w:t xml:space="preserve">although the scribe actually erased the cross-stroke, on the level of graphemes the </w:t>
      </w:r>
      <w:r>
        <w:rPr>
          <w:rStyle w:val="Foreign"/>
        </w:rPr>
        <w:t>ś</w:t>
      </w:r>
      <w:r>
        <w:t xml:space="preserve"> itself was not physically deleted (hence </w:t>
      </w:r>
      <w:r>
        <w:rPr>
          <w:rStyle w:val="Codeattribute"/>
        </w:rPr>
        <w:t>@rend=</w:t>
      </w:r>
      <w:r>
        <w:rPr>
          <w:rStyle w:val="Codevalue"/>
        </w:rPr>
        <w:t>"corrected"</w:t>
      </w:r>
      <w:r>
        <w:t xml:space="preserve"> on the </w:t>
      </w:r>
      <w:r>
        <w:rPr>
          <w:rStyle w:val="Code"/>
        </w:rPr>
        <w:t>&lt;del&gt;</w:t>
      </w:r>
      <w:r>
        <w:t xml:space="preserve"> element, §</w:t>
      </w:r>
      <w:r>
        <w:fldChar w:fldCharType="begin"/>
      </w:r>
      <w:r>
        <w:instrText xml:space="preserve"> REF _Ref227846179 \r \h </w:instrText>
      </w:r>
      <w:r>
        <w:fldChar w:fldCharType="separate"/>
      </w:r>
      <w:r>
        <w:t>5.5.1.1</w:t>
      </w:r>
      <w:r>
        <w:fldChar w:fldCharType="end"/>
      </w:r>
      <w:r>
        <w:t xml:space="preserve">), while the </w:t>
      </w:r>
      <w:r>
        <w:rPr>
          <w:rStyle w:val="Foreign"/>
        </w:rPr>
        <w:t>g</w:t>
      </w:r>
      <w:r>
        <w:t xml:space="preserve"> was created in the same place (hence </w:t>
      </w:r>
      <w:r>
        <w:rPr>
          <w:rStyle w:val="Codeattribute"/>
        </w:rPr>
        <w:t>@place=</w:t>
      </w:r>
      <w:r>
        <w:rPr>
          <w:rStyle w:val="Codevalue"/>
        </w:rPr>
        <w:t>"overstrike"</w:t>
      </w:r>
      <w:r>
        <w:t xml:space="preserve"> on the </w:t>
      </w:r>
      <w:r>
        <w:rPr>
          <w:rStyle w:val="Code"/>
        </w:rPr>
        <w:t>&lt;add&gt;</w:t>
      </w:r>
      <w:r>
        <w:t xml:space="preserve"> element, §</w:t>
      </w:r>
      <w:r>
        <w:fldChar w:fldCharType="begin"/>
      </w:r>
      <w:r>
        <w:instrText xml:space="preserve"> REF _Ref227848664 \r \h </w:instrText>
      </w:r>
      <w:r>
        <w:fldChar w:fldCharType="separate"/>
      </w:r>
      <w:r>
        <w:t>5.5.2.1</w:t>
      </w:r>
      <w:r>
        <w:fldChar w:fldCharType="end"/>
      </w:r>
      <w:r>
        <w:t>)</w:t>
      </w:r>
    </w:p>
    <w:p w14:paraId="703DFA38" w14:textId="77777777">
      <w:pPr>
        <w:pStyle w:val="Lista"/>
      </w:pPr>
      <w:r>
        <w:t xml:space="preserve">due to the nature of aksharic writing, the deletion or addition of certain graphs (namely of a vowel marker or </w:t>
      </w:r>
      <w:r>
        <w:rPr>
          <w:rStyle w:val="Foreign"/>
        </w:rPr>
        <w:t>virāma</w:t>
      </w:r>
      <w:r>
        <w:t xml:space="preserve">) may result in the </w:t>
      </w:r>
      <w:r>
        <w:rPr>
          <w:i/>
          <w:iCs/>
        </w:rPr>
        <w:t>substitution</w:t>
      </w:r>
      <w:r>
        <w:t xml:space="preserve"> of one grapheme by another (viz. of the marked vowel or </w:t>
      </w:r>
      <w:r>
        <w:rPr>
          <w:rStyle w:val="Foreign"/>
        </w:rPr>
        <w:t>virāma</w:t>
      </w:r>
      <w:r>
        <w:t xml:space="preserve"> by the default vowel, or vice versa), which must be encoded as scribal correction rather than scribal deletion or addition, for example</w:t>
      </w:r>
    </w:p>
    <w:p w14:paraId="14B51A61" w14:textId="77777777">
      <w:pPr>
        <w:pStyle w:val="Lista2"/>
      </w:pPr>
      <w:r>
        <w:t xml:space="preserve">if the vowel marker </w:t>
      </w:r>
      <w:r>
        <w:rPr>
          <w:rStyle w:val="Foreign"/>
        </w:rPr>
        <w:t>u</w:t>
      </w:r>
      <w:r>
        <w:t xml:space="preserve"> is erased from the word </w:t>
      </w:r>
      <w:r>
        <w:rPr>
          <w:rStyle w:val="Foreign"/>
        </w:rPr>
        <w:t>jñātum</w:t>
      </w:r>
      <w:r>
        <w:t xml:space="preserve">, this changes the reading to </w:t>
      </w:r>
      <w:r>
        <w:rPr>
          <w:rStyle w:val="Foreign"/>
        </w:rPr>
        <w:t>jñātam</w:t>
      </w:r>
    </w:p>
    <w:p w14:paraId="02C1A99F" w14:textId="77777777">
      <w:pPr>
        <w:pStyle w:val="Lista3"/>
      </w:pPr>
      <w:r>
        <w:t xml:space="preserve">which must be encoded as  </w:t>
      </w:r>
      <w:r>
        <w:rPr>
          <w:rStyle w:val="Codetext"/>
        </w:rPr>
        <w:t>jñāt</w:t>
      </w:r>
      <w:r>
        <w:rPr>
          <w:rStyle w:val="Code"/>
        </w:rPr>
        <w:t>&lt;subst&gt;&lt;del&gt;</w:t>
      </w:r>
      <w:r>
        <w:rPr>
          <w:rStyle w:val="Codetext"/>
        </w:rPr>
        <w:t>u</w:t>
      </w:r>
      <w:r>
        <w:rPr>
          <w:rStyle w:val="Code"/>
        </w:rPr>
        <w:t xml:space="preserve">&lt;/del&gt;&lt;add </w:t>
      </w:r>
      <w:r>
        <w:rPr>
          <w:rStyle w:val="Codeattribute"/>
        </w:rPr>
        <w:t>place=</w:t>
      </w:r>
      <w:r>
        <w:rPr>
          <w:rStyle w:val="Codevalue"/>
        </w:rPr>
        <w:t>"overstrike"</w:t>
      </w:r>
      <w:r>
        <w:rPr>
          <w:rStyle w:val="Code"/>
        </w:rPr>
        <w:t>&gt;</w:t>
      </w:r>
      <w:r>
        <w:rPr>
          <w:rStyle w:val="Codetext"/>
        </w:rPr>
        <w:t>a</w:t>
      </w:r>
      <w:r>
        <w:rPr>
          <w:rStyle w:val="Code"/>
        </w:rPr>
        <w:t>&lt;/add&gt;&lt;/subst&gt;</w:t>
      </w:r>
      <w:r>
        <w:rPr>
          <w:rStyle w:val="Codetext"/>
        </w:rPr>
        <w:t>m</w:t>
      </w:r>
    </w:p>
    <w:p w14:paraId="5A94FCF2" w14:textId="77777777">
      <w:pPr>
        <w:pStyle w:val="Lista4"/>
      </w:pPr>
      <w:r>
        <w:rPr>
          <w:b/>
          <w:bCs/>
        </w:rPr>
        <w:t>not</w:t>
      </w:r>
      <w:r>
        <w:t xml:space="preserve"> </w:t>
      </w:r>
      <w:r>
        <w:rPr>
          <w:rStyle w:val="Codetext"/>
        </w:rPr>
        <w:t>jñāt</w:t>
      </w:r>
      <w:r>
        <w:rPr>
          <w:rStyle w:val="Code"/>
        </w:rPr>
        <w:t>&lt;del&gt;</w:t>
      </w:r>
      <w:r>
        <w:rPr>
          <w:rStyle w:val="Codetext"/>
        </w:rPr>
        <w:t>u</w:t>
      </w:r>
      <w:r>
        <w:rPr>
          <w:rStyle w:val="Code"/>
        </w:rPr>
        <w:t>&lt;/del&gt;</w:t>
      </w:r>
      <w:r>
        <w:rPr>
          <w:rStyle w:val="Codetext"/>
        </w:rPr>
        <w:t>m</w:t>
      </w:r>
      <w:r>
        <w:t xml:space="preserve"> (which would mean that the post-correction reading is </w:t>
      </w:r>
      <w:r>
        <w:rPr>
          <w:rStyle w:val="Foreign"/>
        </w:rPr>
        <w:t>jñātm</w:t>
      </w:r>
      <w:r>
        <w:t>)</w:t>
      </w:r>
    </w:p>
    <w:p w14:paraId="20B8B4FF" w14:textId="2E498A18">
      <w:pPr>
        <w:pStyle w:val="Lista4"/>
      </w:pPr>
      <w:r>
        <w:t xml:space="preserve">even though the scribe did not actually add anything, on the level of graphemes the </w:t>
      </w:r>
      <w:r>
        <w:rPr>
          <w:rStyle w:val="Foreign"/>
        </w:rPr>
        <w:t>u</w:t>
      </w:r>
      <w:r>
        <w:t xml:space="preserve"> was physically deleted (hence no </w:t>
      </w:r>
      <w:r>
        <w:rPr>
          <w:rStyle w:val="Codeattribute"/>
        </w:rPr>
        <w:t>@rend</w:t>
      </w:r>
      <w:r>
        <w:t xml:space="preserve"> on the </w:t>
      </w:r>
      <w:r>
        <w:rPr>
          <w:rStyle w:val="Code"/>
        </w:rPr>
        <w:t>&lt;del&gt;</w:t>
      </w:r>
      <w:r>
        <w:t xml:space="preserve"> element, §</w:t>
      </w:r>
      <w:r>
        <w:fldChar w:fldCharType="begin"/>
      </w:r>
      <w:r>
        <w:instrText xml:space="preserve"> REF _Ref227846179 \r \h </w:instrText>
      </w:r>
      <w:r>
        <w:fldChar w:fldCharType="separate"/>
      </w:r>
      <w:r>
        <w:t>5.5.1.1</w:t>
      </w:r>
      <w:r>
        <w:fldChar w:fldCharType="end"/>
      </w:r>
      <w:r>
        <w:t xml:space="preserve">), while the grapheme </w:t>
      </w:r>
      <w:r>
        <w:rPr>
          <w:rStyle w:val="Foreign"/>
        </w:rPr>
        <w:t>a</w:t>
      </w:r>
      <w:r>
        <w:t xml:space="preserve"> was created in the same place (hence </w:t>
      </w:r>
      <w:r>
        <w:rPr>
          <w:rStyle w:val="Codeattribute"/>
        </w:rPr>
        <w:t>@place=</w:t>
      </w:r>
      <w:r>
        <w:rPr>
          <w:rStyle w:val="Codevalue"/>
        </w:rPr>
        <w:t>"overstrike"</w:t>
      </w:r>
      <w:r>
        <w:t xml:space="preserve"> on the </w:t>
      </w:r>
      <w:r>
        <w:rPr>
          <w:rStyle w:val="Code"/>
        </w:rPr>
        <w:t>&lt;add&gt;</w:t>
      </w:r>
      <w:r>
        <w:t xml:space="preserve"> element, §</w:t>
      </w:r>
      <w:r>
        <w:fldChar w:fldCharType="begin"/>
      </w:r>
      <w:r>
        <w:instrText xml:space="preserve"> REF _Ref227848664 \r \h </w:instrText>
      </w:r>
      <w:r>
        <w:fldChar w:fldCharType="separate"/>
      </w:r>
      <w:r>
        <w:t>5.5.2.1</w:t>
      </w:r>
      <w:r>
        <w:fldChar w:fldCharType="end"/>
      </w:r>
      <w:r>
        <w:t>)</w:t>
      </w:r>
    </w:p>
    <w:p w14:paraId="69046663" w14:textId="1E2A0B08">
      <w:pPr>
        <w:pStyle w:val="Lista3"/>
      </w:pPr>
      <w:r>
        <w:t xml:space="preserve">see </w:t>
      </w:r>
      <w:r>
        <w:fldChar w:fldCharType="begin"/>
      </w:r>
      <w:r>
        <w:instrText xml:space="preserve"> REF _Ref44078634 \h  \* MERGEFORMAT </w:instrText>
      </w:r>
      <w:r>
        <w:fldChar w:fldCharType="separate"/>
      </w:r>
      <w:r>
        <w:t xml:space="preserve">Exhibit </w:t>
      </w:r>
      <w:r>
        <w:rPr>
          <w:noProof/>
        </w:rPr>
        <w:t>5.5.G</w:t>
      </w:r>
      <w:r>
        <w:fldChar w:fldCharType="end"/>
      </w:r>
      <w:r>
        <w:t xml:space="preserve"> for a fully encoded example of such deletion</w:t>
      </w:r>
    </w:p>
    <w:p w14:paraId="68D8D64E" w14:textId="77777777">
      <w:pPr>
        <w:pStyle w:val="Lista2"/>
        <w:rPr>
          <w:rStyle w:val="Foreign"/>
          <w:i w:val="0"/>
          <w:iCs w:val="0"/>
          <w:noProof w:val="0"/>
        </w:rPr>
      </w:pPr>
      <w:r>
        <w:t xml:space="preserve">if the vowel marker </w:t>
      </w:r>
      <w:r>
        <w:rPr>
          <w:rStyle w:val="Foreign"/>
        </w:rPr>
        <w:t>ā</w:t>
      </w:r>
      <w:r>
        <w:t xml:space="preserve"> is added to the second </w:t>
      </w:r>
      <w:r>
        <w:rPr>
          <w:rStyle w:val="Foreign"/>
        </w:rPr>
        <w:t>akṣara</w:t>
      </w:r>
      <w:r>
        <w:t xml:space="preserve"> of the word </w:t>
      </w:r>
      <w:r>
        <w:rPr>
          <w:rStyle w:val="Foreign"/>
        </w:rPr>
        <w:t>putraḥ</w:t>
      </w:r>
      <w:r>
        <w:t xml:space="preserve">, this changes the reading to </w:t>
      </w:r>
      <w:r>
        <w:rPr>
          <w:rStyle w:val="Foreign"/>
        </w:rPr>
        <w:t>putrāḥ</w:t>
      </w:r>
    </w:p>
    <w:p w14:paraId="61A24F37" w14:textId="77777777">
      <w:pPr>
        <w:pStyle w:val="Lista3"/>
      </w:pPr>
      <w:r>
        <w:t xml:space="preserve">which must be encoded as  </w:t>
      </w:r>
      <w:r>
        <w:rPr>
          <w:rStyle w:val="Codetext"/>
        </w:rPr>
        <w:t>putr</w:t>
      </w:r>
      <w:r>
        <w:rPr>
          <w:rStyle w:val="Code"/>
        </w:rPr>
        <w:t xml:space="preserve">&lt;subst&gt;&lt;del </w:t>
      </w:r>
      <w:r>
        <w:rPr>
          <w:rStyle w:val="Codeattribute"/>
        </w:rPr>
        <w:t>rend=</w:t>
      </w:r>
      <w:r>
        <w:rPr>
          <w:rStyle w:val="Codevalue"/>
        </w:rPr>
        <w:t>"corrected"</w:t>
      </w:r>
      <w:r>
        <w:rPr>
          <w:rStyle w:val="Code"/>
        </w:rPr>
        <w:t xml:space="preserve">&gt;a&lt;/del&gt;&lt;add </w:t>
      </w:r>
      <w:r>
        <w:rPr>
          <w:rStyle w:val="Codeattribute"/>
        </w:rPr>
        <w:t>place=</w:t>
      </w:r>
      <w:r>
        <w:rPr>
          <w:rStyle w:val="Codevalue"/>
        </w:rPr>
        <w:t>"overstrike"</w:t>
      </w:r>
      <w:r>
        <w:rPr>
          <w:rStyle w:val="Code"/>
        </w:rPr>
        <w:t>&gt;</w:t>
      </w:r>
      <w:r>
        <w:rPr>
          <w:rStyle w:val="Codetext"/>
        </w:rPr>
        <w:t>ā</w:t>
      </w:r>
      <w:r>
        <w:rPr>
          <w:rStyle w:val="Code"/>
        </w:rPr>
        <w:t>&lt;/add&gt;&lt;/subst&gt;</w:t>
      </w:r>
      <w:r>
        <w:rPr>
          <w:rStyle w:val="Codetext"/>
        </w:rPr>
        <w:t>ḥ</w:t>
      </w:r>
    </w:p>
    <w:p w14:paraId="2AC5EBDD" w14:textId="77777777">
      <w:pPr>
        <w:pStyle w:val="Lista4"/>
      </w:pPr>
      <w:r>
        <w:rPr>
          <w:b/>
          <w:bCs/>
        </w:rPr>
        <w:t>not</w:t>
      </w:r>
      <w:r>
        <w:t xml:space="preserve"> </w:t>
      </w:r>
      <w:r>
        <w:rPr>
          <w:rStyle w:val="Codetext"/>
        </w:rPr>
        <w:t>putr</w:t>
      </w:r>
      <w:r>
        <w:rPr>
          <w:rStyle w:val="Code"/>
        </w:rPr>
        <w:t>&lt;add&gt;</w:t>
      </w:r>
      <w:r>
        <w:rPr>
          <w:rStyle w:val="Codetext"/>
        </w:rPr>
        <w:t>ā</w:t>
      </w:r>
      <w:r>
        <w:rPr>
          <w:rStyle w:val="Code"/>
        </w:rPr>
        <w:t>&lt;/add&gt;</w:t>
      </w:r>
      <w:r>
        <w:rPr>
          <w:rStyle w:val="Codetext"/>
        </w:rPr>
        <w:t>ḥ</w:t>
      </w:r>
      <w:r>
        <w:t xml:space="preserve"> (which would mean that the pre-correction reading is </w:t>
      </w:r>
      <w:r>
        <w:rPr>
          <w:rStyle w:val="Foreign"/>
        </w:rPr>
        <w:t>putrḥ</w:t>
      </w:r>
      <w:r>
        <w:t>)</w:t>
      </w:r>
    </w:p>
    <w:p w14:paraId="05F652EF" w14:textId="4A759122">
      <w:pPr>
        <w:pStyle w:val="Lista4"/>
        <w:rPr>
          <w:lang w:eastAsia="en-US" w:bidi="ar-SA"/>
        </w:rPr>
      </w:pPr>
      <w:r>
        <w:t xml:space="preserve">even though the scribe did not actually delete anything, on the level of graphemes the </w:t>
      </w:r>
      <w:r>
        <w:rPr>
          <w:rStyle w:val="Foreign"/>
        </w:rPr>
        <w:t>a</w:t>
      </w:r>
      <w:r>
        <w:t xml:space="preserve"> was cancelled without physical deletion (hence </w:t>
      </w:r>
      <w:r>
        <w:rPr>
          <w:rStyle w:val="Codeattribute"/>
        </w:rPr>
        <w:t>@rend=</w:t>
      </w:r>
      <w:r>
        <w:rPr>
          <w:rStyle w:val="Codevalue"/>
        </w:rPr>
        <w:t>"corrected"</w:t>
      </w:r>
      <w:r>
        <w:t xml:space="preserve"> on the </w:t>
      </w:r>
      <w:r>
        <w:rPr>
          <w:rStyle w:val="Code"/>
        </w:rPr>
        <w:t>&lt;del&gt;</w:t>
      </w:r>
      <w:r>
        <w:t xml:space="preserve"> element, §</w:t>
      </w:r>
      <w:r>
        <w:fldChar w:fldCharType="begin"/>
      </w:r>
      <w:r>
        <w:instrText xml:space="preserve"> REF _Ref227846179 \r \h </w:instrText>
      </w:r>
      <w:r>
        <w:fldChar w:fldCharType="separate"/>
      </w:r>
      <w:r>
        <w:t>5.5.1.1</w:t>
      </w:r>
      <w:r>
        <w:fldChar w:fldCharType="end"/>
      </w:r>
      <w:r>
        <w:t xml:space="preserve">), while the </w:t>
      </w:r>
      <w:r>
        <w:rPr>
          <w:rStyle w:val="Foreign"/>
        </w:rPr>
        <w:t>ā</w:t>
      </w:r>
      <w:r>
        <w:t xml:space="preserve"> was created in the same place (hence </w:t>
      </w:r>
      <w:r>
        <w:rPr>
          <w:rStyle w:val="Codeattribute"/>
        </w:rPr>
        <w:t>@place=</w:t>
      </w:r>
      <w:r>
        <w:rPr>
          <w:rStyle w:val="Codevalue"/>
        </w:rPr>
        <w:t>"overstrike"</w:t>
      </w:r>
      <w:r>
        <w:t xml:space="preserve"> on the </w:t>
      </w:r>
      <w:r>
        <w:rPr>
          <w:rStyle w:val="Code"/>
        </w:rPr>
        <w:t>&lt;add&gt;</w:t>
      </w:r>
      <w:r>
        <w:t xml:space="preserve"> element, §</w:t>
      </w:r>
      <w:r>
        <w:fldChar w:fldCharType="begin"/>
      </w:r>
      <w:r>
        <w:instrText xml:space="preserve"> REF _Ref227848664 \r \h </w:instrText>
      </w:r>
      <w:r>
        <w:fldChar w:fldCharType="separate"/>
      </w:r>
      <w:r>
        <w:t>5.5.2.1</w:t>
      </w:r>
      <w:r>
        <w:fldChar w:fldCharType="end"/>
      </w:r>
      <w:r>
        <w:t>)</w:t>
      </w:r>
    </w:p>
    <w:p w14:paraId="55D83F8A" w14:textId="77777777">
      <w:pPr>
        <w:pStyle w:val="Cmsor1"/>
      </w:pPr>
      <w:bookmarkStart w:id="516" w:name="_zf8yqisjzwlq" w:colFirst="0" w:colLast="0"/>
      <w:bookmarkStart w:id="517" w:name="_Ref231895504"/>
      <w:bookmarkStart w:id="518" w:name="_Toc243922664"/>
      <w:bookmarkEnd w:id="516"/>
      <w:r>
        <w:lastRenderedPageBreak/>
        <w:t>Legibility issues</w:t>
      </w:r>
      <w:bookmarkEnd w:id="517"/>
      <w:bookmarkEnd w:id="518"/>
    </w:p>
    <w:p w14:paraId="640A6B1F" w14:textId="77777777">
      <w:pPr>
        <w:pStyle w:val="Cmsor2"/>
      </w:pPr>
      <w:bookmarkStart w:id="519" w:name="_z6ifhw1ovfh2" w:colFirst="0" w:colLast="0"/>
      <w:bookmarkStart w:id="520" w:name="_Ref228196345"/>
      <w:bookmarkStart w:id="521" w:name="_Toc243922665"/>
      <w:bookmarkEnd w:id="519"/>
      <w:r>
        <w:t>Representing legibility issues in TEI/EpiDoc</w:t>
      </w:r>
      <w:bookmarkEnd w:id="520"/>
      <w:bookmarkEnd w:id="521"/>
    </w:p>
    <w:p w14:paraId="7EBC63DE" w14:textId="39D1CE67">
      <w:r>
        <w:t xml:space="preserve">This section is concerned with the encoding of text which is present in the source document, or was presumably present when the source was in a pristine state, but which cannot be read with complete confidence today. Encoding what </w:t>
      </w:r>
      <w:r>
        <w:rPr>
          <w:i/>
          <w:iCs/>
        </w:rPr>
        <w:t>should</w:t>
      </w:r>
      <w:r>
        <w:t xml:space="preserve"> have been there but is (and was) not, i.e. editorial intervention, is the subject of §</w:t>
      </w:r>
      <w:r>
        <w:fldChar w:fldCharType="begin"/>
      </w:r>
      <w:r>
        <w:instrText xml:space="preserve"> REF _Ref181694670 \r \h </w:instrText>
      </w:r>
      <w:r>
        <w:fldChar w:fldCharType="separate"/>
      </w:r>
      <w:r>
        <w:t>7</w:t>
      </w:r>
      <w:r>
        <w:fldChar w:fldCharType="end"/>
      </w:r>
      <w:r>
        <w:t>. The textual loci affected by a legibility issue are tagged with phrase-level elements (§</w:t>
      </w:r>
      <w:r>
        <w:fldChar w:fldCharType="begin"/>
      </w:r>
      <w:r>
        <w:instrText xml:space="preserve"> REF _Ref224893557 \r \h </w:instrText>
      </w:r>
      <w:r>
        <w:fldChar w:fldCharType="separate"/>
      </w:r>
      <w:r>
        <w:t>2.2.2</w:t>
      </w:r>
      <w:r>
        <w:fldChar w:fldCharType="end"/>
      </w:r>
      <w:r>
        <w:t>), which are hierarchically subordinate to the block-level containers for prose and verse, therefore any continuous stretch of problematic reading that extends across a block-level boundary must be encoded with two separate phrase-level elements, one in each of the containers. Encoding hierarchy is discussed further in §</w:t>
      </w:r>
      <w:r>
        <w:fldChar w:fldCharType="begin"/>
      </w:r>
      <w:r>
        <w:instrText xml:space="preserve"> REF _Ref43978660 \r \h </w:instrText>
      </w:r>
      <w:r>
        <w:fldChar w:fldCharType="separate"/>
      </w:r>
      <w:r>
        <w:t>16.2</w:t>
      </w:r>
      <w:r>
        <w:fldChar w:fldCharType="end"/>
      </w:r>
      <w:r>
        <w:t xml:space="preserve">. </w:t>
      </w:r>
    </w:p>
    <w:p w14:paraId="4BC77AF2" w14:textId="20580E3B">
      <w:pPr>
        <w:pStyle w:val="Normlbehzs"/>
      </w:pPr>
      <w:r>
        <w:t xml:space="preserve">The TEI elements relevant to the source’s legibility are </w:t>
      </w:r>
      <w:r>
        <w:rPr>
          <w:rStyle w:val="Code"/>
        </w:rPr>
        <w:t>&lt;damage&gt;</w:t>
      </w:r>
      <w:r>
        <w:t xml:space="preserve">, </w:t>
      </w:r>
      <w:r>
        <w:rPr>
          <w:rStyle w:val="Code"/>
        </w:rPr>
        <w:t>&lt;unclear&gt;</w:t>
      </w:r>
      <w:r>
        <w:t xml:space="preserve">, </w:t>
      </w:r>
      <w:r>
        <w:rPr>
          <w:rStyle w:val="Code"/>
        </w:rPr>
        <w:t>&lt;gap&gt;</w:t>
      </w:r>
      <w:r>
        <w:t xml:space="preserve"> and </w:t>
      </w:r>
      <w:r>
        <w:rPr>
          <w:rStyle w:val="Code"/>
        </w:rPr>
        <w:t>&lt;supplied&gt;</w:t>
      </w:r>
      <w:r>
        <w:t xml:space="preserve">. Which of these applies to any given locus, and what attributes should be used on them, depends on the degree to which the source text is objectively legible and your confidence in the reading selected for your edition, as illustrated in </w:t>
      </w:r>
      <w:r>
        <w:fldChar w:fldCharType="begin"/>
      </w:r>
      <w:r>
        <w:instrText xml:space="preserve"> REF _Ref228199279 \h </w:instrText>
      </w:r>
      <w:r>
        <w:fldChar w:fldCharType="separate"/>
      </w:r>
      <w:r>
        <w:t xml:space="preserve">Exhibit </w:t>
      </w:r>
      <w:r>
        <w:rPr>
          <w:noProof/>
        </w:rPr>
        <w:t>6.1</w:t>
      </w:r>
      <w:r>
        <w:t>.</w:t>
      </w:r>
      <w:r>
        <w:rPr>
          <w:noProof/>
        </w:rPr>
        <w:t>A</w:t>
      </w:r>
      <w:r>
        <w:fldChar w:fldCharType="end"/>
      </w:r>
      <w:r>
        <w:t>, with the table’s labels explained below in more detail.</w:t>
      </w:r>
    </w:p>
    <w:tbl>
      <w:tblPr>
        <w:tblStyle w:val="62"/>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38"/>
        <w:gridCol w:w="2553"/>
        <w:gridCol w:w="3359"/>
        <w:gridCol w:w="2068"/>
      </w:tblGrid>
      <w:tr w14:paraId="0EE0C93B" w14:textId="77777777">
        <w:tc>
          <w:tcPr>
            <w:tcW w:w="5000" w:type="pct"/>
            <w:gridSpan w:val="4"/>
            <w:shd w:val="clear" w:color="auto" w:fill="F0F7D7"/>
            <w:tcMar>
              <w:top w:w="100" w:type="dxa"/>
              <w:left w:w="100" w:type="dxa"/>
              <w:bottom w:w="100" w:type="dxa"/>
              <w:right w:w="100" w:type="dxa"/>
            </w:tcMar>
            <w:vAlign w:val="bottom"/>
          </w:tcPr>
          <w:p w14:paraId="3EC46198" w14:textId="2ECF5419">
            <w:pPr>
              <w:pStyle w:val="Kpalrs"/>
            </w:pPr>
            <w:bookmarkStart w:id="522" w:name="_Ref228199279"/>
            <w:r>
              <w:t xml:space="preserve">Exhibit </w:t>
            </w:r>
            <w:fldSimple w:instr=" STYLEREF 2 \s ">
              <w:r>
                <w:rPr>
                  <w:noProof/>
                </w:rPr>
                <w:t>6.1</w:t>
              </w:r>
            </w:fldSimple>
            <w:r>
              <w:t>.</w:t>
            </w:r>
            <w:fldSimple w:instr=" SEQ Exhibit \* ALPHABETIC \s 2 ">
              <w:r>
                <w:rPr>
                  <w:noProof/>
                </w:rPr>
                <w:t>A</w:t>
              </w:r>
            </w:fldSimple>
            <w:bookmarkEnd w:id="522"/>
            <w:r>
              <w:t>: encoding of legibility issues</w:t>
            </w:r>
          </w:p>
        </w:tc>
      </w:tr>
      <w:tr w14:paraId="738B3185" w14:textId="77777777">
        <w:tc>
          <w:tcPr>
            <w:tcW w:w="852" w:type="pct"/>
            <w:vMerge w:val="restart"/>
            <w:shd w:val="clear" w:color="auto" w:fill="F0F7D7"/>
            <w:tcMar>
              <w:top w:w="100" w:type="dxa"/>
              <w:left w:w="100" w:type="dxa"/>
              <w:bottom w:w="100" w:type="dxa"/>
              <w:right w:w="100" w:type="dxa"/>
            </w:tcMar>
            <w:vAlign w:val="bottom"/>
          </w:tcPr>
          <w:p w14:paraId="60949B12" w14:textId="77777777">
            <w:pPr>
              <w:pStyle w:val="Tabletext"/>
              <w:keepNext/>
              <w:keepLines/>
              <w:jc w:val="center"/>
            </w:pPr>
            <w:r>
              <w:t>Confidence in edition text</w:t>
            </w:r>
          </w:p>
        </w:tc>
        <w:tc>
          <w:tcPr>
            <w:tcW w:w="4148" w:type="pct"/>
            <w:gridSpan w:val="3"/>
            <w:shd w:val="clear" w:color="auto" w:fill="F0F7D7"/>
            <w:tcMar>
              <w:top w:w="100" w:type="dxa"/>
              <w:left w:w="100" w:type="dxa"/>
              <w:bottom w:w="100" w:type="dxa"/>
              <w:right w:w="100" w:type="dxa"/>
            </w:tcMar>
            <w:vAlign w:val="center"/>
          </w:tcPr>
          <w:p w14:paraId="400DFC0C" w14:textId="77777777">
            <w:pPr>
              <w:pStyle w:val="Tabletext"/>
              <w:keepNext/>
              <w:keepLines/>
              <w:jc w:val="center"/>
            </w:pPr>
            <w:r>
              <w:t>Status of source text</w:t>
            </w:r>
          </w:p>
        </w:tc>
      </w:tr>
      <w:tr w14:paraId="1774D858" w14:textId="77777777">
        <w:tc>
          <w:tcPr>
            <w:tcW w:w="852" w:type="pct"/>
            <w:vMerge/>
            <w:shd w:val="clear" w:color="auto" w:fill="F0F7D7"/>
            <w:tcMar>
              <w:top w:w="100" w:type="dxa"/>
              <w:left w:w="100" w:type="dxa"/>
              <w:bottom w:w="100" w:type="dxa"/>
              <w:right w:w="100" w:type="dxa"/>
            </w:tcMar>
          </w:tcPr>
          <w:p w14:paraId="3DF7C15D" w14:textId="77777777">
            <w:pPr>
              <w:pStyle w:val="Tabletext"/>
              <w:keepNext/>
              <w:keepLines/>
            </w:pPr>
          </w:p>
        </w:tc>
        <w:tc>
          <w:tcPr>
            <w:tcW w:w="1327" w:type="pct"/>
            <w:shd w:val="clear" w:color="auto" w:fill="F0F7D7"/>
            <w:tcMar>
              <w:top w:w="100" w:type="dxa"/>
              <w:left w:w="100" w:type="dxa"/>
              <w:bottom w:w="100" w:type="dxa"/>
              <w:right w:w="100" w:type="dxa"/>
            </w:tcMar>
            <w:vAlign w:val="center"/>
          </w:tcPr>
          <w:p w14:paraId="64C1E4F9" w14:textId="77777777">
            <w:pPr>
              <w:pStyle w:val="Tabletext"/>
              <w:keepNext/>
              <w:keepLines/>
              <w:jc w:val="center"/>
            </w:pPr>
            <w:r>
              <w:t>lost</w:t>
            </w:r>
          </w:p>
        </w:tc>
        <w:tc>
          <w:tcPr>
            <w:tcW w:w="1746" w:type="pct"/>
            <w:shd w:val="clear" w:color="auto" w:fill="F0F7D7"/>
            <w:tcMar>
              <w:top w:w="100" w:type="dxa"/>
              <w:left w:w="100" w:type="dxa"/>
              <w:bottom w:w="100" w:type="dxa"/>
              <w:right w:w="100" w:type="dxa"/>
            </w:tcMar>
            <w:vAlign w:val="center"/>
          </w:tcPr>
          <w:p w14:paraId="7D7A1CA3" w14:textId="77777777">
            <w:pPr>
              <w:pStyle w:val="Tabletext"/>
              <w:keepNext/>
              <w:keepLines/>
              <w:jc w:val="center"/>
            </w:pPr>
            <w:r>
              <w:t>illegible</w:t>
            </w:r>
          </w:p>
        </w:tc>
        <w:tc>
          <w:tcPr>
            <w:tcW w:w="1075" w:type="pct"/>
            <w:shd w:val="clear" w:color="auto" w:fill="F0F7D7"/>
            <w:tcMar>
              <w:top w:w="100" w:type="dxa"/>
              <w:left w:w="100" w:type="dxa"/>
              <w:bottom w:w="100" w:type="dxa"/>
              <w:right w:w="100" w:type="dxa"/>
            </w:tcMar>
            <w:vAlign w:val="center"/>
          </w:tcPr>
          <w:p w14:paraId="50A9A6E7" w14:textId="77777777">
            <w:pPr>
              <w:pStyle w:val="Tabletext"/>
              <w:keepNext/>
              <w:keepLines/>
              <w:jc w:val="center"/>
            </w:pPr>
            <w:r>
              <w:t>problematic</w:t>
            </w:r>
          </w:p>
        </w:tc>
      </w:tr>
      <w:tr w14:paraId="12E4BC4C" w14:textId="77777777">
        <w:trPr>
          <w:trHeight w:val="440"/>
        </w:trPr>
        <w:tc>
          <w:tcPr>
            <w:tcW w:w="852" w:type="pct"/>
            <w:shd w:val="clear" w:color="auto" w:fill="F0F7D7"/>
            <w:tcMar>
              <w:top w:w="100" w:type="dxa"/>
              <w:left w:w="100" w:type="dxa"/>
              <w:bottom w:w="100" w:type="dxa"/>
              <w:right w:w="100" w:type="dxa"/>
            </w:tcMar>
            <w:vAlign w:val="center"/>
          </w:tcPr>
          <w:p w14:paraId="789C5513" w14:textId="77777777">
            <w:pPr>
              <w:pStyle w:val="Tabletext"/>
              <w:keepNext/>
              <w:keepLines/>
              <w:jc w:val="right"/>
            </w:pPr>
            <w:r>
              <w:t>high</w:t>
            </w:r>
          </w:p>
        </w:tc>
        <w:tc>
          <w:tcPr>
            <w:tcW w:w="1327" w:type="pct"/>
            <w:vMerge w:val="restart"/>
            <w:tcMar>
              <w:top w:w="100" w:type="dxa"/>
              <w:left w:w="100" w:type="dxa"/>
              <w:bottom w:w="100" w:type="dxa"/>
              <w:right w:w="100" w:type="dxa"/>
            </w:tcMar>
            <w:vAlign w:val="center"/>
          </w:tcPr>
          <w:p w14:paraId="2078A115" w14:textId="77777777">
            <w:pPr>
              <w:pStyle w:val="Tabletext"/>
              <w:keepNext/>
              <w:keepLines/>
              <w:jc w:val="center"/>
              <w:rPr>
                <w:rStyle w:val="Code"/>
              </w:rPr>
            </w:pPr>
            <w:r>
              <w:rPr>
                <w:rStyle w:val="Code"/>
              </w:rPr>
              <w:t>&lt;supplied&gt;</w:t>
            </w:r>
            <w:r>
              <w:rPr>
                <w:rStyle w:val="Code"/>
              </w:rPr>
              <w:br/>
            </w:r>
            <w:r>
              <w:t xml:space="preserve">with </w:t>
            </w:r>
            <w:r>
              <w:rPr>
                <w:rStyle w:val="Codeattribute"/>
              </w:rPr>
              <w:t>@reason</w:t>
            </w:r>
            <w:r>
              <w:rPr>
                <w:rStyle w:val="Code"/>
              </w:rPr>
              <w:t>=</w:t>
            </w:r>
            <w:r>
              <w:rPr>
                <w:rStyle w:val="Codevalue"/>
              </w:rPr>
              <w:t>"lost"</w:t>
            </w:r>
          </w:p>
        </w:tc>
        <w:tc>
          <w:tcPr>
            <w:tcW w:w="1746" w:type="pct"/>
            <w:vMerge w:val="restart"/>
            <w:tcMar>
              <w:top w:w="100" w:type="dxa"/>
              <w:left w:w="100" w:type="dxa"/>
              <w:bottom w:w="100" w:type="dxa"/>
              <w:right w:w="100" w:type="dxa"/>
            </w:tcMar>
            <w:vAlign w:val="center"/>
          </w:tcPr>
          <w:p w14:paraId="4EC85AC0" w14:textId="77777777">
            <w:pPr>
              <w:pStyle w:val="Tabletext"/>
              <w:keepNext/>
              <w:keepLines/>
              <w:jc w:val="center"/>
              <w:rPr>
                <w:rStyle w:val="Code"/>
              </w:rPr>
            </w:pPr>
            <w:r>
              <w:rPr>
                <w:rStyle w:val="Code"/>
              </w:rPr>
              <w:t>&lt;unclear&gt;</w:t>
            </w:r>
          </w:p>
        </w:tc>
        <w:tc>
          <w:tcPr>
            <w:tcW w:w="1075" w:type="pct"/>
            <w:tcMar>
              <w:top w:w="100" w:type="dxa"/>
              <w:left w:w="100" w:type="dxa"/>
              <w:bottom w:w="100" w:type="dxa"/>
              <w:right w:w="100" w:type="dxa"/>
            </w:tcMar>
            <w:vAlign w:val="center"/>
          </w:tcPr>
          <w:p w14:paraId="774E5376" w14:textId="77777777">
            <w:pPr>
              <w:pStyle w:val="Tabletext"/>
              <w:keepNext/>
              <w:keepLines/>
              <w:jc w:val="center"/>
            </w:pPr>
            <w:r>
              <w:t xml:space="preserve">optional </w:t>
            </w:r>
            <w:r>
              <w:rPr>
                <w:rStyle w:val="Code"/>
              </w:rPr>
              <w:t>&lt;unclear&gt;</w:t>
            </w:r>
            <w:r>
              <w:t xml:space="preserve"> optional </w:t>
            </w:r>
            <w:r>
              <w:rPr>
                <w:rStyle w:val="Code"/>
              </w:rPr>
              <w:t>&lt;damage&gt;</w:t>
            </w:r>
          </w:p>
        </w:tc>
      </w:tr>
      <w:tr w14:paraId="146B2D65" w14:textId="77777777">
        <w:trPr>
          <w:trHeight w:val="440"/>
        </w:trPr>
        <w:tc>
          <w:tcPr>
            <w:tcW w:w="852" w:type="pct"/>
            <w:shd w:val="clear" w:color="auto" w:fill="F0F7D7"/>
            <w:tcMar>
              <w:top w:w="100" w:type="dxa"/>
              <w:left w:w="100" w:type="dxa"/>
              <w:bottom w:w="100" w:type="dxa"/>
              <w:right w:w="100" w:type="dxa"/>
            </w:tcMar>
            <w:vAlign w:val="center"/>
          </w:tcPr>
          <w:p w14:paraId="6C186EC6" w14:textId="77777777">
            <w:pPr>
              <w:pStyle w:val="Tabletext"/>
              <w:keepNext/>
              <w:keepLines/>
              <w:jc w:val="right"/>
            </w:pPr>
            <w:r>
              <w:t>reasonable</w:t>
            </w:r>
          </w:p>
        </w:tc>
        <w:tc>
          <w:tcPr>
            <w:tcW w:w="1327" w:type="pct"/>
            <w:vMerge/>
            <w:tcMar>
              <w:top w:w="100" w:type="dxa"/>
              <w:left w:w="100" w:type="dxa"/>
              <w:bottom w:w="100" w:type="dxa"/>
              <w:right w:w="100" w:type="dxa"/>
            </w:tcMar>
            <w:vAlign w:val="center"/>
          </w:tcPr>
          <w:p w14:paraId="005E807E" w14:textId="77777777">
            <w:pPr>
              <w:pStyle w:val="Tabletext"/>
              <w:keepNext/>
              <w:keepLines/>
              <w:jc w:val="center"/>
            </w:pPr>
          </w:p>
        </w:tc>
        <w:tc>
          <w:tcPr>
            <w:tcW w:w="1746" w:type="pct"/>
            <w:vMerge/>
            <w:tcMar>
              <w:top w:w="100" w:type="dxa"/>
              <w:left w:w="100" w:type="dxa"/>
              <w:bottom w:w="100" w:type="dxa"/>
              <w:right w:w="100" w:type="dxa"/>
            </w:tcMar>
            <w:vAlign w:val="center"/>
          </w:tcPr>
          <w:p w14:paraId="44741E3E" w14:textId="77777777">
            <w:pPr>
              <w:pStyle w:val="Tabletext"/>
              <w:keepNext/>
              <w:keepLines/>
              <w:jc w:val="center"/>
            </w:pPr>
          </w:p>
        </w:tc>
        <w:tc>
          <w:tcPr>
            <w:tcW w:w="1075" w:type="pct"/>
            <w:tcMar>
              <w:top w:w="100" w:type="dxa"/>
              <w:left w:w="100" w:type="dxa"/>
              <w:bottom w:w="100" w:type="dxa"/>
              <w:right w:w="100" w:type="dxa"/>
            </w:tcMar>
            <w:vAlign w:val="center"/>
          </w:tcPr>
          <w:p w14:paraId="35B8FA68" w14:textId="77777777">
            <w:pPr>
              <w:pStyle w:val="Tabletext"/>
              <w:keepNext/>
              <w:keepLines/>
              <w:jc w:val="center"/>
              <w:rPr>
                <w:rStyle w:val="Code"/>
              </w:rPr>
            </w:pPr>
            <w:r>
              <w:rPr>
                <w:rStyle w:val="Code"/>
              </w:rPr>
              <w:t>&lt;unclear&gt;</w:t>
            </w:r>
          </w:p>
        </w:tc>
      </w:tr>
      <w:tr w14:paraId="6ECBDF1B" w14:textId="77777777">
        <w:trPr>
          <w:trHeight w:val="440"/>
        </w:trPr>
        <w:tc>
          <w:tcPr>
            <w:tcW w:w="852" w:type="pct"/>
            <w:shd w:val="clear" w:color="auto" w:fill="F0F7D7"/>
            <w:tcMar>
              <w:top w:w="100" w:type="dxa"/>
              <w:left w:w="100" w:type="dxa"/>
              <w:bottom w:w="100" w:type="dxa"/>
              <w:right w:w="100" w:type="dxa"/>
            </w:tcMar>
            <w:vAlign w:val="center"/>
          </w:tcPr>
          <w:p w14:paraId="6EB92559" w14:textId="77777777">
            <w:pPr>
              <w:pStyle w:val="Tabletext"/>
              <w:keepNext/>
              <w:keepLines/>
              <w:jc w:val="right"/>
            </w:pPr>
            <w:r>
              <w:t>tentative</w:t>
            </w:r>
          </w:p>
        </w:tc>
        <w:tc>
          <w:tcPr>
            <w:tcW w:w="1327" w:type="pct"/>
            <w:tcMar>
              <w:top w:w="100" w:type="dxa"/>
              <w:left w:w="100" w:type="dxa"/>
              <w:bottom w:w="100" w:type="dxa"/>
              <w:right w:w="100" w:type="dxa"/>
            </w:tcMar>
            <w:vAlign w:val="center"/>
          </w:tcPr>
          <w:p w14:paraId="4FDAC73C" w14:textId="77777777">
            <w:pPr>
              <w:pStyle w:val="Tabletext"/>
              <w:keepNext/>
              <w:keepLines/>
              <w:jc w:val="center"/>
              <w:rPr>
                <w:rStyle w:val="Code"/>
              </w:rPr>
            </w:pPr>
            <w:r>
              <w:rPr>
                <w:rStyle w:val="Code"/>
              </w:rPr>
              <w:t>&lt;supplied&gt;</w:t>
            </w:r>
          </w:p>
          <w:p w14:paraId="171A2509" w14:textId="77777777">
            <w:pPr>
              <w:pStyle w:val="Tabletext"/>
              <w:keepNext/>
              <w:keepLines/>
              <w:jc w:val="center"/>
              <w:rPr>
                <w:rStyle w:val="Code"/>
              </w:rPr>
            </w:pPr>
            <w:r>
              <w:t xml:space="preserve">with </w:t>
            </w:r>
            <w:r>
              <w:rPr>
                <w:rStyle w:val="Codeattribute"/>
              </w:rPr>
              <w:t>@reason</w:t>
            </w:r>
            <w:r>
              <w:rPr>
                <w:rStyle w:val="Code"/>
              </w:rPr>
              <w:t>=</w:t>
            </w:r>
            <w:r>
              <w:rPr>
                <w:rStyle w:val="Codevalue"/>
              </w:rPr>
              <w:t>"lost"</w:t>
            </w:r>
            <w:r>
              <w:rPr>
                <w:rStyle w:val="Code"/>
              </w:rPr>
              <w:t xml:space="preserve"> </w:t>
            </w:r>
          </w:p>
          <w:p w14:paraId="610B94BF" w14:textId="77777777">
            <w:pPr>
              <w:pStyle w:val="Tabletext"/>
              <w:keepNext/>
              <w:keepLines/>
              <w:jc w:val="center"/>
              <w:rPr>
                <w:rStyle w:val="Code"/>
              </w:rPr>
            </w:pPr>
            <w:r>
              <w:t xml:space="preserve">and </w:t>
            </w:r>
            <w:r>
              <w:rPr>
                <w:rStyle w:val="Codeattribute"/>
              </w:rPr>
              <w:t>@cert</w:t>
            </w:r>
            <w:r>
              <w:rPr>
                <w:rStyle w:val="Code"/>
              </w:rPr>
              <w:t>=</w:t>
            </w:r>
            <w:r>
              <w:rPr>
                <w:rStyle w:val="Codevalue"/>
              </w:rPr>
              <w:t>"low"</w:t>
            </w:r>
          </w:p>
        </w:tc>
        <w:tc>
          <w:tcPr>
            <w:tcW w:w="1746" w:type="pct"/>
            <w:tcMar>
              <w:top w:w="100" w:type="dxa"/>
              <w:left w:w="100" w:type="dxa"/>
              <w:bottom w:w="100" w:type="dxa"/>
              <w:right w:w="100" w:type="dxa"/>
            </w:tcMar>
            <w:vAlign w:val="center"/>
          </w:tcPr>
          <w:p w14:paraId="1456525C" w14:textId="77777777">
            <w:pPr>
              <w:pStyle w:val="Tabletext"/>
              <w:keepNext/>
              <w:keepLines/>
              <w:jc w:val="center"/>
              <w:rPr>
                <w:rStyle w:val="Code"/>
              </w:rPr>
            </w:pPr>
            <w:r>
              <w:rPr>
                <w:rStyle w:val="Code"/>
              </w:rPr>
              <w:t>&lt;unclear&gt;</w:t>
            </w:r>
          </w:p>
          <w:p w14:paraId="4EA24746" w14:textId="77777777">
            <w:pPr>
              <w:pStyle w:val="Tabletext"/>
              <w:keepNext/>
              <w:keepLines/>
              <w:jc w:val="center"/>
              <w:rPr>
                <w:rStyle w:val="Code"/>
              </w:rPr>
            </w:pPr>
            <w:r>
              <w:t xml:space="preserve">with </w:t>
            </w:r>
            <w:r>
              <w:rPr>
                <w:rStyle w:val="Codeattribute"/>
              </w:rPr>
              <w:t>@cert</w:t>
            </w:r>
            <w:r>
              <w:rPr>
                <w:rStyle w:val="Code"/>
              </w:rPr>
              <w:t>=</w:t>
            </w:r>
            <w:r>
              <w:rPr>
                <w:rStyle w:val="Codevalue"/>
              </w:rPr>
              <w:t>"low"</w:t>
            </w:r>
          </w:p>
        </w:tc>
        <w:tc>
          <w:tcPr>
            <w:tcW w:w="1075" w:type="pct"/>
            <w:tcMar>
              <w:top w:w="100" w:type="dxa"/>
              <w:left w:w="100" w:type="dxa"/>
              <w:bottom w:w="100" w:type="dxa"/>
              <w:right w:w="100" w:type="dxa"/>
            </w:tcMar>
            <w:vAlign w:val="center"/>
          </w:tcPr>
          <w:p w14:paraId="42951694" w14:textId="77777777">
            <w:pPr>
              <w:pStyle w:val="Tabletext"/>
              <w:keepNext/>
              <w:keepLines/>
              <w:jc w:val="center"/>
              <w:rPr>
                <w:rStyle w:val="Code"/>
              </w:rPr>
            </w:pPr>
            <w:r>
              <w:rPr>
                <w:rStyle w:val="Code"/>
              </w:rPr>
              <w:t>&lt;unclear&gt;</w:t>
            </w:r>
          </w:p>
          <w:p w14:paraId="6C9016E9" w14:textId="77777777">
            <w:pPr>
              <w:pStyle w:val="Tabletext"/>
              <w:keepNext/>
              <w:keepLines/>
              <w:jc w:val="center"/>
              <w:rPr>
                <w:rStyle w:val="Code"/>
              </w:rPr>
            </w:pPr>
            <w:r>
              <w:t xml:space="preserve">with </w:t>
            </w:r>
            <w:r>
              <w:rPr>
                <w:rStyle w:val="Codeattribute"/>
              </w:rPr>
              <w:t>@cert</w:t>
            </w:r>
            <w:r>
              <w:rPr>
                <w:rStyle w:val="Code"/>
              </w:rPr>
              <w:t>=</w:t>
            </w:r>
            <w:r>
              <w:rPr>
                <w:rStyle w:val="Codevalue"/>
              </w:rPr>
              <w:t>"low"</w:t>
            </w:r>
          </w:p>
        </w:tc>
      </w:tr>
      <w:tr w14:paraId="308A7144" w14:textId="77777777">
        <w:tc>
          <w:tcPr>
            <w:tcW w:w="852" w:type="pct"/>
            <w:shd w:val="clear" w:color="auto" w:fill="F0F7D7"/>
            <w:tcMar>
              <w:top w:w="100" w:type="dxa"/>
              <w:left w:w="100" w:type="dxa"/>
              <w:bottom w:w="100" w:type="dxa"/>
              <w:right w:w="100" w:type="dxa"/>
            </w:tcMar>
            <w:vAlign w:val="center"/>
          </w:tcPr>
          <w:p w14:paraId="1E3AEF65" w14:textId="77777777">
            <w:pPr>
              <w:pStyle w:val="Tabletext"/>
              <w:jc w:val="right"/>
            </w:pPr>
            <w:r>
              <w:t>nil</w:t>
            </w:r>
          </w:p>
        </w:tc>
        <w:tc>
          <w:tcPr>
            <w:tcW w:w="1327" w:type="pct"/>
            <w:tcMar>
              <w:top w:w="100" w:type="dxa"/>
              <w:left w:w="100" w:type="dxa"/>
              <w:bottom w:w="100" w:type="dxa"/>
              <w:right w:w="100" w:type="dxa"/>
            </w:tcMar>
            <w:vAlign w:val="center"/>
          </w:tcPr>
          <w:p w14:paraId="55FEAE69" w14:textId="77777777">
            <w:pPr>
              <w:pStyle w:val="Tabletext"/>
              <w:jc w:val="center"/>
              <w:rPr>
                <w:rStyle w:val="Code"/>
              </w:rPr>
            </w:pPr>
            <w:r>
              <w:rPr>
                <w:rStyle w:val="Code"/>
              </w:rPr>
              <w:t>&lt;gap&gt;</w:t>
            </w:r>
          </w:p>
          <w:p w14:paraId="2675DF3E" w14:textId="77777777">
            <w:pPr>
              <w:pStyle w:val="Tabletext"/>
              <w:jc w:val="center"/>
              <w:rPr>
                <w:rStyle w:val="Code"/>
              </w:rPr>
            </w:pPr>
            <w:r>
              <w:t xml:space="preserve">with </w:t>
            </w:r>
            <w:r>
              <w:rPr>
                <w:rStyle w:val="Codeattribute"/>
              </w:rPr>
              <w:t>@reason</w:t>
            </w:r>
            <w:r>
              <w:rPr>
                <w:rStyle w:val="Code"/>
              </w:rPr>
              <w:t>=</w:t>
            </w:r>
            <w:r>
              <w:rPr>
                <w:rStyle w:val="Codevalue"/>
              </w:rPr>
              <w:t>"lost"</w:t>
            </w:r>
          </w:p>
        </w:tc>
        <w:tc>
          <w:tcPr>
            <w:tcW w:w="1746" w:type="pct"/>
            <w:tcMar>
              <w:top w:w="100" w:type="dxa"/>
              <w:left w:w="100" w:type="dxa"/>
              <w:bottom w:w="100" w:type="dxa"/>
              <w:right w:w="100" w:type="dxa"/>
            </w:tcMar>
            <w:vAlign w:val="center"/>
          </w:tcPr>
          <w:p w14:paraId="130212FC" w14:textId="77777777">
            <w:pPr>
              <w:pStyle w:val="Tabletext"/>
              <w:jc w:val="center"/>
              <w:rPr>
                <w:rStyle w:val="Code"/>
              </w:rPr>
            </w:pPr>
            <w:r>
              <w:rPr>
                <w:rStyle w:val="Code"/>
              </w:rPr>
              <w:t>&lt;gap&gt;</w:t>
            </w:r>
          </w:p>
          <w:p w14:paraId="519F0FA2" w14:textId="77777777">
            <w:pPr>
              <w:pStyle w:val="Tabletext"/>
              <w:jc w:val="center"/>
              <w:rPr>
                <w:rStyle w:val="Code"/>
              </w:rPr>
            </w:pPr>
            <w:r>
              <w:t xml:space="preserve">with </w:t>
            </w:r>
            <w:r>
              <w:rPr>
                <w:rStyle w:val="Codeattribute"/>
              </w:rPr>
              <w:t>@reason</w:t>
            </w:r>
            <w:r>
              <w:rPr>
                <w:rStyle w:val="Code"/>
              </w:rPr>
              <w:t>=</w:t>
            </w:r>
            <w:r>
              <w:rPr>
                <w:rStyle w:val="Codevalue"/>
              </w:rPr>
              <w:t>"illegible"</w:t>
            </w:r>
          </w:p>
        </w:tc>
        <w:tc>
          <w:tcPr>
            <w:tcW w:w="1075" w:type="pct"/>
            <w:tcMar>
              <w:top w:w="100" w:type="dxa"/>
              <w:left w:w="100" w:type="dxa"/>
              <w:bottom w:w="100" w:type="dxa"/>
              <w:right w:w="100" w:type="dxa"/>
            </w:tcMar>
            <w:vAlign w:val="center"/>
          </w:tcPr>
          <w:p w14:paraId="5E279BA2" w14:textId="77777777">
            <w:pPr>
              <w:pStyle w:val="Tabletext"/>
              <w:jc w:val="center"/>
            </w:pPr>
            <w:r>
              <w:t>NA</w:t>
            </w:r>
          </w:p>
        </w:tc>
      </w:tr>
    </w:tbl>
    <w:p w14:paraId="4A280842" w14:textId="77777777">
      <w:pPr>
        <w:pStyle w:val="Lista"/>
      </w:pPr>
      <w:r>
        <w:t xml:space="preserve">the </w:t>
      </w:r>
      <w:r>
        <w:rPr>
          <w:b/>
          <w:bCs/>
        </w:rPr>
        <w:t>status of the text in the source document</w:t>
      </w:r>
      <w:r>
        <w:t xml:space="preserve"> as an objective, physical entity</w:t>
      </w:r>
    </w:p>
    <w:p w14:paraId="7CD19B8C" w14:textId="77777777">
      <w:pPr>
        <w:pStyle w:val="Lista2"/>
      </w:pPr>
      <w:r>
        <w:rPr>
          <w:b/>
          <w:bCs/>
        </w:rPr>
        <w:t>lost</w:t>
      </w:r>
      <w:r>
        <w:t>: the support is gone or at least its surface layer is completely destroyed so that all vestiges of writing are obliterated</w:t>
      </w:r>
    </w:p>
    <w:p w14:paraId="10494652" w14:textId="77777777">
      <w:pPr>
        <w:pStyle w:val="Lista2"/>
      </w:pPr>
      <w:r>
        <w:rPr>
          <w:b/>
          <w:bCs/>
        </w:rPr>
        <w:t>illegible</w:t>
      </w:r>
      <w:r>
        <w:t>: the support is extant, but the glyphs cannot be made out with any degree of confidence</w:t>
      </w:r>
    </w:p>
    <w:p w14:paraId="661B6006" w14:textId="77777777">
      <w:pPr>
        <w:pStyle w:val="Lista2"/>
      </w:pPr>
      <w:r>
        <w:rPr>
          <w:b/>
          <w:bCs/>
        </w:rPr>
        <w:t>problematic</w:t>
      </w:r>
      <w:r>
        <w:t>: the glyphs can be made out at least tentatively, but if taken out of context, their reading would be equivocal</w:t>
      </w:r>
    </w:p>
    <w:p w14:paraId="433FB4C6" w14:textId="77777777">
      <w:pPr>
        <w:pStyle w:val="Lista"/>
        <w:rPr>
          <w:b/>
          <w:bCs/>
        </w:rPr>
      </w:pPr>
      <w:r>
        <w:rPr>
          <w:b/>
          <w:bCs/>
        </w:rPr>
        <w:t>confidence in the accuracy of your edition’s text (reading or restoration informed by context and expertise)</w:t>
      </w:r>
    </w:p>
    <w:p w14:paraId="7E06EDA9" w14:textId="77777777">
      <w:pPr>
        <w:pStyle w:val="Lista2"/>
      </w:pPr>
      <w:r>
        <w:rPr>
          <w:b/>
          <w:bCs/>
        </w:rPr>
        <w:t>high</w:t>
      </w:r>
      <w:r>
        <w:t>: your reading or restoration is quite certainly identical to what was actually written, or if not 100% accurate then differing only in trivial details (for instance, there may have been orthographic variation or a scribal error in the source)</w:t>
      </w:r>
    </w:p>
    <w:p w14:paraId="6AD87583" w14:textId="77777777">
      <w:pPr>
        <w:pStyle w:val="Lista2"/>
      </w:pPr>
      <w:r>
        <w:rPr>
          <w:b/>
          <w:bCs/>
        </w:rPr>
        <w:t>reasonable</w:t>
      </w:r>
      <w:r>
        <w:t>: your reading/restoration is likely to be correct, but there is a chance of a non-trivial alternative reading being possible</w:t>
      </w:r>
    </w:p>
    <w:p w14:paraId="0D210C04" w14:textId="77777777">
      <w:pPr>
        <w:pStyle w:val="Lista2"/>
      </w:pPr>
      <w:r>
        <w:rPr>
          <w:b/>
          <w:bCs/>
        </w:rPr>
        <w:t>tentative</w:t>
      </w:r>
      <w:r>
        <w:t>: your reading/restoration is a best guess or a diagnostic conjecture, with a fair chance that the actually engraved text differed from it in a non-trivial way</w:t>
      </w:r>
    </w:p>
    <w:p w14:paraId="47D6BECF" w14:textId="77777777">
      <w:pPr>
        <w:pStyle w:val="Lista2"/>
      </w:pPr>
      <w:r>
        <w:rPr>
          <w:b/>
          <w:bCs/>
        </w:rPr>
        <w:t>nil</w:t>
      </w:r>
      <w:r>
        <w:t>: the text cannot be read or restored with any confidence, so you prefer not to venture a guess</w:t>
      </w:r>
    </w:p>
    <w:p w14:paraId="1462DE5F" w14:textId="77777777"/>
    <w:p w14:paraId="2FF9ADD1" w14:textId="0E61111C">
      <w:r>
        <w:t xml:space="preserve">The element </w:t>
      </w:r>
      <w:r>
        <w:rPr>
          <w:rStyle w:val="Code"/>
        </w:rPr>
        <w:t>&lt;unclear&gt;</w:t>
      </w:r>
      <w:r>
        <w:t xml:space="preserve"> (§</w:t>
      </w:r>
      <w:r>
        <w:fldChar w:fldCharType="begin"/>
      </w:r>
      <w:r>
        <w:instrText xml:space="preserve"> REF _Ref43981505 \r \h </w:instrText>
      </w:r>
      <w:r>
        <w:fldChar w:fldCharType="separate"/>
      </w:r>
      <w:r>
        <w:t>6.3</w:t>
      </w:r>
      <w:r>
        <w:fldChar w:fldCharType="end"/>
      </w:r>
      <w:r>
        <w:t xml:space="preserve">) in principle stands for text that has been read at least tentatively from the source but which might not be readable with full confidence when removed from its context. Unclarity is </w:t>
      </w:r>
      <w:r>
        <w:lastRenderedPageBreak/>
        <w:t>usually a result of damage to the support, but it may also be a consequence of the eccentric or poor execution of the original writing. The latter can be distinguished from the former by the addition of an attribute (§</w:t>
      </w:r>
      <w:r>
        <w:fldChar w:fldCharType="begin"/>
      </w:r>
      <w:r>
        <w:instrText xml:space="preserve"> REF _Ref227942295 \r \h </w:instrText>
      </w:r>
      <w:r>
        <w:fldChar w:fldCharType="separate"/>
      </w:r>
      <w:r>
        <w:t>6.3.1.2</w:t>
      </w:r>
      <w:r>
        <w:fldChar w:fldCharType="end"/>
      </w:r>
      <w:r>
        <w:t xml:space="preserve">), but the overall method of the encoding is indifferent to the reason why a locus is not perfectly legible. In DHARMA practice, </w:t>
      </w:r>
      <w:r>
        <w:rPr>
          <w:rStyle w:val="Code"/>
        </w:rPr>
        <w:t>&lt;unclear&gt;</w:t>
      </w:r>
      <w:r>
        <w:t xml:space="preserve"> is not required when the text in context has been read with complete confidence even if some ambiguity might apply to the glyphs taken out of context. Loci affected by damage that does not impede reading may be tagged with </w:t>
      </w:r>
      <w:r>
        <w:rPr>
          <w:rStyle w:val="Code"/>
        </w:rPr>
        <w:t>&lt;damage&gt;</w:t>
      </w:r>
      <w:r>
        <w:t xml:space="preserve"> (§</w:t>
      </w:r>
      <w:r>
        <w:fldChar w:fldCharType="begin"/>
      </w:r>
      <w:r>
        <w:instrText xml:space="preserve"> REF _Ref43987823 \r \h </w:instrText>
      </w:r>
      <w:r>
        <w:fldChar w:fldCharType="separate"/>
      </w:r>
      <w:r>
        <w:t>6.2</w:t>
      </w:r>
      <w:r>
        <w:fldChar w:fldCharType="end"/>
      </w:r>
      <w:r>
        <w:t>), although this is not usually done in DHARMA practice.</w:t>
      </w:r>
    </w:p>
    <w:p w14:paraId="188DF376" w14:textId="12FC33A5">
      <w:pPr>
        <w:pStyle w:val="Normlbehzs"/>
      </w:pPr>
      <w:r>
        <w:t xml:space="preserve">When you have no reading or restoration whatsoever for a particular locus, the edition obviously cannot contain text for that locus, but the presence and extent of a lacuna must be indicated in some way. This is done with the element </w:t>
      </w:r>
      <w:r>
        <w:rPr>
          <w:rStyle w:val="Code"/>
        </w:rPr>
        <w:t>&lt;gap&gt;</w:t>
      </w:r>
      <w:r>
        <w:t>, which stands as a placeholder for text that is not available. The use of this element for various kinds of lacunae is discussed in detail in §</w:t>
      </w:r>
      <w:r>
        <w:fldChar w:fldCharType="begin"/>
      </w:r>
      <w:r>
        <w:instrText xml:space="preserve"> REF _Ref228460110 \r \h </w:instrText>
      </w:r>
      <w:r>
        <w:fldChar w:fldCharType="separate"/>
      </w:r>
      <w:r>
        <w:t>6.5</w:t>
      </w:r>
      <w:r>
        <w:fldChar w:fldCharType="end"/>
      </w:r>
      <w:r>
        <w:t>. Our practice, in accordance with EpiDoc, distinguishes two kinds of lacuna based on the condition of the support: if the source text is altogether gone, then the gap is classified as “lost”, while if writing is present at least vestigially, it is classified as “illegible”.</w:t>
      </w:r>
    </w:p>
    <w:p w14:paraId="18C1A2C1" w14:textId="5D504334">
      <w:pPr>
        <w:pStyle w:val="Normlbehzs"/>
      </w:pPr>
      <w:r>
        <w:t xml:space="preserve">When the text is altogether lost from the source but can be at least tentatively restored by the editor (on the basis of expertise, context and related texts), the element </w:t>
      </w:r>
      <w:r>
        <w:rPr>
          <w:rStyle w:val="Code"/>
        </w:rPr>
        <w:t>&lt;gap&gt;</w:t>
      </w:r>
      <w:r>
        <w:t xml:space="preserve"> is not applicable because the edition does contain text for the locus. Instead, the element </w:t>
      </w:r>
      <w:r>
        <w:rPr>
          <w:rStyle w:val="Code"/>
        </w:rPr>
        <w:t>&lt;supplied&gt;</w:t>
      </w:r>
      <w:r>
        <w:t xml:space="preserve"> (§</w:t>
      </w:r>
      <w:r>
        <w:fldChar w:fldCharType="begin"/>
      </w:r>
      <w:r>
        <w:instrText xml:space="preserve"> REF _Ref228459751 \r \h </w:instrText>
      </w:r>
      <w:r>
        <w:fldChar w:fldCharType="separate"/>
      </w:r>
      <w:r>
        <w:t>6.4</w:t>
      </w:r>
      <w:r>
        <w:fldChar w:fldCharType="end"/>
      </w:r>
      <w:r>
        <w:t xml:space="preserve">) is added to tag text as an editorial restoration. Importantly, EpiDoc does not allow the use of </w:t>
      </w:r>
      <w:r>
        <w:rPr>
          <w:rStyle w:val="Code"/>
        </w:rPr>
        <w:t>&lt;supplied&gt;</w:t>
      </w:r>
      <w:r>
        <w:t xml:space="preserve"> when text, however effaced, is still present in the source. While a lacuna may be either “lost” or “illegible,” a stretch of restored text must always be “lost.” The rationale behind this is that if any vestiges remain, and these can be reconstructed on the basis of context, then they meet the definition of </w:t>
      </w:r>
      <w:r>
        <w:rPr>
          <w:rStyle w:val="Code"/>
        </w:rPr>
        <w:t>&lt;unclear&gt;</w:t>
      </w:r>
      <w:r>
        <w:t xml:space="preserve"> and ought to be marked up as such. Although we feel that a meaningful and potentially helpful distinction can be made between “conjecturally restored text not explicitly ruled out by vestiges” and “text restored on the basis of vestiges,” our encoding practice shall follow established EpiDoc convention.</w:t>
      </w:r>
      <w:r>
        <w:rPr>
          <w:rStyle w:val="Lbjegyzet-hivatkozs"/>
        </w:rPr>
        <w:footnoteReference w:id="26"/>
      </w:r>
      <w:r>
        <w:t xml:space="preserve"> Therefore, as shown in the middle column of </w:t>
      </w:r>
      <w:r>
        <w:fldChar w:fldCharType="begin"/>
      </w:r>
      <w:r>
        <w:instrText xml:space="preserve"> REF _Ref228199279 \h </w:instrText>
      </w:r>
      <w:r>
        <w:fldChar w:fldCharType="separate"/>
      </w:r>
      <w:r>
        <w:t xml:space="preserve">Exhibit </w:t>
      </w:r>
      <w:r>
        <w:rPr>
          <w:noProof/>
        </w:rPr>
        <w:t>6.1</w:t>
      </w:r>
      <w:r>
        <w:t>.</w:t>
      </w:r>
      <w:r>
        <w:rPr>
          <w:noProof/>
        </w:rPr>
        <w:t>A</w:t>
      </w:r>
      <w:r>
        <w:fldChar w:fldCharType="end"/>
      </w:r>
      <w:r>
        <w:t xml:space="preserve">, when editorial text is present at a locus that is illegible rather than lost, this text mut be marked up as </w:t>
      </w:r>
      <w:r>
        <w:rPr>
          <w:rStyle w:val="Code"/>
        </w:rPr>
        <w:t>&lt;unclear&gt;</w:t>
      </w:r>
      <w:r>
        <w:t xml:space="preserve"> rather than as </w:t>
      </w:r>
      <w:r>
        <w:rPr>
          <w:rStyle w:val="Code"/>
        </w:rPr>
        <w:t xml:space="preserve">&lt;supplied </w:t>
      </w:r>
      <w:r>
        <w:rPr>
          <w:rStyle w:val="Codeattribute"/>
        </w:rPr>
        <w:t>reason</w:t>
      </w:r>
      <w:r>
        <w:rPr>
          <w:rStyle w:val="Code"/>
        </w:rPr>
        <w:t>=</w:t>
      </w:r>
      <w:r>
        <w:rPr>
          <w:rStyle w:val="Codevalue"/>
        </w:rPr>
        <w:t>"lost"</w:t>
      </w:r>
      <w:r>
        <w:t>.</w:t>
      </w:r>
    </w:p>
    <w:p w14:paraId="578D7205" w14:textId="77777777">
      <w:pPr>
        <w:pStyle w:val="Normlbehzs"/>
      </w:pPr>
      <w:r>
        <w:t xml:space="preserve">Whenever text (either read or restored) is present at a locus, low editorial confidence in the accuracy of that text is to be indicated by adding the attribute </w:t>
      </w:r>
      <w:r>
        <w:rPr>
          <w:rStyle w:val="Codeattribute"/>
        </w:rPr>
        <w:t>@cert</w:t>
      </w:r>
      <w:r>
        <w:rPr>
          <w:rStyle w:val="Code"/>
        </w:rPr>
        <w:t>=</w:t>
      </w:r>
      <w:r>
        <w:rPr>
          <w:rStyle w:val="Codevalue"/>
        </w:rPr>
        <w:t>"low"</w:t>
      </w:r>
      <w:r>
        <w:t xml:space="preserve"> to the phrase-level container.</w:t>
      </w:r>
    </w:p>
    <w:p w14:paraId="685C1496" w14:textId="77777777">
      <w:pPr>
        <w:pStyle w:val="Cmsor2"/>
      </w:pPr>
      <w:bookmarkStart w:id="523" w:name="_qwn6j8iel73t" w:colFirst="0" w:colLast="0"/>
      <w:bookmarkStart w:id="524" w:name="_Ref43987823"/>
      <w:bookmarkStart w:id="525" w:name="_Toc243922666"/>
      <w:bookmarkEnd w:id="523"/>
      <w:r>
        <w:t>Damage not impeding legibility</w:t>
      </w:r>
      <w:bookmarkEnd w:id="524"/>
      <w:bookmarkEnd w:id="525"/>
    </w:p>
    <w:p w14:paraId="2F8EB87A" w14:textId="77777777">
      <w:r>
        <w:t xml:space="preserve">When the source text is to some extent effaced by damage but this does not affect its legibility, the element </w:t>
      </w:r>
      <w:r>
        <w:rPr>
          <w:rStyle w:val="Code"/>
        </w:rPr>
        <w:t>&lt;damage&gt;</w:t>
      </w:r>
      <w:r>
        <w:t xml:space="preserve"> may be used to wrap any contiguous stretch of text affected by damage. We find that this complicates the encoding (especially when in interaction with other tags) without providing any noticeable advantage, and therefore recommend that conspicuous patches of weathering or loss be described for human readers in your annotation, but not encoded in the edition. If you do wish to use </w:t>
      </w:r>
      <w:r>
        <w:rPr>
          <w:rStyle w:val="Code"/>
        </w:rPr>
        <w:t>&lt;damage&gt;</w:t>
      </w:r>
      <w:r>
        <w:t>, keep in mind that it does not replace the encoding of legibility issues discussed in the other parts of this section, only augments them.</w:t>
      </w:r>
    </w:p>
    <w:p w14:paraId="1147EF13" w14:textId="77777777">
      <w:pPr>
        <w:pStyle w:val="Cmsor2"/>
      </w:pPr>
      <w:bookmarkStart w:id="526" w:name="_x58d7yl7rh7w" w:colFirst="0" w:colLast="0"/>
      <w:bookmarkStart w:id="527" w:name="_Ref43981505"/>
      <w:bookmarkStart w:id="528" w:name="_Toc243922667"/>
      <w:bookmarkEnd w:id="526"/>
      <w:r>
        <w:t>Unclear readings</w:t>
      </w:r>
      <w:bookmarkEnd w:id="527"/>
      <w:bookmarkEnd w:id="528"/>
    </w:p>
    <w:p w14:paraId="0FAB5BB6" w14:textId="77777777">
      <w:pPr>
        <w:pStyle w:val="Cmsor3"/>
      </w:pPr>
      <w:bookmarkStart w:id="529" w:name="_tcav1hmvdct4" w:colFirst="0" w:colLast="0"/>
      <w:bookmarkStart w:id="530" w:name="_Ref232089485"/>
      <w:bookmarkStart w:id="531" w:name="_Toc243922668"/>
      <w:bookmarkEnd w:id="529"/>
      <w:r>
        <w:t>Encoding unclear text</w:t>
      </w:r>
      <w:bookmarkEnd w:id="530"/>
      <w:bookmarkEnd w:id="531"/>
    </w:p>
    <w:p w14:paraId="3BEA043F" w14:textId="77777777">
      <w:r>
        <w:t>Unclear text is text that can be read in the source with some confidence, but not with complete certainty on account of damage or unusual glyph formation.</w:t>
      </w:r>
    </w:p>
    <w:p w14:paraId="1BB1C865" w14:textId="77777777">
      <w:pPr>
        <w:pStyle w:val="Lista"/>
      </w:pPr>
      <w:r>
        <w:t xml:space="preserve">use the element </w:t>
      </w:r>
      <w:r>
        <w:rPr>
          <w:rStyle w:val="Code"/>
        </w:rPr>
        <w:t>&lt;unclear&gt;</w:t>
      </w:r>
      <w:r>
        <w:t xml:space="preserve"> for unclear readings with the following attributes</w:t>
      </w:r>
    </w:p>
    <w:p w14:paraId="0E618690" w14:textId="0881184F">
      <w:pPr>
        <w:pStyle w:val="Lista2"/>
      </w:pPr>
      <w:r>
        <w:t xml:space="preserve">as applicable, </w:t>
      </w:r>
      <w:r>
        <w:rPr>
          <w:rStyle w:val="Codeattribute"/>
        </w:rPr>
        <w:t>@reason</w:t>
      </w:r>
      <w:r>
        <w:t xml:space="preserve"> to indicate that the reading issue is due to unusual execution rather than to damage, as per §</w:t>
      </w:r>
      <w:r>
        <w:fldChar w:fldCharType="begin"/>
      </w:r>
      <w:r>
        <w:instrText xml:space="preserve"> REF _Ref227942295 \r \h </w:instrText>
      </w:r>
      <w:r>
        <w:fldChar w:fldCharType="separate"/>
      </w:r>
      <w:r>
        <w:t>6.3.1.2</w:t>
      </w:r>
      <w:r>
        <w:fldChar w:fldCharType="end"/>
      </w:r>
    </w:p>
    <w:p w14:paraId="4E73FACF" w14:textId="7E9B66D7">
      <w:pPr>
        <w:pStyle w:val="Lista2"/>
      </w:pPr>
      <w:r>
        <w:lastRenderedPageBreak/>
        <w:t xml:space="preserve">as applicable, </w:t>
      </w:r>
      <w:r>
        <w:rPr>
          <w:rStyle w:val="Codeattribute"/>
        </w:rPr>
        <w:t>@cert</w:t>
      </w:r>
      <w:r>
        <w:t xml:space="preserve"> to indicate that the editorial reading is tentative, as per §</w:t>
      </w:r>
      <w:r>
        <w:fldChar w:fldCharType="begin"/>
      </w:r>
      <w:r>
        <w:instrText xml:space="preserve"> REF _Ref43987867 \r \h </w:instrText>
      </w:r>
      <w:r>
        <w:fldChar w:fldCharType="separate"/>
      </w:r>
      <w:r>
        <w:t>6.3.1.3</w:t>
      </w:r>
      <w:r>
        <w:fldChar w:fldCharType="end"/>
      </w:r>
    </w:p>
    <w:p w14:paraId="5269AF64" w14:textId="77777777">
      <w:pPr>
        <w:pStyle w:val="Lista"/>
      </w:pPr>
      <w:r>
        <w:t xml:space="preserve">when marking up text as unclear, you must keep in mind that the EpiDoc schema permits only text and the XML element </w:t>
      </w:r>
      <w:r>
        <w:rPr>
          <w:rStyle w:val="Code"/>
        </w:rPr>
        <w:t>&lt;g&gt;</w:t>
      </w:r>
      <w:r>
        <w:t xml:space="preserve"> within </w:t>
      </w:r>
      <w:r>
        <w:rPr>
          <w:rStyle w:val="Code"/>
        </w:rPr>
        <w:t>&lt;unclear&gt;</w:t>
      </w:r>
    </w:p>
    <w:p w14:paraId="3B7A6127" w14:textId="77777777">
      <w:pPr>
        <w:pStyle w:val="Lista2"/>
      </w:pPr>
      <w:r>
        <w:t xml:space="preserve">therefore, if a stretch of text you wish to mark up as unclear incorporates or overlaps with another stretch that needs different markup (for instance editorial intervention), you will need to split the stretches of text tagged with </w:t>
      </w:r>
      <w:r>
        <w:rPr>
          <w:rStyle w:val="Code"/>
        </w:rPr>
        <w:t>&lt;unclear&gt;</w:t>
      </w:r>
      <w:r>
        <w:t xml:space="preserve"> accordingly</w:t>
      </w:r>
    </w:p>
    <w:p w14:paraId="60EDD621" w14:textId="6BD3E5B4">
      <w:pPr>
        <w:pStyle w:val="Lista2"/>
      </w:pPr>
      <w:r>
        <w:t>see §</w:t>
      </w:r>
      <w:r>
        <w:fldChar w:fldCharType="begin"/>
      </w:r>
      <w:r>
        <w:instrText xml:space="preserve"> REF _Ref232072486 \r \h </w:instrText>
      </w:r>
      <w:r>
        <w:fldChar w:fldCharType="separate"/>
      </w:r>
      <w:r>
        <w:t>16.2.7</w:t>
      </w:r>
      <w:r>
        <w:fldChar w:fldCharType="end"/>
      </w:r>
      <w:r>
        <w:t xml:space="preserve"> for further discussion and examples</w:t>
      </w:r>
    </w:p>
    <w:p w14:paraId="1F3C9C56" w14:textId="77777777">
      <w:pPr>
        <w:pStyle w:val="Cmsor4"/>
      </w:pPr>
      <w:r>
        <w:t xml:space="preserve">When to use </w:t>
      </w:r>
      <w:r>
        <w:rPr>
          <w:rStyle w:val="Code"/>
        </w:rPr>
        <w:t>&lt;unclear&gt;</w:t>
      </w:r>
    </w:p>
    <w:p w14:paraId="73465BBE" w14:textId="77777777">
      <w:pPr>
        <w:pStyle w:val="Lista"/>
      </w:pPr>
      <w:r>
        <w:t xml:space="preserve">as defined in EpiDoc, the element </w:t>
      </w:r>
      <w:r>
        <w:rPr>
          <w:rStyle w:val="Code"/>
        </w:rPr>
        <w:t>&lt;unclear&gt;</w:t>
      </w:r>
      <w:r>
        <w:t xml:space="preserve"> stands for any grapheme “of which at least traces survive, but not adequately to identify the letter unambiguously outside of its context”</w:t>
      </w:r>
      <w:r>
        <w:rPr>
          <w:rStyle w:val="Lbjegyzet-hivatkozs"/>
        </w:rPr>
        <w:footnoteReference w:id="27"/>
      </w:r>
    </w:p>
    <w:p w14:paraId="6D3A7351" w14:textId="77777777">
      <w:pPr>
        <w:pStyle w:val="Lista"/>
      </w:pPr>
      <w:r>
        <w:t>therefore, this encoding is applicable to all of the following situations</w:t>
      </w:r>
    </w:p>
    <w:p w14:paraId="7666EED2" w14:textId="77777777">
      <w:pPr>
        <w:pStyle w:val="Lista2"/>
      </w:pPr>
      <w:r>
        <w:t>“I’m not quite sure this bit of text is correct”</w:t>
      </w:r>
    </w:p>
    <w:p w14:paraId="65E4ECFE" w14:textId="77777777">
      <w:pPr>
        <w:pStyle w:val="Lista3"/>
      </w:pPr>
      <w:r>
        <w:t>this is the basic situation where most of us would intuitively want to tag a locus as unclear</w:t>
      </w:r>
    </w:p>
    <w:p w14:paraId="1A64AC1C" w14:textId="77777777">
      <w:pPr>
        <w:pStyle w:val="Lista2"/>
      </w:pPr>
      <w:r>
        <w:t>“this bit of text is entirely illegible in the source, but I can restore it”</w:t>
      </w:r>
    </w:p>
    <w:p w14:paraId="232B6DDD" w14:textId="5B2BC51B">
      <w:pPr>
        <w:pStyle w:val="Lista3"/>
      </w:pPr>
      <w:r>
        <w:t>as discussed in §</w:t>
      </w:r>
      <w:r>
        <w:fldChar w:fldCharType="begin"/>
      </w:r>
      <w:r>
        <w:instrText xml:space="preserve"> REF _Ref228196345 \r \h </w:instrText>
      </w:r>
      <w:r>
        <w:fldChar w:fldCharType="separate"/>
      </w:r>
      <w:r>
        <w:t>6.1</w:t>
      </w:r>
      <w:r>
        <w:fldChar w:fldCharType="end"/>
      </w:r>
      <w:r>
        <w:t xml:space="preserve">, such a restoration cannot be encoded as </w:t>
      </w:r>
      <w:r>
        <w:rPr>
          <w:rStyle w:val="Code"/>
        </w:rPr>
        <w:t>&lt;supplied&gt;</w:t>
      </w:r>
      <w:r>
        <w:t xml:space="preserve"> and must instead be encoded as </w:t>
      </w:r>
      <w:r>
        <w:rPr>
          <w:rStyle w:val="Code"/>
        </w:rPr>
        <w:t>&lt;unclear&gt;</w:t>
      </w:r>
      <w:r>
        <w:t xml:space="preserve"> </w:t>
      </w:r>
    </w:p>
    <w:p w14:paraId="542279E5" w14:textId="77777777">
      <w:pPr>
        <w:pStyle w:val="Lista2"/>
      </w:pPr>
      <w:r>
        <w:t>“this bit of text could conceivably be something else if the context was not there to help”</w:t>
      </w:r>
    </w:p>
    <w:p w14:paraId="49AB3263" w14:textId="77777777">
      <w:pPr>
        <w:pStyle w:val="Lista3"/>
      </w:pPr>
      <w:r>
        <w:t xml:space="preserve">although </w:t>
      </w:r>
      <w:r>
        <w:rPr>
          <w:rStyle w:val="Code"/>
        </w:rPr>
        <w:t>&lt;unclear&gt;</w:t>
      </w:r>
      <w:r>
        <w:t xml:space="preserve"> would in principle be required in all such situations, in DHARMA practice we prefer leaving its use to the editor’s discretion and recommend not adding this tag to trivial cases of potential out-of-context ambiguity</w:t>
      </w:r>
    </w:p>
    <w:p w14:paraId="47B8E4E5" w14:textId="77777777">
      <w:pPr>
        <w:pStyle w:val="Lista3"/>
      </w:pPr>
      <w:r>
        <w:t xml:space="preserve">the rationale for this is that individual graphs lifted out of their context would often be somewhat ambiguous in the source documents we work with (due to full or partial homography in the particular writing system, to careless execution by the scribe, or to damage to the support), but cluttering the edition with </w:t>
      </w:r>
      <w:r>
        <w:rPr>
          <w:rStyle w:val="Code"/>
        </w:rPr>
        <w:t>&lt;unclear&gt;</w:t>
      </w:r>
      <w:r>
        <w:t xml:space="preserve"> markup would distract attention from spots where damage </w:t>
      </w:r>
      <w:r>
        <w:rPr>
          <w:noProof/>
        </w:rPr>
        <w:t>(</w:t>
      </w:r>
      <w:r>
        <w:t>or form) casts genuine doubt on a reading</w:t>
      </w:r>
    </w:p>
    <w:p w14:paraId="1B31F25F" w14:textId="77777777">
      <w:pPr>
        <w:pStyle w:val="Cmsor4"/>
      </w:pPr>
      <w:bookmarkStart w:id="532" w:name="_Ref227942295"/>
      <w:r>
        <w:t>The reason of unclarity</w:t>
      </w:r>
      <w:bookmarkEnd w:id="532"/>
    </w:p>
    <w:p w14:paraId="662BDD6F" w14:textId="77777777">
      <w:pPr>
        <w:rPr>
          <w:lang w:eastAsia="en-US" w:bidi="ar-SA"/>
        </w:rPr>
      </w:pPr>
      <w:r>
        <w:rPr>
          <w:lang w:eastAsia="en-US" w:bidi="ar-SA"/>
        </w:rPr>
        <w:t xml:space="preserve">The reason why a locus is deemed unclear is understood by default to be damage to the support, which may or may not be aggravated by the careless execution of the writing. In situations where the support is quite pristine but the reading is nonetheless unclear because the glyphs are unfinished, clumsily executed, or take an unusual or idiosyncratic shape, add </w:t>
      </w:r>
      <w:r>
        <w:t xml:space="preserve">the attribute </w:t>
      </w:r>
      <w:r>
        <w:rPr>
          <w:rStyle w:val="Codeattribute"/>
        </w:rPr>
        <w:t>@reason</w:t>
      </w:r>
      <w:r>
        <w:t xml:space="preserve"> with the value </w:t>
      </w:r>
      <w:r>
        <w:rPr>
          <w:rStyle w:val="Codevalue"/>
        </w:rPr>
        <w:t>"eccentric_ductus"</w:t>
      </w:r>
      <w:r>
        <w:t xml:space="preserve"> to the </w:t>
      </w:r>
      <w:r>
        <w:rPr>
          <w:rStyle w:val="Code"/>
        </w:rPr>
        <w:t>&lt;unclear&gt;</w:t>
      </w:r>
      <w:r>
        <w:t xml:space="preserve"> element.</w:t>
      </w:r>
    </w:p>
    <w:p w14:paraId="3BDACAA2" w14:textId="77777777">
      <w:pPr>
        <w:pStyle w:val="Lista"/>
      </w:pPr>
      <w:r>
        <w:t xml:space="preserve">e.g. </w:t>
      </w:r>
      <w:r>
        <w:rPr>
          <w:rStyle w:val="Code"/>
        </w:rPr>
        <w:t xml:space="preserve">&lt;unclear </w:t>
      </w:r>
      <w:r>
        <w:rPr>
          <w:rStyle w:val="Codeattribute"/>
        </w:rPr>
        <w:t>reason</w:t>
      </w:r>
      <w:r>
        <w:rPr>
          <w:rStyle w:val="Code"/>
        </w:rPr>
        <w:t>=</w:t>
      </w:r>
      <w:r>
        <w:rPr>
          <w:rStyle w:val="Codevalue"/>
        </w:rPr>
        <w:t>"eccentric_ductus"</w:t>
      </w:r>
      <w:r>
        <w:rPr>
          <w:rStyle w:val="Code"/>
        </w:rPr>
        <w:t>&gt;</w:t>
      </w:r>
      <w:r>
        <w:rPr>
          <w:rStyle w:val="Codetext"/>
        </w:rPr>
        <w:t>jñ</w:t>
      </w:r>
      <w:r>
        <w:rPr>
          <w:rStyle w:val="Code"/>
        </w:rPr>
        <w:t>&lt;/unclear&gt;</w:t>
      </w:r>
      <w:r>
        <w:rPr>
          <w:rStyle w:val="Codetext"/>
        </w:rPr>
        <w:t>āna</w:t>
      </w:r>
    </w:p>
    <w:p w14:paraId="539C847D" w14:textId="77777777">
      <w:pPr>
        <w:pStyle w:val="Lista"/>
      </w:pPr>
      <w:r>
        <w:t xml:space="preserve">when damage and eccentric ductus are </w:t>
      </w:r>
      <w:r>
        <w:rPr>
          <w:noProof/>
        </w:rPr>
        <w:t>(</w:t>
      </w:r>
      <w:r>
        <w:t xml:space="preserve">or may be) simultaneously present, use </w:t>
      </w:r>
      <w:r>
        <w:rPr>
          <w:rStyle w:val="Code"/>
        </w:rPr>
        <w:t>&lt;unclear&gt;</w:t>
      </w:r>
      <w:r>
        <w:t xml:space="preserve"> with or without this attribute depending on what you consider to be the primary reason for the lack of clarity</w:t>
      </w:r>
    </w:p>
    <w:p w14:paraId="36938EDF" w14:textId="77777777">
      <w:pPr>
        <w:pStyle w:val="Lista2"/>
      </w:pPr>
      <w:r>
        <w:t xml:space="preserve">when in doubt, prefer </w:t>
      </w:r>
      <w:r>
        <w:rPr>
          <w:rStyle w:val="Code"/>
        </w:rPr>
        <w:t>&lt;unclear&gt;</w:t>
      </w:r>
      <w:r>
        <w:t xml:space="preserve"> without this attribute</w:t>
      </w:r>
    </w:p>
    <w:p w14:paraId="55DCC439" w14:textId="77777777">
      <w:pPr>
        <w:pStyle w:val="Cmsor4"/>
      </w:pPr>
      <w:bookmarkStart w:id="533" w:name="_gpk9nikrok6m" w:colFirst="0" w:colLast="0"/>
      <w:bookmarkStart w:id="534" w:name="_Ref43987867"/>
      <w:bookmarkEnd w:id="533"/>
      <w:r>
        <w:t>Tentative readings</w:t>
      </w:r>
      <w:bookmarkEnd w:id="534"/>
    </w:p>
    <w:p w14:paraId="116095ED" w14:textId="7E3579DC">
      <w:r>
        <w:t xml:space="preserve">By default, the element </w:t>
      </w:r>
      <w:r>
        <w:rPr>
          <w:rStyle w:val="Code"/>
        </w:rPr>
        <w:t>&lt;unclear&gt;</w:t>
      </w:r>
      <w:r>
        <w:t xml:space="preserve"> only expresses potential ambiguity when taken out of context, without saying anything about the degree of confidence in a reading. As discussed in §</w:t>
      </w:r>
      <w:r>
        <w:fldChar w:fldCharType="begin"/>
      </w:r>
      <w:r>
        <w:instrText xml:space="preserve"> REF _Ref228196345 \r \h </w:instrText>
      </w:r>
      <w:r>
        <w:fldChar w:fldCharType="separate"/>
      </w:r>
      <w:r>
        <w:t>6.1</w:t>
      </w:r>
      <w:r>
        <w:fldChar w:fldCharType="end"/>
      </w:r>
      <w:r>
        <w:t xml:space="preserve"> and shown in </w:t>
      </w:r>
      <w:r>
        <w:fldChar w:fldCharType="begin"/>
      </w:r>
      <w:r>
        <w:instrText xml:space="preserve"> REF _Ref228199279 \h </w:instrText>
      </w:r>
      <w:r>
        <w:fldChar w:fldCharType="separate"/>
      </w:r>
      <w:r>
        <w:t xml:space="preserve">Exhibit </w:t>
      </w:r>
      <w:r>
        <w:rPr>
          <w:noProof/>
        </w:rPr>
        <w:t>6.1</w:t>
      </w:r>
      <w:r>
        <w:t>.</w:t>
      </w:r>
      <w:r>
        <w:rPr>
          <w:noProof/>
        </w:rPr>
        <w:t>A</w:t>
      </w:r>
      <w:r>
        <w:fldChar w:fldCharType="end"/>
      </w:r>
      <w:r>
        <w:t xml:space="preserve">, the default assumption is that the locus has been read with high or reasonable confidence. When the reading of a locus is tentative, add the attribute </w:t>
      </w:r>
      <w:r>
        <w:rPr>
          <w:rStyle w:val="Codeattribute"/>
        </w:rPr>
        <w:t>@cert</w:t>
      </w:r>
      <w:r>
        <w:t xml:space="preserve"> with the value </w:t>
      </w:r>
      <w:r>
        <w:rPr>
          <w:rStyle w:val="Codevalue"/>
        </w:rPr>
        <w:t>"low"</w:t>
      </w:r>
      <w:r>
        <w:t xml:space="preserve"> to the </w:t>
      </w:r>
      <w:r>
        <w:rPr>
          <w:rStyle w:val="Code"/>
        </w:rPr>
        <w:t>&lt;unclear&gt;</w:t>
      </w:r>
      <w:r>
        <w:t xml:space="preserve"> element.</w:t>
      </w:r>
    </w:p>
    <w:p w14:paraId="4164690F" w14:textId="77777777">
      <w:pPr>
        <w:pStyle w:val="Lista"/>
      </w:pPr>
      <w:r>
        <w:t xml:space="preserve">e.g. </w:t>
      </w:r>
      <w:r>
        <w:rPr>
          <w:rStyle w:val="Codetext"/>
        </w:rPr>
        <w:t>mahā</w:t>
      </w:r>
      <w:r>
        <w:rPr>
          <w:rStyle w:val="Code"/>
        </w:rPr>
        <w:t xml:space="preserve">&lt;unclear </w:t>
      </w:r>
      <w:r>
        <w:rPr>
          <w:rStyle w:val="Codeattribute"/>
        </w:rPr>
        <w:t>cert</w:t>
      </w:r>
      <w:r>
        <w:rPr>
          <w:rStyle w:val="Code"/>
        </w:rPr>
        <w:t>=</w:t>
      </w:r>
      <w:r>
        <w:rPr>
          <w:rStyle w:val="Codevalue"/>
        </w:rPr>
        <w:t>"low"</w:t>
      </w:r>
      <w:r>
        <w:rPr>
          <w:rStyle w:val="Code"/>
        </w:rPr>
        <w:t>&gt;</w:t>
      </w:r>
      <w:r>
        <w:rPr>
          <w:rStyle w:val="Codetext"/>
        </w:rPr>
        <w:t>puruṣa</w:t>
      </w:r>
      <w:r>
        <w:rPr>
          <w:rStyle w:val="Code"/>
        </w:rPr>
        <w:t>&lt;/unclear&gt;</w:t>
      </w:r>
    </w:p>
    <w:p w14:paraId="441F349F" w14:textId="77777777">
      <w:pPr>
        <w:pStyle w:val="Lista"/>
      </w:pPr>
      <w:r>
        <w:t xml:space="preserve">no additional degrees of confidence shall be represented in markup, so </w:t>
      </w:r>
      <w:r>
        <w:rPr>
          <w:rStyle w:val="Codevalue"/>
        </w:rPr>
        <w:t>"low"</w:t>
      </w:r>
      <w:r>
        <w:t xml:space="preserve"> here may stand for anything between “not quite confident” to “desperate conjecture”</w:t>
      </w:r>
    </w:p>
    <w:p w14:paraId="7C329F3C" w14:textId="77777777">
      <w:pPr>
        <w:pStyle w:val="Lista2"/>
      </w:pPr>
      <w:r>
        <w:t>however, it is preferable to save desperate conjectures for your commentary or apparatus, and within the edition, only encode readings in which you have some confidence</w:t>
      </w:r>
    </w:p>
    <w:p w14:paraId="3D13BB15" w14:textId="77777777">
      <w:pPr>
        <w:pStyle w:val="Lista"/>
      </w:pPr>
      <w:r>
        <w:lastRenderedPageBreak/>
        <w:t xml:space="preserve">note that while a low certainty expressed by this attribute is often a consequence of extensive damage, the </w:t>
      </w:r>
      <w:r>
        <w:rPr>
          <w:b/>
          <w:bCs/>
        </w:rPr>
        <w:t>degree of legibility</w:t>
      </w:r>
      <w:r>
        <w:t xml:space="preserve"> is not in direct correlation to the necessity of adding this attribute, thus:</w:t>
      </w:r>
    </w:p>
    <w:p w14:paraId="38FCD8E4" w14:textId="77777777">
      <w:pPr>
        <w:pStyle w:val="Lista2"/>
      </w:pPr>
      <w:r>
        <w:t xml:space="preserve">even very badly damaged text may be marked up with plain </w:t>
      </w:r>
      <w:r>
        <w:rPr>
          <w:rStyle w:val="Code"/>
        </w:rPr>
        <w:t>&lt;unclear&gt;</w:t>
      </w:r>
      <w:r>
        <w:t xml:space="preserve"> if it can be confidently supplied in the context; whereas</w:t>
      </w:r>
    </w:p>
    <w:p w14:paraId="57196883" w14:textId="77777777">
      <w:pPr>
        <w:pStyle w:val="Lista2"/>
      </w:pPr>
      <w:r>
        <w:t xml:space="preserve">even text that is only slightly affected by damage or awkward execution may need to be marked up as </w:t>
      </w:r>
      <w:r>
        <w:rPr>
          <w:rStyle w:val="Code"/>
        </w:rPr>
        <w:t xml:space="preserve">&lt;unclear </w:t>
      </w:r>
      <w:r>
        <w:rPr>
          <w:rStyle w:val="Codeattribute"/>
        </w:rPr>
        <w:t>cert</w:t>
      </w:r>
      <w:r>
        <w:rPr>
          <w:rStyle w:val="Code"/>
        </w:rPr>
        <w:t>=</w:t>
      </w:r>
      <w:r>
        <w:rPr>
          <w:rStyle w:val="Codevalue"/>
        </w:rPr>
        <w:t>"low"</w:t>
      </w:r>
      <w:r>
        <w:rPr>
          <w:rStyle w:val="Code"/>
        </w:rPr>
        <w:t>&gt;</w:t>
      </w:r>
      <w:r>
        <w:t xml:space="preserve"> if the context permits a variety of plausible alternative readings, as may easily be the case in unintelligible or only partly understood contexts </w:t>
      </w:r>
      <w:r>
        <w:rPr>
          <w:noProof/>
        </w:rPr>
        <w:t>(</w:t>
      </w:r>
      <w:r>
        <w:t>e.g. names, words foreign to the language of the inscription, or in case of extensive damage to the context)</w:t>
      </w:r>
    </w:p>
    <w:p w14:paraId="04CB4096" w14:textId="77777777">
      <w:pPr>
        <w:pStyle w:val="Cmsor3"/>
      </w:pPr>
      <w:bookmarkStart w:id="535" w:name="_is1q03k2vcu2" w:colFirst="0" w:colLast="0"/>
      <w:bookmarkStart w:id="536" w:name="_Ref43987339"/>
      <w:bookmarkStart w:id="537" w:name="_Toc243922669"/>
      <w:bookmarkEnd w:id="535"/>
      <w:r>
        <w:t xml:space="preserve">Encoding ambivalent </w:t>
      </w:r>
      <w:bookmarkEnd w:id="536"/>
      <w:r>
        <w:t>text</w:t>
      </w:r>
      <w:bookmarkEnd w:id="537"/>
    </w:p>
    <w:p w14:paraId="0479698D" w14:textId="77777777">
      <w:r>
        <w:t xml:space="preserve">If a damaged or malformed glyph affords a limited number of alternative interpretations and the context does not allow you to select the most likely candidate, each alternative may be listed in individual </w:t>
      </w:r>
      <w:r>
        <w:rPr>
          <w:rStyle w:val="Code"/>
        </w:rPr>
        <w:t>&lt;unclear&gt;</w:t>
      </w:r>
      <w:r>
        <w:t xml:space="preserve"> tags, wrapping the list in the </w:t>
      </w:r>
      <w:r>
        <w:rPr>
          <w:rStyle w:val="Code"/>
        </w:rPr>
        <w:t>&lt;choice&gt;</w:t>
      </w:r>
      <w:r>
        <w:t xml:space="preserve"> element to show that only one of these is actually present at the given locus.</w:t>
      </w:r>
    </w:p>
    <w:p w14:paraId="40D2FC65" w14:textId="77777777">
      <w:pPr>
        <w:pStyle w:val="Lista"/>
      </w:pPr>
      <w:r>
        <w:t xml:space="preserve">e.g. </w:t>
      </w:r>
      <w:r>
        <w:rPr>
          <w:rStyle w:val="Codetext"/>
        </w:rPr>
        <w:t>s</w:t>
      </w:r>
      <w:r>
        <w:rPr>
          <w:rStyle w:val="Code"/>
        </w:rPr>
        <w:t>&lt;choice&gt;&lt;unclear&gt;</w:t>
      </w:r>
      <w:r>
        <w:rPr>
          <w:rStyle w:val="Codetext"/>
        </w:rPr>
        <w:t>th</w:t>
      </w:r>
      <w:r>
        <w:rPr>
          <w:rStyle w:val="Code"/>
        </w:rPr>
        <w:t>&lt;/unclear&gt;&lt;unclear&gt;v&lt;/unclear&gt;&lt;/choice&gt;</w:t>
      </w:r>
      <w:r>
        <w:rPr>
          <w:rStyle w:val="Codetext"/>
        </w:rPr>
        <w:t>a</w:t>
      </w:r>
      <w:r>
        <w:t xml:space="preserve"> for an </w:t>
      </w:r>
      <w:r>
        <w:rPr>
          <w:rStyle w:val="Foreign"/>
        </w:rPr>
        <w:t>akṣara</w:t>
      </w:r>
      <w:r>
        <w:t xml:space="preserve"> that might be read as </w:t>
      </w:r>
      <w:r>
        <w:rPr>
          <w:rStyle w:val="Foreign"/>
        </w:rPr>
        <w:t>stha</w:t>
      </w:r>
      <w:r>
        <w:t xml:space="preserve"> or </w:t>
      </w:r>
      <w:r>
        <w:rPr>
          <w:rStyle w:val="Foreign"/>
        </w:rPr>
        <w:t>sva</w:t>
      </w:r>
    </w:p>
    <w:p w14:paraId="7929950A" w14:textId="6DC25756">
      <w:pPr>
        <w:pStyle w:val="Lista"/>
      </w:pPr>
      <w:r>
        <w:t xml:space="preserve">in this usage, </w:t>
      </w:r>
      <w:r>
        <w:rPr>
          <w:rStyle w:val="Code"/>
        </w:rPr>
        <w:t>&lt;unclear&gt;</w:t>
      </w:r>
      <w:r>
        <w:t xml:space="preserve"> shall be used without </w:t>
      </w:r>
      <w:r>
        <w:rPr>
          <w:rStyle w:val="Codeattribute"/>
        </w:rPr>
        <w:t>@cert</w:t>
      </w:r>
      <w:r>
        <w:t xml:space="preserve"> (§</w:t>
      </w:r>
      <w:r>
        <w:fldChar w:fldCharType="begin"/>
      </w:r>
      <w:r>
        <w:instrText xml:space="preserve"> REF _Ref228200185 \r \h </w:instrText>
      </w:r>
      <w:r>
        <w:fldChar w:fldCharType="separate"/>
      </w:r>
      <w:r>
        <w:t>6.3.2.2</w:t>
      </w:r>
      <w:r>
        <w:fldChar w:fldCharType="end"/>
      </w:r>
      <w:r>
        <w:t xml:space="preserve">), but </w:t>
      </w:r>
      <w:r>
        <w:rPr>
          <w:rStyle w:val="Codeattribute"/>
        </w:rPr>
        <w:t>@reason</w:t>
      </w:r>
      <w:r>
        <w:t xml:space="preserve"> may be added if applicable (§</w:t>
      </w:r>
      <w:r>
        <w:fldChar w:fldCharType="begin"/>
      </w:r>
      <w:r>
        <w:instrText xml:space="preserve"> REF _Ref227942295 \r \h </w:instrText>
      </w:r>
      <w:r>
        <w:fldChar w:fldCharType="separate"/>
      </w:r>
      <w:r>
        <w:t>6.3.1.2</w:t>
      </w:r>
      <w:r>
        <w:fldChar w:fldCharType="end"/>
      </w:r>
      <w:r>
        <w:t>)</w:t>
      </w:r>
    </w:p>
    <w:p w14:paraId="4B47A57B" w14:textId="5800BB83">
      <w:pPr>
        <w:pStyle w:val="Lista"/>
      </w:pPr>
      <w:r>
        <w:t>since the encoding of alternative readings for an ambivalent locus impedes the readability and (especially) the searchability of the edition, this encoding should be used considerately and may in many circumstances be replaced by simply encoding the most likely alternative as unclear (§</w:t>
      </w:r>
      <w:r>
        <w:fldChar w:fldCharType="begin"/>
      </w:r>
      <w:r>
        <w:instrText xml:space="preserve"> REF _Ref228201766 \r \h </w:instrText>
      </w:r>
      <w:r>
        <w:fldChar w:fldCharType="separate"/>
      </w:r>
      <w:r>
        <w:t>6.3.2.1</w:t>
      </w:r>
      <w:r>
        <w:fldChar w:fldCharType="end"/>
      </w:r>
      <w:r>
        <w:t>)</w:t>
      </w:r>
    </w:p>
    <w:p w14:paraId="16A43B79" w14:textId="77777777">
      <w:pPr>
        <w:pStyle w:val="Lista"/>
      </w:pPr>
      <w:r>
        <w:t xml:space="preserve">the text outside this encoding and the text within each of the alternative </w:t>
      </w:r>
      <w:r>
        <w:rPr>
          <w:rStyle w:val="Code"/>
        </w:rPr>
        <w:t>&lt;unclear&gt;</w:t>
      </w:r>
      <w:r>
        <w:t xml:space="preserve"> elements must be entered with care, making sure that all of the possible alternative readings are accurately reproduced even when the ambivalence gives rise to complications such as</w:t>
      </w:r>
    </w:p>
    <w:p w14:paraId="358A57FD" w14:textId="77777777">
      <w:pPr>
        <w:pStyle w:val="Lista2"/>
      </w:pPr>
      <w:r>
        <w:t xml:space="preserve">a different number of graphemes in the alternatives, e.g. </w:t>
      </w:r>
      <w:r>
        <w:rPr>
          <w:rStyle w:val="Codetext"/>
        </w:rPr>
        <w:t>g</w:t>
      </w:r>
      <w:r>
        <w:rPr>
          <w:rStyle w:val="Code"/>
        </w:rPr>
        <w:t>&lt;choice&gt;&lt;unclear&gt;</w:t>
      </w:r>
      <w:r>
        <w:rPr>
          <w:rStyle w:val="Codetext"/>
        </w:rPr>
        <w:t>r̥</w:t>
      </w:r>
      <w:r>
        <w:rPr>
          <w:rStyle w:val="Code"/>
        </w:rPr>
        <w:t>&lt;/unclear&gt;&lt;unclear&gt;</w:t>
      </w:r>
      <w:r>
        <w:rPr>
          <w:rStyle w:val="Codetext"/>
        </w:rPr>
        <w:t>ra</w:t>
      </w:r>
      <w:r>
        <w:rPr>
          <w:rStyle w:val="Code"/>
        </w:rPr>
        <w:t>&lt;/unclear&gt;&lt;/choice&gt;</w:t>
      </w:r>
      <w:r>
        <w:rPr>
          <w:rStyle w:val="Codetext"/>
        </w:rPr>
        <w:t>ha</w:t>
      </w:r>
      <w:r>
        <w:t xml:space="preserve"> for a locus that could be read as </w:t>
      </w:r>
      <w:r>
        <w:rPr>
          <w:rStyle w:val="Foreign"/>
        </w:rPr>
        <w:t>gr̥ha</w:t>
      </w:r>
      <w:r>
        <w:t xml:space="preserve"> or </w:t>
      </w:r>
      <w:r>
        <w:rPr>
          <w:rStyle w:val="Foreign"/>
        </w:rPr>
        <w:t>graha</w:t>
      </w:r>
    </w:p>
    <w:p w14:paraId="175E663F" w14:textId="77777777">
      <w:pPr>
        <w:pStyle w:val="Lista2"/>
      </w:pPr>
      <w:r>
        <w:t xml:space="preserve">different editorial spacing or hyphenation applicable to the alternatives, e.g. </w:t>
      </w:r>
      <w:r>
        <w:rPr>
          <w:rStyle w:val="Codetext"/>
        </w:rPr>
        <w:t>tath</w:t>
      </w:r>
      <w:r>
        <w:rPr>
          <w:rStyle w:val="Code"/>
        </w:rPr>
        <w:t>&lt;choice&gt;&lt;unclear&gt;</w:t>
      </w:r>
      <w:r>
        <w:rPr>
          <w:rStyle w:val="Codetext"/>
        </w:rPr>
        <w:t>āp</w:t>
      </w:r>
      <w:r>
        <w:rPr>
          <w:rStyle w:val="Code"/>
        </w:rPr>
        <w:t>&lt;/unclear&gt;&lt;unclear&gt;</w:t>
      </w:r>
      <w:r>
        <w:rPr>
          <w:rStyle w:val="Codetext"/>
        </w:rPr>
        <w:t>ā</w:t>
      </w:r>
      <w:r>
        <w:rPr>
          <w:rStyle w:val="Code"/>
        </w:rPr>
        <w:t xml:space="preserve"> </w:t>
      </w:r>
      <w:r>
        <w:rPr>
          <w:rStyle w:val="Codetext"/>
        </w:rPr>
        <w:t>h</w:t>
      </w:r>
      <w:r>
        <w:rPr>
          <w:rStyle w:val="Code"/>
        </w:rPr>
        <w:t>&lt;/unclear&gt;&lt;/choice&gt;</w:t>
      </w:r>
      <w:r>
        <w:rPr>
          <w:rStyle w:val="Codetext"/>
        </w:rPr>
        <w:t>i</w:t>
      </w:r>
      <w:r>
        <w:t xml:space="preserve"> for a locus that could be read as </w:t>
      </w:r>
      <w:r>
        <w:rPr>
          <w:rStyle w:val="Foreign"/>
        </w:rPr>
        <w:t>tathāpi</w:t>
      </w:r>
      <w:r>
        <w:t xml:space="preserve"> </w:t>
      </w:r>
      <w:r>
        <w:rPr>
          <w:noProof/>
        </w:rPr>
        <w:t>(</w:t>
      </w:r>
      <w:r>
        <w:rPr>
          <w:rStyle w:val="Foreign"/>
        </w:rPr>
        <w:t>tathā*api</w:t>
      </w:r>
      <w:r>
        <w:t xml:space="preserve"> in inseparable sandhi) or </w:t>
      </w:r>
      <w:r>
        <w:rPr>
          <w:rStyle w:val="Foreign"/>
        </w:rPr>
        <w:t>tathā hi</w:t>
      </w:r>
      <w:r>
        <w:t xml:space="preserve"> (two separable words)</w:t>
      </w:r>
    </w:p>
    <w:p w14:paraId="1B85307E" w14:textId="72FB4B08">
      <w:pPr>
        <w:pStyle w:val="Lista3"/>
      </w:pPr>
      <w:r>
        <w:t>see §</w:t>
      </w:r>
      <w:r>
        <w:fldChar w:fldCharType="begin"/>
      </w:r>
      <w:r>
        <w:instrText xml:space="preserve"> REF _Ref232068629 \r \h </w:instrText>
      </w:r>
      <w:r>
        <w:fldChar w:fldCharType="separate"/>
      </w:r>
      <w:r>
        <w:t>7.8.1.1</w:t>
      </w:r>
      <w:r>
        <w:fldChar w:fldCharType="end"/>
      </w:r>
      <w:r>
        <w:t xml:space="preserve"> about avoiding spaces at the beginning or end of a text-containing element</w:t>
      </w:r>
    </w:p>
    <w:p w14:paraId="5FA20EB0" w14:textId="4B19E922">
      <w:pPr>
        <w:pStyle w:val="Lista2"/>
      </w:pPr>
      <w:r>
        <w:t>see also §</w:t>
      </w:r>
      <w:r>
        <w:fldChar w:fldCharType="begin"/>
      </w:r>
      <w:r>
        <w:instrText xml:space="preserve"> REF _Ref228275185 \r \h </w:instrText>
      </w:r>
      <w:r>
        <w:fldChar w:fldCharType="separate"/>
      </w:r>
      <w:r>
        <w:t>6.3.3</w:t>
      </w:r>
      <w:r>
        <w:fldChar w:fldCharType="end"/>
      </w:r>
      <w:r>
        <w:t xml:space="preserve"> on good practice</w:t>
      </w:r>
    </w:p>
    <w:p w14:paraId="671A69A0" w14:textId="77777777">
      <w:pPr>
        <w:pStyle w:val="Lista"/>
      </w:pPr>
      <w:r>
        <w:t xml:space="preserve">ambivalence involving more than two alternatives may be marked up by adding further </w:t>
      </w:r>
      <w:r>
        <w:rPr>
          <w:rStyle w:val="Code"/>
        </w:rPr>
        <w:t>&lt;unclear&gt;</w:t>
      </w:r>
      <w:r>
        <w:t xml:space="preserve"> elements within </w:t>
      </w:r>
      <w:r>
        <w:rPr>
          <w:rStyle w:val="Code"/>
        </w:rPr>
        <w:t>&lt;choice&gt;</w:t>
      </w:r>
    </w:p>
    <w:p w14:paraId="7B530A58" w14:textId="77777777">
      <w:pPr>
        <w:pStyle w:val="Lista2"/>
      </w:pPr>
      <w:r>
        <w:t xml:space="preserve">it is, however, recommended that you limit the number of alternatives to no more than two, and in the rare case where a higher number of genuinely plausible alternatives are possible, instead record the single most likely one as </w:t>
      </w:r>
      <w:r>
        <w:rPr>
          <w:rStyle w:val="Code"/>
        </w:rPr>
        <w:t>&lt;unclear&gt;</w:t>
      </w:r>
      <w:r>
        <w:t xml:space="preserve"> and mention the others in your commentary or apparatus</w:t>
      </w:r>
    </w:p>
    <w:p w14:paraId="3BC0CF66" w14:textId="77777777">
      <w:pPr>
        <w:pStyle w:val="Cmsor4"/>
      </w:pPr>
      <w:bookmarkStart w:id="538" w:name="_Ref228201766"/>
      <w:r>
        <w:t>Trivial ambivalence</w:t>
      </w:r>
      <w:bookmarkEnd w:id="538"/>
    </w:p>
    <w:p w14:paraId="6EE15897" w14:textId="77777777">
      <w:r>
        <w:t>As for unclear markup in general, feel free to ignore trivial ambivalence that can be resolved confidently on the basis of the context.</w:t>
      </w:r>
    </w:p>
    <w:p w14:paraId="56107F35" w14:textId="77777777">
      <w:pPr>
        <w:pStyle w:val="Lista"/>
      </w:pPr>
      <w:r>
        <w:t xml:space="preserve">in particular, when some pairs of glyphs look very similar </w:t>
      </w:r>
      <w:r>
        <w:rPr>
          <w:noProof/>
        </w:rPr>
        <w:t>(</w:t>
      </w:r>
      <w:r>
        <w:t xml:space="preserve">or wholly identical) in the script of your inscription, it is recommended that you record the expected reading without any markup or with a single </w:t>
      </w:r>
      <w:r>
        <w:rPr>
          <w:rStyle w:val="Code"/>
        </w:rPr>
        <w:t>&lt;unclear&gt;</w:t>
      </w:r>
      <w:r>
        <w:t xml:space="preserve"> element, e.g.</w:t>
      </w:r>
    </w:p>
    <w:p w14:paraId="51ECF2E3" w14:textId="77777777">
      <w:pPr>
        <w:pStyle w:val="Lista2"/>
      </w:pPr>
      <w:r>
        <w:t xml:space="preserve">if a word might be read as </w:t>
      </w:r>
      <w:r>
        <w:rPr>
          <w:rStyle w:val="Foreign"/>
        </w:rPr>
        <w:t>ṣahārāja</w:t>
      </w:r>
      <w:r>
        <w:t xml:space="preserve"> in an inscription where </w:t>
      </w:r>
      <w:r>
        <w:rPr>
          <w:rStyle w:val="Foreign"/>
        </w:rPr>
        <w:t>ṣa</w:t>
      </w:r>
      <w:r>
        <w:t xml:space="preserve"> and </w:t>
      </w:r>
      <w:r>
        <w:rPr>
          <w:rStyle w:val="Foreign"/>
        </w:rPr>
        <w:t>ma</w:t>
      </w:r>
      <w:r>
        <w:t xml:space="preserve"> are very similar, simply record </w:t>
      </w:r>
      <w:r>
        <w:rPr>
          <w:rStyle w:val="Codetext"/>
        </w:rPr>
        <w:t>mahārāja</w:t>
      </w:r>
      <w:r>
        <w:t xml:space="preserve"> or </w:t>
      </w:r>
      <w:r>
        <w:rPr>
          <w:rStyle w:val="Code"/>
        </w:rPr>
        <w:t>&lt;unclear&gt;</w:t>
      </w:r>
      <w:r>
        <w:rPr>
          <w:rStyle w:val="Codetext"/>
        </w:rPr>
        <w:t>m</w:t>
      </w:r>
      <w:r>
        <w:rPr>
          <w:rStyle w:val="Code"/>
        </w:rPr>
        <w:t>&lt;/unclear&gt;</w:t>
      </w:r>
      <w:r>
        <w:rPr>
          <w:rStyle w:val="Codetext"/>
        </w:rPr>
        <w:t>ahārāja</w:t>
      </w:r>
    </w:p>
    <w:p w14:paraId="0A2ED81E" w14:textId="77777777">
      <w:pPr>
        <w:pStyle w:val="Lista2"/>
      </w:pPr>
      <w:r>
        <w:t xml:space="preserve">if a word might be read as </w:t>
      </w:r>
      <w:r>
        <w:rPr>
          <w:rStyle w:val="Foreign"/>
        </w:rPr>
        <w:t>sambatsara</w:t>
      </w:r>
      <w:r>
        <w:t xml:space="preserve"> in an inscription where </w:t>
      </w:r>
      <w:r>
        <w:rPr>
          <w:rStyle w:val="Foreign"/>
        </w:rPr>
        <w:t>ba</w:t>
      </w:r>
      <w:r>
        <w:t xml:space="preserve"> and </w:t>
      </w:r>
      <w:r>
        <w:rPr>
          <w:rStyle w:val="Foreign"/>
        </w:rPr>
        <w:t>va</w:t>
      </w:r>
      <w:r>
        <w:t xml:space="preserve"> are very similar, simply record </w:t>
      </w:r>
      <w:r>
        <w:rPr>
          <w:rStyle w:val="Codetext"/>
        </w:rPr>
        <w:t>samvatsara</w:t>
      </w:r>
      <w:r>
        <w:t xml:space="preserve"> or </w:t>
      </w:r>
      <w:r>
        <w:rPr>
          <w:rStyle w:val="Codetext"/>
        </w:rPr>
        <w:t>sam</w:t>
      </w:r>
      <w:r>
        <w:rPr>
          <w:rStyle w:val="Code"/>
        </w:rPr>
        <w:t>&lt;unclear&gt;v&lt;/unclear&gt;</w:t>
      </w:r>
      <w:r>
        <w:rPr>
          <w:rStyle w:val="Codetext"/>
        </w:rPr>
        <w:t>atsara</w:t>
      </w:r>
    </w:p>
    <w:p w14:paraId="4225AEB8" w14:textId="77777777">
      <w:pPr>
        <w:pStyle w:val="Lista"/>
        <w:rPr>
          <w:i/>
          <w:iCs/>
          <w:noProof/>
        </w:rPr>
      </w:pPr>
      <w:r>
        <w:t xml:space="preserve">however, if a possible alternative reading alters the meaning in a non-trivial way, then the ambivalence should normally be marked up </w:t>
      </w:r>
      <w:r>
        <w:rPr>
          <w:noProof/>
        </w:rPr>
        <w:t>(</w:t>
      </w:r>
      <w:r>
        <w:t>unless you are absolutely confident that it is ruled out e.g. by sandhi or by the wider context)</w:t>
      </w:r>
    </w:p>
    <w:p w14:paraId="3AACAF0C" w14:textId="77777777">
      <w:pPr>
        <w:pStyle w:val="Lista2"/>
        <w:rPr>
          <w:i/>
          <w:iCs/>
          <w:noProof/>
        </w:rPr>
      </w:pPr>
      <w:r>
        <w:lastRenderedPageBreak/>
        <w:t xml:space="preserve">e.g. if </w:t>
      </w:r>
      <w:r>
        <w:rPr>
          <w:rStyle w:val="Foreign"/>
        </w:rPr>
        <w:t>Adharma</w:t>
      </w:r>
      <w:r>
        <w:t xml:space="preserve"> or </w:t>
      </w:r>
      <w:r>
        <w:rPr>
          <w:rStyle w:val="Foreign"/>
        </w:rPr>
        <w:t>sudharma</w:t>
      </w:r>
      <w:r>
        <w:t xml:space="preserve"> are both possible because the </w:t>
      </w:r>
      <w:proofErr w:type="spellStart"/>
      <w:r>
        <w:rPr>
          <w:rStyle w:val="Foreign"/>
        </w:rPr>
        <w:t>akṣara</w:t>
      </w:r>
      <w:r>
        <w:t>s</w:t>
      </w:r>
      <w:proofErr w:type="spellEnd"/>
      <w:r>
        <w:t xml:space="preserve"> </w:t>
      </w:r>
      <w:r>
        <w:rPr>
          <w:rStyle w:val="Foreign"/>
        </w:rPr>
        <w:t>A</w:t>
      </w:r>
      <w:r>
        <w:t xml:space="preserve"> and </w:t>
      </w:r>
      <w:r>
        <w:rPr>
          <w:rStyle w:val="Foreign"/>
        </w:rPr>
        <w:t>su</w:t>
      </w:r>
      <w:r>
        <w:t xml:space="preserve"> are very similar in the document</w:t>
      </w:r>
    </w:p>
    <w:p w14:paraId="0DC42FE9" w14:textId="77777777">
      <w:pPr>
        <w:pStyle w:val="Lista"/>
      </w:pPr>
      <w:r>
        <w:t>even non-trivial alternatives may be left unencoded if you consider one to be much more likely than others, or if the locus is poorly understood and several alternatives are equally feasible</w:t>
      </w:r>
    </w:p>
    <w:p w14:paraId="3A6EBB3C" w14:textId="77777777">
      <w:pPr>
        <w:pStyle w:val="Lista2"/>
      </w:pPr>
      <w:r>
        <w:t>in such cases, simply encode the most likely reading as unclear</w:t>
      </w:r>
    </w:p>
    <w:p w14:paraId="4511D279" w14:textId="77777777">
      <w:pPr>
        <w:pStyle w:val="Lista2"/>
      </w:pPr>
      <w:r>
        <w:t>also keep in mind that those readers of your edition who are interested in possible alternatives can be expected to be familiar enough with the script in question to be able to work out those possible alternatives once they have received indication that a certain reading is unclear</w:t>
      </w:r>
    </w:p>
    <w:p w14:paraId="57C45874" w14:textId="77777777">
      <w:pPr>
        <w:pStyle w:val="Cmsor4"/>
      </w:pPr>
      <w:bookmarkStart w:id="539" w:name="_Ref228200185"/>
      <w:r>
        <w:t>The probability of alternative readings</w:t>
      </w:r>
      <w:bookmarkEnd w:id="539"/>
    </w:p>
    <w:p w14:paraId="22823495" w14:textId="77777777">
      <w:r>
        <w:t xml:space="preserve">By DHARMA convention, alternative readings for ambivalent loci shall be listed in order of decreasing probability (as judged by the editor). Although it is technically possible to assign specific probabilities to each alternative, we see no advantage to complicating our encoding with such information. The attribute </w:t>
      </w:r>
      <w:r>
        <w:rPr>
          <w:rStyle w:val="Codeattribute"/>
        </w:rPr>
        <w:t>@cert</w:t>
      </w:r>
      <w:r>
        <w:t xml:space="preserve"> shall be likewise avoided in ambivalent readings, because using it on both alternatives would be pointless, while using it only on the less likely alternative would not add more information than what is already implied by the order of alternatives.</w:t>
      </w:r>
    </w:p>
    <w:p w14:paraId="7827F4D1" w14:textId="77777777">
      <w:pPr>
        <w:pStyle w:val="Cmsor3"/>
      </w:pPr>
      <w:bookmarkStart w:id="540" w:name="_ke7xgc7f3fhh" w:colFirst="0" w:colLast="0"/>
      <w:bookmarkStart w:id="541" w:name="_Ref228275185"/>
      <w:bookmarkStart w:id="542" w:name="_Toc243922670"/>
      <w:bookmarkEnd w:id="540"/>
      <w:r>
        <w:t>Good practice in encoding unclear readings</w:t>
      </w:r>
      <w:bookmarkEnd w:id="541"/>
      <w:bookmarkEnd w:id="542"/>
    </w:p>
    <w:p w14:paraId="2FE7FB13" w14:textId="77777777">
      <w:r>
        <w:t xml:space="preserve">Since our editions are in Romanised transliteration, </w:t>
      </w:r>
      <w:r>
        <w:rPr>
          <w:rStyle w:val="Code"/>
        </w:rPr>
        <w:t>&lt;unclear&gt;</w:t>
      </w:r>
      <w:r>
        <w:t xml:space="preserve"> encoding can and must precisely target the graphemes affected by a reading issue. </w:t>
      </w:r>
    </w:p>
    <w:p w14:paraId="7197D932" w14:textId="77777777">
      <w:pPr>
        <w:pStyle w:val="Lista"/>
      </w:pPr>
      <w:r>
        <w:t xml:space="preserve">if only a certain glyph component of the original script is unclear or ambiguous, then do not use tags around the transliteration of the entire </w:t>
      </w:r>
      <w:r>
        <w:rPr>
          <w:rStyle w:val="Foreign"/>
        </w:rPr>
        <w:t>akṣara</w:t>
      </w:r>
      <w:r>
        <w:t>, e.g.</w:t>
      </w:r>
    </w:p>
    <w:p w14:paraId="69745670" w14:textId="77777777">
      <w:pPr>
        <w:pStyle w:val="Lista2"/>
      </w:pPr>
      <w:r>
        <w:t xml:space="preserve">e.g. </w:t>
      </w:r>
      <w:r>
        <w:rPr>
          <w:rStyle w:val="Codetext"/>
        </w:rPr>
        <w:t>sph</w:t>
      </w:r>
      <w:r>
        <w:rPr>
          <w:rStyle w:val="Code"/>
        </w:rPr>
        <w:t>&lt;unclear&gt;</w:t>
      </w:r>
      <w:r>
        <w:rPr>
          <w:rStyle w:val="Codetext"/>
        </w:rPr>
        <w:t>u</w:t>
      </w:r>
      <w:r>
        <w:rPr>
          <w:rStyle w:val="Code"/>
        </w:rPr>
        <w:t>&lt;/unclear&gt;</w:t>
      </w:r>
      <w:r>
        <w:rPr>
          <w:rStyle w:val="Codetext"/>
        </w:rPr>
        <w:t>rad</w:t>
      </w:r>
      <w:r>
        <w:t xml:space="preserve"> and NOT </w:t>
      </w:r>
      <w:r>
        <w:rPr>
          <w:rStyle w:val="Code"/>
        </w:rPr>
        <w:t>&lt;unclear&gt;</w:t>
      </w:r>
      <w:r>
        <w:rPr>
          <w:rStyle w:val="Codetext"/>
        </w:rPr>
        <w:t>sphu</w:t>
      </w:r>
      <w:r>
        <w:rPr>
          <w:rStyle w:val="Code"/>
        </w:rPr>
        <w:t>&lt;/unclear&gt;</w:t>
      </w:r>
      <w:r>
        <w:rPr>
          <w:rStyle w:val="Codetext"/>
        </w:rPr>
        <w:t>rad</w:t>
      </w:r>
      <w:r>
        <w:t xml:space="preserve"> (unless </w:t>
      </w:r>
      <w:r>
        <w:rPr>
          <w:rStyle w:val="Foreign"/>
        </w:rPr>
        <w:t>s</w:t>
      </w:r>
      <w:r>
        <w:t xml:space="preserve">, </w:t>
      </w:r>
      <w:r>
        <w:rPr>
          <w:rStyle w:val="Foreign"/>
        </w:rPr>
        <w:t>ph</w:t>
      </w:r>
      <w:r>
        <w:t xml:space="preserve"> and </w:t>
      </w:r>
      <w:r>
        <w:rPr>
          <w:rStyle w:val="Foreign"/>
        </w:rPr>
        <w:t>u</w:t>
      </w:r>
      <w:r>
        <w:t xml:space="preserve"> are all unclear)</w:t>
      </w:r>
    </w:p>
    <w:p w14:paraId="2F24E985" w14:textId="77777777">
      <w:pPr>
        <w:pStyle w:val="Lista"/>
      </w:pPr>
      <w:r>
        <w:t xml:space="preserve">when unclarity applies to several graphemes which are contiguous in the reading order represented in transliteration, use a single </w:t>
      </w:r>
      <w:r>
        <w:rPr>
          <w:rStyle w:val="Code"/>
        </w:rPr>
        <w:t>&lt;unclear&gt;</w:t>
      </w:r>
      <w:r>
        <w:t xml:space="preserve"> element around them even if they belong to different </w:t>
      </w:r>
      <w:proofErr w:type="spellStart"/>
      <w:r>
        <w:rPr>
          <w:rStyle w:val="Foreign"/>
        </w:rPr>
        <w:t>akṣara</w:t>
      </w:r>
      <w:r>
        <w:t>s</w:t>
      </w:r>
      <w:proofErr w:type="spellEnd"/>
      <w:r>
        <w:t xml:space="preserve"> in the source and even if they are not physically adjacent</w:t>
      </w:r>
    </w:p>
    <w:p w14:paraId="361F5D32" w14:textId="77777777">
      <w:pPr>
        <w:pStyle w:val="Lista2"/>
      </w:pPr>
      <w:r>
        <w:t xml:space="preserve">e.g. </w:t>
      </w:r>
      <w:r>
        <w:rPr>
          <w:rStyle w:val="Codetext"/>
        </w:rPr>
        <w:t>mitr</w:t>
      </w:r>
      <w:r>
        <w:rPr>
          <w:rStyle w:val="Code"/>
        </w:rPr>
        <w:t>&lt;unclear&gt;</w:t>
      </w:r>
      <w:r>
        <w:rPr>
          <w:rStyle w:val="Codetext"/>
        </w:rPr>
        <w:t>eṇ</w:t>
      </w:r>
      <w:r>
        <w:rPr>
          <w:rStyle w:val="Code"/>
        </w:rPr>
        <w:t>&lt;/unclear&gt;</w:t>
      </w:r>
      <w:r>
        <w:rPr>
          <w:rStyle w:val="Codetext"/>
        </w:rPr>
        <w:t>a</w:t>
      </w:r>
      <w:r>
        <w:t xml:space="preserve"> and NOT </w:t>
      </w:r>
      <w:r>
        <w:rPr>
          <w:rStyle w:val="Codetext"/>
        </w:rPr>
        <w:t>mitr</w:t>
      </w:r>
      <w:r>
        <w:rPr>
          <w:rStyle w:val="Code"/>
        </w:rPr>
        <w:t>&lt;/unclear&gt;</w:t>
      </w:r>
      <w:r>
        <w:rPr>
          <w:rStyle w:val="Codetext"/>
        </w:rPr>
        <w:t>e</w:t>
      </w:r>
      <w:r>
        <w:rPr>
          <w:rStyle w:val="Code"/>
        </w:rPr>
        <w:t>&lt;unclear&gt;&lt;unclear&gt;</w:t>
      </w:r>
      <w:r>
        <w:rPr>
          <w:rStyle w:val="Codetext"/>
        </w:rPr>
        <w:t>ṇ</w:t>
      </w:r>
      <w:r>
        <w:rPr>
          <w:rStyle w:val="Code"/>
        </w:rPr>
        <w:t>&lt;/unclear&gt;</w:t>
      </w:r>
      <w:r>
        <w:rPr>
          <w:rStyle w:val="Codetext"/>
        </w:rPr>
        <w:t>a</w:t>
      </w:r>
      <w:r>
        <w:t xml:space="preserve"> (even if </w:t>
      </w:r>
      <w:r>
        <w:rPr>
          <w:rStyle w:val="Foreign"/>
        </w:rPr>
        <w:t>e</w:t>
      </w:r>
      <w:r>
        <w:t xml:space="preserve"> is to the left of the clear </w:t>
      </w:r>
      <w:r>
        <w:rPr>
          <w:rStyle w:val="Foreign"/>
        </w:rPr>
        <w:t>tr</w:t>
      </w:r>
      <w:r>
        <w:t xml:space="preserve"> while </w:t>
      </w:r>
      <w:r>
        <w:rPr>
          <w:rStyle w:val="Foreign"/>
        </w:rPr>
        <w:t>ṇ</w:t>
      </w:r>
      <w:r>
        <w:t xml:space="preserve"> is to its right), nor </w:t>
      </w:r>
      <w:r>
        <w:rPr>
          <w:rStyle w:val="Codetext"/>
        </w:rPr>
        <w:t>mi</w:t>
      </w:r>
      <w:r>
        <w:rPr>
          <w:rStyle w:val="Code"/>
        </w:rPr>
        <w:t>&lt;unclear&gt;</w:t>
      </w:r>
      <w:r>
        <w:rPr>
          <w:rStyle w:val="Codetext"/>
        </w:rPr>
        <w:t>treṇa</w:t>
      </w:r>
      <w:r>
        <w:rPr>
          <w:rStyle w:val="Code"/>
        </w:rPr>
        <w:t>&lt;/unclear&gt;</w:t>
      </w:r>
      <w:r>
        <w:t xml:space="preserve"> (unless </w:t>
      </w:r>
      <w:r>
        <w:rPr>
          <w:rStyle w:val="Foreign"/>
        </w:rPr>
        <w:t>t</w:t>
      </w:r>
      <w:r>
        <w:t xml:space="preserve">, </w:t>
      </w:r>
      <w:r>
        <w:rPr>
          <w:rStyle w:val="Foreign"/>
        </w:rPr>
        <w:t>r</w:t>
      </w:r>
      <w:r>
        <w:t xml:space="preserve">, </w:t>
      </w:r>
      <w:r>
        <w:rPr>
          <w:rStyle w:val="Foreign"/>
        </w:rPr>
        <w:t>e</w:t>
      </w:r>
      <w:r>
        <w:t xml:space="preserve">, </w:t>
      </w:r>
      <w:r>
        <w:rPr>
          <w:rStyle w:val="Foreign"/>
        </w:rPr>
        <w:t>ṇ</w:t>
      </w:r>
      <w:r>
        <w:t xml:space="preserve"> and</w:t>
      </w:r>
      <w:r>
        <w:rPr>
          <w:rStyle w:val="Foreign"/>
        </w:rPr>
        <w:t xml:space="preserve"> a</w:t>
      </w:r>
      <w:r>
        <w:t xml:space="preserve"> are all unclear)</w:t>
      </w:r>
    </w:p>
    <w:p w14:paraId="6C4724BF" w14:textId="07E53B5E">
      <w:pPr>
        <w:pStyle w:val="Lista"/>
      </w:pPr>
      <w:r>
        <w:rPr>
          <w:noProof/>
        </w:rPr>
        <w:t>sub-</w:t>
      </w:r>
      <w:r>
        <w:rPr>
          <w:rStyle w:val="Foreign"/>
        </w:rPr>
        <w:t>akṣara</w:t>
      </w:r>
      <w:r>
        <w:t xml:space="preserve"> markup for identifying specific glyph components (§</w:t>
      </w:r>
      <w:r>
        <w:fldChar w:fldCharType="begin"/>
      </w:r>
      <w:r>
        <w:instrText xml:space="preserve"> REF _Ref228202081 \r \h </w:instrText>
      </w:r>
      <w:r>
        <w:fldChar w:fldCharType="separate"/>
      </w:r>
      <w:r>
        <w:t>5.1.2</w:t>
      </w:r>
      <w:r>
        <w:fldChar w:fldCharType="end"/>
      </w:r>
      <w:r>
        <w:t>) is normally not necessary and should be avoided in such cases, since the graphetic position of the individual graphs can be inferred from the context</w:t>
      </w:r>
    </w:p>
    <w:p w14:paraId="0059AE93" w14:textId="77777777">
      <w:pPr>
        <w:pStyle w:val="Lista"/>
      </w:pPr>
      <w:r>
        <w:t xml:space="preserve">in general, rather than using complicated encoding involving multiple alternative readings, rely on the expertise of the readers of your edition to figure out the exact locus of doubt within a complex original glyph and its possible implications, even in cases such as </w:t>
      </w:r>
    </w:p>
    <w:p w14:paraId="0B8AE232" w14:textId="77777777">
      <w:pPr>
        <w:pStyle w:val="Lista2"/>
      </w:pPr>
      <w:r>
        <w:t>doubt concerning the presence of a graph</w:t>
      </w:r>
    </w:p>
    <w:p w14:paraId="6A1452C2" w14:textId="77777777">
      <w:pPr>
        <w:pStyle w:val="Lista3"/>
      </w:pPr>
      <w:r>
        <w:t xml:space="preserve">encoding the default vowel of an </w:t>
      </w:r>
      <w:r>
        <w:rPr>
          <w:rStyle w:val="Foreign"/>
        </w:rPr>
        <w:t>akṣara</w:t>
      </w:r>
      <w:r>
        <w:t xml:space="preserve"> as unclear (with low certainty if relevant) will tell the reader that a vowel marker might be present, e.g.</w:t>
      </w:r>
    </w:p>
    <w:p w14:paraId="28B7C658" w14:textId="77777777">
      <w:pPr>
        <w:pStyle w:val="Lista4"/>
      </w:pPr>
      <w:r>
        <w:rPr>
          <w:rStyle w:val="Codetext"/>
        </w:rPr>
        <w:t>k</w:t>
      </w:r>
      <w:r>
        <w:rPr>
          <w:rStyle w:val="Code"/>
        </w:rPr>
        <w:t>&lt;unclear&gt;</w:t>
      </w:r>
      <w:r>
        <w:rPr>
          <w:rStyle w:val="Codetext"/>
        </w:rPr>
        <w:t>a</w:t>
      </w:r>
      <w:r>
        <w:rPr>
          <w:rStyle w:val="Code"/>
        </w:rPr>
        <w:t>&lt;/unclear&gt;</w:t>
      </w:r>
      <w:r>
        <w:t xml:space="preserve"> can signify a </w:t>
      </w:r>
      <w:r>
        <w:rPr>
          <w:rStyle w:val="Foreign"/>
        </w:rPr>
        <w:t>k</w:t>
      </w:r>
      <w:r>
        <w:t xml:space="preserve"> with plenty of damage around it, which may obscure a vowel mark</w:t>
      </w:r>
    </w:p>
    <w:p w14:paraId="2D40DB69" w14:textId="77777777">
      <w:pPr>
        <w:pStyle w:val="Lista3"/>
      </w:pPr>
      <w:r>
        <w:t>encoding a component as unclear (with low certainty if relevant) will tell the reader that the component may be absent or may be a similar-looking component that represents a different grapheme, e.g.</w:t>
      </w:r>
    </w:p>
    <w:p w14:paraId="2C2E22E3" w14:textId="77777777">
      <w:pPr>
        <w:pStyle w:val="Lista4"/>
      </w:pPr>
      <w:r>
        <w:rPr>
          <w:rStyle w:val="Code"/>
        </w:rPr>
        <w:t>sa&lt;unclear&gt;</w:t>
      </w:r>
      <w:r>
        <w:rPr>
          <w:rStyle w:val="Codetext"/>
        </w:rPr>
        <w:t>ṁ</w:t>
      </w:r>
      <w:r>
        <w:rPr>
          <w:rStyle w:val="Code"/>
        </w:rPr>
        <w:t>&lt;/unclear&gt;</w:t>
      </w:r>
      <w:r>
        <w:t xml:space="preserve"> can signify a probable </w:t>
      </w:r>
      <w:r>
        <w:rPr>
          <w:rStyle w:val="Foreign"/>
        </w:rPr>
        <w:t>saṁ</w:t>
      </w:r>
      <w:r>
        <w:t xml:space="preserve"> where the </w:t>
      </w:r>
      <w:r>
        <w:rPr>
          <w:rStyle w:val="Foreign"/>
        </w:rPr>
        <w:t>anusvāra</w:t>
      </w:r>
      <w:r>
        <w:t xml:space="preserve"> may be absent (in which case the reading is </w:t>
      </w:r>
      <w:r>
        <w:rPr>
          <w:rStyle w:val="Foreign"/>
        </w:rPr>
        <w:t>sa</w:t>
      </w:r>
      <w:r>
        <w:t xml:space="preserve">) or may be something else (such as a </w:t>
      </w:r>
      <w:r>
        <w:rPr>
          <w:rStyle w:val="Foreign"/>
        </w:rPr>
        <w:t>visarga</w:t>
      </w:r>
      <w:r>
        <w:t xml:space="preserve"> or a punctuation mark)</w:t>
      </w:r>
    </w:p>
    <w:p w14:paraId="00FD2CD8" w14:textId="77777777">
      <w:pPr>
        <w:pStyle w:val="Lista4"/>
      </w:pPr>
      <w:r>
        <w:rPr>
          <w:rStyle w:val="Code"/>
        </w:rPr>
        <w:t>g&lt;unclear&gt;</w:t>
      </w:r>
      <w:r>
        <w:rPr>
          <w:rStyle w:val="Codetext"/>
        </w:rPr>
        <w:t>r̥</w:t>
      </w:r>
      <w:r>
        <w:rPr>
          <w:rStyle w:val="Code"/>
        </w:rPr>
        <w:t>&lt;/unclear&gt;</w:t>
      </w:r>
      <w:r>
        <w:t xml:space="preserve"> can signify a probable </w:t>
      </w:r>
      <w:r>
        <w:rPr>
          <w:rStyle w:val="Foreign"/>
        </w:rPr>
        <w:t>gr̥</w:t>
      </w:r>
      <w:r>
        <w:t xml:space="preserve"> where the </w:t>
      </w:r>
      <w:r>
        <w:rPr>
          <w:rStyle w:val="Foreign"/>
        </w:rPr>
        <w:t>r̥</w:t>
      </w:r>
      <w:r>
        <w:t xml:space="preserve"> marker may be absent (in which case the reading is </w:t>
      </w:r>
      <w:r>
        <w:rPr>
          <w:rStyle w:val="Foreign"/>
        </w:rPr>
        <w:t>ga</w:t>
      </w:r>
      <w:r>
        <w:t xml:space="preserve">) or may be something else (such as a consonantal subscript </w:t>
      </w:r>
      <w:r>
        <w:rPr>
          <w:rStyle w:val="Foreign"/>
        </w:rPr>
        <w:t>r</w:t>
      </w:r>
      <w:r>
        <w:t xml:space="preserve">, in which case the reading is </w:t>
      </w:r>
      <w:r>
        <w:rPr>
          <w:rStyle w:val="Foreign"/>
        </w:rPr>
        <w:t>gra</w:t>
      </w:r>
      <w:r>
        <w:t>)</w:t>
      </w:r>
    </w:p>
    <w:p w14:paraId="0BAE0DCC" w14:textId="77777777">
      <w:pPr>
        <w:pStyle w:val="Lista"/>
      </w:pPr>
      <w:r>
        <w:t>the informed reader can also be expected to work out that unclarity affecting a specific graph may</w:t>
      </w:r>
    </w:p>
    <w:p w14:paraId="2F540ED9" w14:textId="77777777">
      <w:pPr>
        <w:pStyle w:val="Lista2"/>
      </w:pPr>
      <w:r>
        <w:t>affect the position of the corresponding grapheme in the reading order, e.g.</w:t>
      </w:r>
    </w:p>
    <w:p w14:paraId="46CA619A" w14:textId="77777777">
      <w:pPr>
        <w:pStyle w:val="Lista3"/>
      </w:pPr>
      <w:r>
        <w:rPr>
          <w:rStyle w:val="Code"/>
        </w:rPr>
        <w:lastRenderedPageBreak/>
        <w:t xml:space="preserve">&lt;unclear </w:t>
      </w:r>
      <w:r>
        <w:rPr>
          <w:rStyle w:val="Codeattribute"/>
        </w:rPr>
        <w:t>cert</w:t>
      </w:r>
      <w:r>
        <w:rPr>
          <w:rStyle w:val="Code"/>
        </w:rPr>
        <w:t>=</w:t>
      </w:r>
      <w:r>
        <w:rPr>
          <w:rStyle w:val="Codevalue"/>
        </w:rPr>
        <w:t>"low"</w:t>
      </w:r>
      <w:r>
        <w:rPr>
          <w:rStyle w:val="Code"/>
        </w:rPr>
        <w:t>&gt;</w:t>
      </w:r>
      <w:r>
        <w:rPr>
          <w:rStyle w:val="Codetext"/>
        </w:rPr>
        <w:t>r</w:t>
      </w:r>
      <w:r>
        <w:rPr>
          <w:rStyle w:val="Code"/>
        </w:rPr>
        <w:t>&lt;/unclear&gt;ddha</w:t>
      </w:r>
      <w:r>
        <w:t xml:space="preserve"> can signify a probable </w:t>
      </w:r>
      <w:r>
        <w:rPr>
          <w:rStyle w:val="Foreign"/>
        </w:rPr>
        <w:t>rddha</w:t>
      </w:r>
      <w:r>
        <w:t xml:space="preserve"> where there is a fair chance that the superscript </w:t>
      </w:r>
      <w:r>
        <w:rPr>
          <w:rStyle w:val="Foreign"/>
        </w:rPr>
        <w:t>r</w:t>
      </w:r>
      <w:r>
        <w:t xml:space="preserve"> is absent (in which case the reading is </w:t>
      </w:r>
      <w:r>
        <w:rPr>
          <w:rStyle w:val="Foreign"/>
        </w:rPr>
        <w:t>ddha</w:t>
      </w:r>
      <w:r>
        <w:t xml:space="preserve">) or is something else (such as a vowel marker for </w:t>
      </w:r>
      <w:r>
        <w:rPr>
          <w:rStyle w:val="Foreign"/>
        </w:rPr>
        <w:t>ā</w:t>
      </w:r>
      <w:r>
        <w:t xml:space="preserve">, in which case the reading is </w:t>
      </w:r>
      <w:r>
        <w:rPr>
          <w:rStyle w:val="Foreign"/>
        </w:rPr>
        <w:t>ddhā</w:t>
      </w:r>
      <w:r>
        <w:t>)</w:t>
      </w:r>
    </w:p>
    <w:p w14:paraId="5D0F2D11" w14:textId="77777777">
      <w:pPr>
        <w:pStyle w:val="Lista3"/>
      </w:pPr>
      <w:r>
        <w:t xml:space="preserve">affect the way in which the </w:t>
      </w:r>
      <w:r>
        <w:rPr>
          <w:rStyle w:val="Foreign"/>
        </w:rPr>
        <w:t>akṣara</w:t>
      </w:r>
      <w:r>
        <w:rPr>
          <w:rStyle w:val="Foreign"/>
          <w:i w:val="0"/>
          <w:iCs w:val="0"/>
        </w:rPr>
        <w:t>s</w:t>
      </w:r>
      <w:r>
        <w:t xml:space="preserve"> of the source are constituted, e.g.</w:t>
      </w:r>
    </w:p>
    <w:p w14:paraId="2A40DEB6" w14:textId="77777777">
      <w:pPr>
        <w:pStyle w:val="Lista4"/>
      </w:pPr>
      <w:r>
        <w:rPr>
          <w:rStyle w:val="Codetext"/>
        </w:rPr>
        <w:t>k</w:t>
      </w:r>
      <w:r>
        <w:rPr>
          <w:rStyle w:val="Code"/>
        </w:rPr>
        <w:t>&lt;unclear&gt;</w:t>
      </w:r>
      <w:r>
        <w:rPr>
          <w:rStyle w:val="Codetext"/>
        </w:rPr>
        <w:t>ā</w:t>
      </w:r>
      <w:r>
        <w:rPr>
          <w:rStyle w:val="Code"/>
        </w:rPr>
        <w:t>&lt;/unclear&gt;</w:t>
      </w:r>
      <w:r>
        <w:t xml:space="preserve"> representing the sequence </w:t>
      </w:r>
      <w:r>
        <w:rPr>
          <w:rStyle w:val="ForeignTamilScript"/>
          <w:cs/>
        </w:rPr>
        <w:t>கா</w:t>
      </w:r>
      <w:r>
        <w:rPr>
          <w:cs/>
        </w:rPr>
        <w:t xml:space="preserve"> </w:t>
      </w:r>
      <w:r>
        <w:t xml:space="preserve">in Tamil, where what has been interpreted as an </w:t>
      </w:r>
      <w:r>
        <w:rPr>
          <w:rStyle w:val="Foreign"/>
        </w:rPr>
        <w:t>ā</w:t>
      </w:r>
      <w:r>
        <w:t xml:space="preserve"> marker may instead be a separate </w:t>
      </w:r>
      <w:r>
        <w:rPr>
          <w:rStyle w:val="Foreign"/>
        </w:rPr>
        <w:t>akṣara</w:t>
      </w:r>
      <w:r>
        <w:t xml:space="preserve"> </w:t>
      </w:r>
      <w:r>
        <w:rPr>
          <w:rStyle w:val="ForeignTamilScript"/>
          <w:cs/>
        </w:rPr>
        <w:t>ர</w:t>
      </w:r>
      <w:r>
        <w:rPr>
          <w:cs/>
          <w:lang w:bidi="ta-IN"/>
        </w:rPr>
        <w:t xml:space="preserve"> </w:t>
      </w:r>
      <w:r>
        <w:rPr>
          <w:rStyle w:val="Foreign"/>
        </w:rPr>
        <w:t>ra</w:t>
      </w:r>
    </w:p>
    <w:p w14:paraId="15ACB76C" w14:textId="77777777">
      <w:pPr>
        <w:pStyle w:val="Lista4"/>
      </w:pPr>
      <w:r>
        <w:rPr>
          <w:rStyle w:val="Codetext"/>
        </w:rPr>
        <w:t>p</w:t>
      </w:r>
      <w:r>
        <w:rPr>
          <w:rStyle w:val="Code"/>
        </w:rPr>
        <w:t>&lt;unclear&gt;</w:t>
      </w:r>
      <w:r>
        <w:rPr>
          <w:rStyle w:val="Codetext"/>
        </w:rPr>
        <w:t>ā</w:t>
      </w:r>
      <w:r>
        <w:rPr>
          <w:rStyle w:val="Code"/>
        </w:rPr>
        <w:t>&lt;/unclear&gt;</w:t>
      </w:r>
      <w:r>
        <w:rPr>
          <w:rStyle w:val="Codetext"/>
        </w:rPr>
        <w:t>ta</w:t>
      </w:r>
      <w:r>
        <w:t xml:space="preserve"> representing the sequence </w:t>
      </w:r>
      <w:r>
        <w:rPr>
          <w:rStyle w:val="ForeignDevanagariScript"/>
          <w:cs/>
        </w:rPr>
        <w:t>पात</w:t>
      </w:r>
      <w:r>
        <w:t xml:space="preserve"> in premodern Nagari that employs a </w:t>
      </w:r>
      <w:r>
        <w:rPr>
          <w:rStyle w:val="Foreign"/>
        </w:rPr>
        <w:t>pr̥ṣṭhamātrā</w:t>
      </w:r>
      <w:r>
        <w:t xml:space="preserve"> form of </w:t>
      </w:r>
      <w:r>
        <w:rPr>
          <w:rStyle w:val="Foreign"/>
        </w:rPr>
        <w:t>e</w:t>
      </w:r>
      <w:r>
        <w:t xml:space="preserve">, so that what has been interpreted as </w:t>
      </w:r>
      <w:r>
        <w:rPr>
          <w:rStyle w:val="Foreign"/>
        </w:rPr>
        <w:t>pāta</w:t>
      </w:r>
      <w:r>
        <w:t xml:space="preserve"> may instead be </w:t>
      </w:r>
      <w:r>
        <w:rPr>
          <w:rStyle w:val="Foreign"/>
        </w:rPr>
        <w:t>pate</w:t>
      </w:r>
    </w:p>
    <w:p w14:paraId="1E0572C4" w14:textId="77777777">
      <w:pPr>
        <w:pStyle w:val="Lista"/>
      </w:pPr>
      <w:r>
        <w:t>however, when you deem it desirable to encode such ambivalences explicitly, include the complete sequences affected by the ambivalence in spite of the blanket instruction to tag only the specific graphs affected by a reading issue, e.g.</w:t>
      </w:r>
    </w:p>
    <w:p w14:paraId="52109C73" w14:textId="77777777">
      <w:pPr>
        <w:pStyle w:val="Lista3"/>
        <w:rPr>
          <w:rStyle w:val="Codetext"/>
          <w:rFonts w:ascii="Gentium" w:hAnsi="Gentium" w:cs="Tiro Devanagari Sanskrit"/>
          <w:noProof w:val="0"/>
          <w:color w:val="auto"/>
          <w:shd w:val="clear" w:color="auto" w:fill="auto"/>
        </w:rPr>
      </w:pPr>
      <w:r>
        <w:rPr>
          <w:rStyle w:val="Code"/>
        </w:rPr>
        <w:t>&lt;choice&gt;&lt;unclear&gt;</w:t>
      </w:r>
      <w:r>
        <w:rPr>
          <w:rStyle w:val="Codetext"/>
        </w:rPr>
        <w:t>rddha</w:t>
      </w:r>
      <w:r>
        <w:rPr>
          <w:rStyle w:val="Code"/>
        </w:rPr>
        <w:t>&lt;/unclear&gt;&lt;unclear&gt;</w:t>
      </w:r>
      <w:r>
        <w:rPr>
          <w:rStyle w:val="Codetext"/>
        </w:rPr>
        <w:t>ddhā</w:t>
      </w:r>
      <w:r>
        <w:rPr>
          <w:rStyle w:val="Code"/>
        </w:rPr>
        <w:t>&lt;/unclear&gt;&lt;/choice&gt;</w:t>
      </w:r>
    </w:p>
    <w:p w14:paraId="624EBA0C" w14:textId="77777777">
      <w:pPr>
        <w:pStyle w:val="Lista3"/>
      </w:pPr>
      <w:r>
        <w:rPr>
          <w:rStyle w:val="Codetext"/>
        </w:rPr>
        <w:t>k</w:t>
      </w:r>
      <w:r>
        <w:rPr>
          <w:rStyle w:val="Code"/>
        </w:rPr>
        <w:t>&lt;choice&gt;&lt;unclear&gt;</w:t>
      </w:r>
      <w:r>
        <w:rPr>
          <w:rStyle w:val="Codetext"/>
        </w:rPr>
        <w:t>ā</w:t>
      </w:r>
      <w:r>
        <w:rPr>
          <w:rStyle w:val="Code"/>
        </w:rPr>
        <w:t>&lt;/unclear&gt;&lt;unclear&gt;</w:t>
      </w:r>
      <w:r>
        <w:rPr>
          <w:rStyle w:val="Codetext"/>
        </w:rPr>
        <w:t>ara</w:t>
      </w:r>
      <w:r>
        <w:rPr>
          <w:rStyle w:val="Code"/>
        </w:rPr>
        <w:t>&lt;/unclear&gt;&lt;/choice&gt;</w:t>
      </w:r>
      <w:r>
        <w:rPr>
          <w:rStyle w:val="Lbjegyzet-hivatkozs"/>
        </w:rPr>
        <w:footnoteReference w:id="28"/>
      </w:r>
    </w:p>
    <w:p w14:paraId="01444923" w14:textId="77777777">
      <w:pPr>
        <w:pStyle w:val="Lista3"/>
      </w:pPr>
      <w:r>
        <w:rPr>
          <w:rStyle w:val="Codetext"/>
        </w:rPr>
        <w:t>p</w:t>
      </w:r>
      <w:r>
        <w:rPr>
          <w:rStyle w:val="Code"/>
        </w:rPr>
        <w:t>&lt;choice&gt;&lt;unclear&gt;</w:t>
      </w:r>
      <w:r>
        <w:rPr>
          <w:rStyle w:val="Codetext"/>
        </w:rPr>
        <w:t>āta</w:t>
      </w:r>
      <w:r>
        <w:rPr>
          <w:rStyle w:val="Code"/>
        </w:rPr>
        <w:t>&lt;/unclear&gt;&lt;unclear&gt;</w:t>
      </w:r>
      <w:r>
        <w:rPr>
          <w:rStyle w:val="Codetext"/>
        </w:rPr>
        <w:t>ate</w:t>
      </w:r>
      <w:r>
        <w:rPr>
          <w:rStyle w:val="Code"/>
        </w:rPr>
        <w:t>&lt;/unclear&gt;&lt;/choice&gt;</w:t>
      </w:r>
    </w:p>
    <w:p w14:paraId="33B670F9" w14:textId="77777777">
      <w:pPr>
        <w:pStyle w:val="Cmsor2"/>
      </w:pPr>
      <w:bookmarkStart w:id="543" w:name="_advce1m7uke1" w:colFirst="0" w:colLast="0"/>
      <w:bookmarkStart w:id="544" w:name="_Ref228459751"/>
      <w:bookmarkStart w:id="545" w:name="_Ref43979611"/>
      <w:bookmarkStart w:id="546" w:name="_Toc243922671"/>
      <w:bookmarkEnd w:id="543"/>
      <w:r>
        <w:t>Editorial restoration</w:t>
      </w:r>
      <w:bookmarkEnd w:id="544"/>
      <w:bookmarkEnd w:id="546"/>
    </w:p>
    <w:p w14:paraId="7918CF34" w14:textId="624303AA">
      <w:pPr>
        <w:rPr>
          <w:lang w:eastAsia="en-US" w:bidi="ar-SA"/>
        </w:rPr>
      </w:pPr>
      <w:r>
        <w:t>An editorial restoration is a stretch of text which the editor believes was probably present in the source document, but which could not be read at all in the source. Although conceptually a restored lacuna is a particular kind of lacuna, the two require different encoding approaches because a restoration contains text while an unrestored lacuna does not. Unrestored lacunae will be addressed in §</w:t>
      </w:r>
      <w:r>
        <w:fldChar w:fldCharType="begin"/>
      </w:r>
      <w:r>
        <w:instrText xml:space="preserve"> REF _Ref228460110 \r \h </w:instrText>
      </w:r>
      <w:r>
        <w:fldChar w:fldCharType="separate"/>
      </w:r>
      <w:r>
        <w:t>6.5</w:t>
      </w:r>
      <w:r>
        <w:fldChar w:fldCharType="end"/>
      </w:r>
      <w:r>
        <w:t>.</w:t>
      </w:r>
    </w:p>
    <w:p w14:paraId="47D205EC" w14:textId="77777777">
      <w:pPr>
        <w:pStyle w:val="Lista"/>
      </w:pPr>
      <w:bookmarkStart w:id="547" w:name="_ck6yxgbwhraw" w:colFirst="0" w:colLast="0"/>
      <w:bookmarkEnd w:id="547"/>
      <w:r>
        <w:t xml:space="preserve">where you as editor restore parts of the text that can no longer be made out in the original, the restored segments must be wrapped in the element </w:t>
      </w:r>
      <w:r>
        <w:rPr>
          <w:rStyle w:val="Code"/>
        </w:rPr>
        <w:t>&lt;supplied&gt;</w:t>
      </w:r>
      <w:r>
        <w:t>, with the following attributes</w:t>
      </w:r>
    </w:p>
    <w:p w14:paraId="5F3A12E9" w14:textId="0A46B551">
      <w:pPr>
        <w:pStyle w:val="Lista2"/>
        <w:rPr>
          <w:rStyle w:val="Codeattribute"/>
          <w:rFonts w:ascii="Gentium" w:hAnsi="Gentium" w:cs="Tiro Devanagari Sanskrit"/>
          <w:noProof w:val="0"/>
          <w:color w:val="auto"/>
          <w:shd w:val="clear" w:color="auto" w:fill="auto"/>
        </w:rPr>
      </w:pPr>
      <w:r>
        <w:t xml:space="preserve">mandatorily, </w:t>
      </w:r>
      <w:r>
        <w:rPr>
          <w:rStyle w:val="Codeattribute"/>
        </w:rPr>
        <w:t>@reason</w:t>
      </w:r>
      <w:r>
        <w:t xml:space="preserve"> to indicate why a restoration was necessary, as per §</w:t>
      </w:r>
      <w:r>
        <w:fldChar w:fldCharType="begin"/>
      </w:r>
      <w:r>
        <w:instrText xml:space="preserve"> REF _Ref228461596 \r \h </w:instrText>
      </w:r>
      <w:r>
        <w:fldChar w:fldCharType="separate"/>
      </w:r>
      <w:r>
        <w:t>6.4.1</w:t>
      </w:r>
      <w:r>
        <w:fldChar w:fldCharType="end"/>
      </w:r>
    </w:p>
    <w:p w14:paraId="51F46F3A" w14:textId="75828F0A">
      <w:pPr>
        <w:pStyle w:val="Lista2"/>
      </w:pPr>
      <w:r>
        <w:t xml:space="preserve">as applicable, </w:t>
      </w:r>
      <w:r>
        <w:rPr>
          <w:rStyle w:val="Codeattribute"/>
        </w:rPr>
        <w:t>@cert</w:t>
      </w:r>
      <w:r>
        <w:t xml:space="preserve"> to indicate that the editorial restoration is tentative, as per §</w:t>
      </w:r>
      <w:r>
        <w:fldChar w:fldCharType="begin"/>
      </w:r>
      <w:r>
        <w:instrText xml:space="preserve"> REF _Ref228460700 \r \h </w:instrText>
      </w:r>
      <w:r>
        <w:fldChar w:fldCharType="separate"/>
      </w:r>
      <w:r>
        <w:t>6.4.2</w:t>
      </w:r>
      <w:r>
        <w:fldChar w:fldCharType="end"/>
      </w:r>
    </w:p>
    <w:p w14:paraId="295BE434" w14:textId="6EFE6673">
      <w:pPr>
        <w:pStyle w:val="Lista2"/>
      </w:pPr>
      <w:r>
        <w:t xml:space="preserve">as applicable, </w:t>
      </w:r>
      <w:r>
        <w:rPr>
          <w:rStyle w:val="Codeattribute"/>
        </w:rPr>
        <w:t>@evidence</w:t>
      </w:r>
      <w:r>
        <w:t xml:space="preserve"> to record the basis of the restoration, as per §</w:t>
      </w:r>
      <w:r>
        <w:fldChar w:fldCharType="begin"/>
      </w:r>
      <w:r>
        <w:instrText xml:space="preserve"> REF _Ref228460743 \r \h </w:instrText>
      </w:r>
      <w:r>
        <w:fldChar w:fldCharType="separate"/>
      </w:r>
      <w:r>
        <w:t>6.4.3</w:t>
      </w:r>
      <w:r>
        <w:fldChar w:fldCharType="end"/>
      </w:r>
    </w:p>
    <w:p w14:paraId="454E7A74" w14:textId="7FC8B8DC">
      <w:pPr>
        <w:pStyle w:val="Lista"/>
      </w:pPr>
      <w:r>
        <w:t>bear in mind that, as discussed in §</w:t>
      </w:r>
      <w:r>
        <w:fldChar w:fldCharType="begin"/>
      </w:r>
      <w:r>
        <w:instrText xml:space="preserve"> REF _Ref228196345 \r \h </w:instrText>
      </w:r>
      <w:r>
        <w:fldChar w:fldCharType="separate"/>
      </w:r>
      <w:r>
        <w:t>6.1</w:t>
      </w:r>
      <w:r>
        <w:fldChar w:fldCharType="end"/>
      </w:r>
      <w:r>
        <w:t xml:space="preserve">, restoration with </w:t>
      </w:r>
      <w:r>
        <w:rPr>
          <w:rStyle w:val="Code"/>
        </w:rPr>
        <w:t>&lt;supplied&gt;</w:t>
      </w:r>
      <w:r>
        <w:t xml:space="preserve"> is for cases where a restoration is not based on what can be made out of the original writing</w:t>
      </w:r>
    </w:p>
    <w:p w14:paraId="6EBC8CA1" w14:textId="77777777">
      <w:pPr>
        <w:pStyle w:val="Lista2"/>
      </w:pPr>
      <w:r>
        <w:t xml:space="preserve">if vestiges of text can be made out to a degree sufficient to corroborate a restoration, then </w:t>
      </w:r>
      <w:r>
        <w:rPr>
          <w:noProof/>
        </w:rPr>
        <w:t>(</w:t>
      </w:r>
      <w:r>
        <w:t>regardless of how scant these vestiges are) the text should be treated as an unclear reading rather than a restoration</w:t>
      </w:r>
    </w:p>
    <w:p w14:paraId="526BEA2F" w14:textId="77777777">
      <w:pPr>
        <w:pStyle w:val="Lista3"/>
      </w:pPr>
      <w:r>
        <w:t xml:space="preserve">e.g. </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pitr̥</w:t>
      </w:r>
      <w:r>
        <w:rPr>
          <w:rStyle w:val="Code"/>
        </w:rPr>
        <w:t>&lt;/supplied&gt;&lt;unclear&gt;</w:t>
      </w:r>
      <w:r>
        <w:rPr>
          <w:rStyle w:val="Codetext"/>
        </w:rPr>
        <w:t>bhiḥ</w:t>
      </w:r>
      <w:r>
        <w:rPr>
          <w:rStyle w:val="Code"/>
        </w:rPr>
        <w:t>&lt;/unclear&gt;</w:t>
      </w:r>
      <w:r>
        <w:rPr>
          <w:rStyle w:val="Codetext"/>
        </w:rPr>
        <w:t xml:space="preserve"> saha pacyate</w:t>
      </w:r>
      <w:r>
        <w:t xml:space="preserve"> </w:t>
      </w:r>
      <w:r>
        <w:rPr>
          <w:noProof/>
        </w:rPr>
        <w:t>(</w:t>
      </w:r>
      <w:r>
        <w:t xml:space="preserve">where vestiges give some confirmation for </w:t>
      </w:r>
      <w:r>
        <w:rPr>
          <w:rStyle w:val="Foreign"/>
        </w:rPr>
        <w:t>bhiḥ</w:t>
      </w:r>
      <w:r>
        <w:t xml:space="preserve">, whereas </w:t>
      </w:r>
      <w:r>
        <w:rPr>
          <w:rStyle w:val="Foreign"/>
        </w:rPr>
        <w:t>pitr̥</w:t>
      </w:r>
      <w:r>
        <w:t xml:space="preserve"> is wholly gone)</w:t>
      </w:r>
    </w:p>
    <w:p w14:paraId="1103E3EB" w14:textId="77777777">
      <w:pPr>
        <w:pStyle w:val="Cmsor3"/>
      </w:pPr>
      <w:bookmarkStart w:id="548" w:name="_Ref228461596"/>
      <w:bookmarkStart w:id="549" w:name="_Ref228864988"/>
      <w:bookmarkStart w:id="550" w:name="_Toc243922672"/>
      <w:r>
        <w:t>The reason for a restoration</w:t>
      </w:r>
      <w:bookmarkEnd w:id="548"/>
      <w:bookmarkEnd w:id="549"/>
      <w:bookmarkEnd w:id="550"/>
    </w:p>
    <w:p w14:paraId="5D4B75DA" w14:textId="77777777">
      <w:r>
        <w:t xml:space="preserve">The mandatory attribute </w:t>
      </w:r>
      <w:r>
        <w:rPr>
          <w:rStyle w:val="Codeattribute"/>
        </w:rPr>
        <w:t>@reason</w:t>
      </w:r>
      <w:r>
        <w:t xml:space="preserve">, indicating why a the editor has supplied text, normally takes the value </w:t>
      </w:r>
      <w:r>
        <w:rPr>
          <w:rStyle w:val="Codevalue"/>
        </w:rPr>
        <w:t>"lost"</w:t>
      </w:r>
      <w:r>
        <w:t xml:space="preserve"> in restored lacunae, meaning that text was supplied because the writing is entirely obliterated.</w:t>
      </w:r>
    </w:p>
    <w:p w14:paraId="32F510FA" w14:textId="77777777">
      <w:pPr>
        <w:pStyle w:val="Lista"/>
      </w:pPr>
      <w:r>
        <w:t xml:space="preserve">e.g. </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sodra</w:t>
      </w:r>
      <w:r>
        <w:rPr>
          <w:rStyle w:val="Code"/>
        </w:rPr>
        <w:t>&lt;/supplied&gt;</w:t>
      </w:r>
      <w:r>
        <w:rPr>
          <w:rStyle w:val="Codetext"/>
        </w:rPr>
        <w:t>ṅgaḥ soparikaro</w:t>
      </w:r>
    </w:p>
    <w:p w14:paraId="7E99060E" w14:textId="77777777">
      <w:pPr>
        <w:pStyle w:val="Lista"/>
      </w:pPr>
      <w:r>
        <w:t xml:space="preserve">instead of </w:t>
      </w:r>
      <w:r>
        <w:rPr>
          <w:rStyle w:val="Codevalue"/>
        </w:rPr>
        <w:t>"lost"</w:t>
      </w:r>
      <w:r>
        <w:t xml:space="preserve">, you may use the value </w:t>
      </w:r>
      <w:r>
        <w:rPr>
          <w:rStyle w:val="Codevalue"/>
        </w:rPr>
        <w:t>"undefined"</w:t>
      </w:r>
      <w:r>
        <w:t xml:space="preserve"> if and only if</w:t>
      </w:r>
    </w:p>
    <w:p w14:paraId="4F8A52FA" w14:textId="77777777">
      <w:pPr>
        <w:pStyle w:val="Lista2"/>
      </w:pPr>
      <w:r>
        <w:t>you are encoding your digital edition (or an apparatus reading) from a printed edition without access to the original inscription or a visual representation of it</w:t>
      </w:r>
    </w:p>
    <w:p w14:paraId="089E1F75" w14:textId="19D44FA6">
      <w:pPr>
        <w:pStyle w:val="Lista2"/>
      </w:pPr>
      <w:r>
        <w:rPr>
          <w:rStyle w:val="Foreign"/>
        </w:rPr>
        <w:t>and</w:t>
      </w:r>
      <w:r>
        <w:t xml:space="preserve"> the previous editor gives no clear indication whether the supplied text was omitted </w:t>
      </w:r>
      <w:r>
        <w:rPr>
          <w:noProof/>
        </w:rPr>
        <w:t>(</w:t>
      </w:r>
      <w:r>
        <w:t>for which see §</w:t>
      </w:r>
      <w:r>
        <w:fldChar w:fldCharType="begin"/>
      </w:r>
      <w:r>
        <w:instrText xml:space="preserve"> REF _Ref229056324 \r \h </w:instrText>
      </w:r>
      <w:r>
        <w:fldChar w:fldCharType="separate"/>
      </w:r>
      <w:r>
        <w:t>7.5.3</w:t>
      </w:r>
      <w:r>
        <w:fldChar w:fldCharType="end"/>
      </w:r>
      <w:r>
        <w:t>) or lost</w:t>
      </w:r>
    </w:p>
    <w:p w14:paraId="35298ECA" w14:textId="77777777">
      <w:pPr>
        <w:pStyle w:val="Lista2"/>
      </w:pPr>
      <w:r>
        <w:rPr>
          <w:rStyle w:val="Foreign"/>
        </w:rPr>
        <w:t>and</w:t>
      </w:r>
      <w:r>
        <w:t xml:space="preserve"> you cannot make a reasonable guess as to which of these is actually the case</w:t>
      </w:r>
    </w:p>
    <w:p w14:paraId="1657B992" w14:textId="47EBD5E8">
      <w:pPr>
        <w:pStyle w:val="Lista"/>
      </w:pPr>
      <w:r>
        <w:t xml:space="preserve">other possible values of </w:t>
      </w:r>
      <w:r>
        <w:rPr>
          <w:rStyle w:val="Codeattribute"/>
        </w:rPr>
        <w:t>@reason</w:t>
      </w:r>
      <w:r>
        <w:t xml:space="preserve"> on </w:t>
      </w:r>
      <w:r>
        <w:rPr>
          <w:rStyle w:val="Code"/>
        </w:rPr>
        <w:t>&lt;supplied&gt;</w:t>
      </w:r>
      <w:r>
        <w:t xml:space="preserve"> are not applicable to the restoration of lacunae (but to the correction of scribal omission, §</w:t>
      </w:r>
      <w:r>
        <w:fldChar w:fldCharType="begin"/>
      </w:r>
      <w:r>
        <w:instrText xml:space="preserve"> REF _Ref229056324 \r \h </w:instrText>
      </w:r>
      <w:r>
        <w:fldChar w:fldCharType="separate"/>
      </w:r>
      <w:r>
        <w:t>7.5.3</w:t>
      </w:r>
      <w:r>
        <w:fldChar w:fldCharType="end"/>
      </w:r>
      <w:r>
        <w:t>; to supplying editorial punctuation, §</w:t>
      </w:r>
      <w:r>
        <w:fldChar w:fldCharType="begin"/>
      </w:r>
      <w:r>
        <w:instrText xml:space="preserve"> REF _Ref229060537 \r \h </w:instrText>
      </w:r>
      <w:r>
        <w:fldChar w:fldCharType="separate"/>
      </w:r>
      <w:r>
        <w:t>7.8.3</w:t>
      </w:r>
      <w:r>
        <w:fldChar w:fldCharType="end"/>
      </w:r>
      <w:r>
        <w:t>; and to adding clarifications to a translation, §</w:t>
      </w:r>
      <w:r>
        <w:fldChar w:fldCharType="begin"/>
      </w:r>
      <w:r>
        <w:instrText xml:space="preserve"> REF _Ref43990269 \r \h </w:instrText>
      </w:r>
      <w:r>
        <w:fldChar w:fldCharType="separate"/>
      </w:r>
      <w:r>
        <w:t>11.4</w:t>
      </w:r>
      <w:r>
        <w:fldChar w:fldCharType="end"/>
      </w:r>
      <w:r>
        <w:t>)</w:t>
      </w:r>
    </w:p>
    <w:p w14:paraId="3E76D5E1" w14:textId="77777777">
      <w:pPr>
        <w:pStyle w:val="Cmsor3"/>
      </w:pPr>
      <w:bookmarkStart w:id="551" w:name="_Ref228460700"/>
      <w:bookmarkStart w:id="552" w:name="_Toc243922673"/>
      <w:r>
        <w:lastRenderedPageBreak/>
        <w:t>Tentative restoration</w:t>
      </w:r>
      <w:bookmarkEnd w:id="551"/>
      <w:bookmarkEnd w:id="552"/>
    </w:p>
    <w:p w14:paraId="6FF7E949" w14:textId="77777777">
      <w:r>
        <w:t>Text supplied by the editor is conventionally understood to be reasonably confident, but it can always involve a degree of uncertainty, especially as regards trivial details such as orthographic variation.</w:t>
      </w:r>
    </w:p>
    <w:p w14:paraId="14BD797A" w14:textId="77777777">
      <w:pPr>
        <w:pStyle w:val="Lista"/>
      </w:pPr>
      <w:r>
        <w:t xml:space="preserve">when a restoration is particularly tentative, add the attribute </w:t>
      </w:r>
      <w:r>
        <w:rPr>
          <w:rStyle w:val="Codeattribute"/>
        </w:rPr>
        <w:t>@cert</w:t>
      </w:r>
      <w:r>
        <w:t xml:space="preserve"> with the value </w:t>
      </w:r>
      <w:r>
        <w:rPr>
          <w:rStyle w:val="Codevalue"/>
        </w:rPr>
        <w:t>"low"</w:t>
      </w:r>
      <w:r>
        <w:t xml:space="preserve"> to the </w:t>
      </w:r>
      <w:r>
        <w:rPr>
          <w:rStyle w:val="Code"/>
        </w:rPr>
        <w:t>&lt;supplied&gt;</w:t>
      </w:r>
      <w:r>
        <w:t xml:space="preserve"> element</w:t>
      </w:r>
    </w:p>
    <w:p w14:paraId="43E9FCC9" w14:textId="77777777">
      <w:pPr>
        <w:pStyle w:val="Lista2"/>
      </w:pPr>
      <w:r>
        <w:t xml:space="preserve">e.g. </w:t>
      </w:r>
      <w:r>
        <w:rPr>
          <w:rStyle w:val="Codetext"/>
        </w:rPr>
        <w:t>mahā</w:t>
      </w:r>
      <w:r>
        <w:rPr>
          <w:rStyle w:val="Code"/>
        </w:rPr>
        <w:t xml:space="preserve">&lt;supplied </w:t>
      </w:r>
      <w:r>
        <w:rPr>
          <w:rStyle w:val="Codeattribute"/>
        </w:rPr>
        <w:t>reason</w:t>
      </w:r>
      <w:r>
        <w:rPr>
          <w:rStyle w:val="Code"/>
        </w:rPr>
        <w:t>=</w:t>
      </w:r>
      <w:r>
        <w:rPr>
          <w:rStyle w:val="Codevalue"/>
        </w:rPr>
        <w:t>"lost"</w:t>
      </w:r>
      <w:r>
        <w:rPr>
          <w:rStyle w:val="Code"/>
        </w:rPr>
        <w:t xml:space="preserve"> </w:t>
      </w:r>
      <w:r>
        <w:rPr>
          <w:rStyle w:val="Codeattribute"/>
        </w:rPr>
        <w:t>cert</w:t>
      </w:r>
      <w:r>
        <w:rPr>
          <w:rStyle w:val="Code"/>
        </w:rPr>
        <w:t>=</w:t>
      </w:r>
      <w:r>
        <w:rPr>
          <w:rStyle w:val="Codevalue"/>
        </w:rPr>
        <w:t>"low"</w:t>
      </w:r>
      <w:r>
        <w:rPr>
          <w:rStyle w:val="Code"/>
        </w:rPr>
        <w:t>&gt;</w:t>
      </w:r>
      <w:r>
        <w:rPr>
          <w:rStyle w:val="Codetext"/>
        </w:rPr>
        <w:t>puruṣa</w:t>
      </w:r>
      <w:r>
        <w:rPr>
          <w:rStyle w:val="Code"/>
        </w:rPr>
        <w:t>&lt;/supplied&gt;</w:t>
      </w:r>
    </w:p>
    <w:p w14:paraId="02937F18" w14:textId="77777777">
      <w:pPr>
        <w:pStyle w:val="Lista"/>
      </w:pPr>
      <w:r>
        <w:t xml:space="preserve">no additional degrees of confidence shall be represented in markup, so </w:t>
      </w:r>
      <w:r>
        <w:rPr>
          <w:rStyle w:val="Codevalue"/>
        </w:rPr>
        <w:t>"low"</w:t>
      </w:r>
      <w:r>
        <w:t xml:space="preserve"> here may stand for anything between “not quite confident” to “desperate conjecture”</w:t>
      </w:r>
    </w:p>
    <w:p w14:paraId="6F7F678D" w14:textId="77777777">
      <w:pPr>
        <w:pStyle w:val="Lista2"/>
      </w:pPr>
      <w:r>
        <w:t>however, it is preferable to save desperate conjectures for your commentary or apparatus, and within the edition, only encode restorations in which you have some confidence</w:t>
      </w:r>
    </w:p>
    <w:p w14:paraId="05B47009" w14:textId="77777777">
      <w:pPr>
        <w:pStyle w:val="Cmsor3"/>
      </w:pPr>
      <w:bookmarkStart w:id="553" w:name="_1tkql41gk7ns" w:colFirst="0" w:colLast="0"/>
      <w:bookmarkStart w:id="554" w:name="_Ref228460743"/>
      <w:bookmarkStart w:id="555" w:name="_Toc243922674"/>
      <w:bookmarkEnd w:id="553"/>
      <w:r>
        <w:t>The basis of restoration</w:t>
      </w:r>
      <w:bookmarkEnd w:id="554"/>
      <w:bookmarkEnd w:id="555"/>
    </w:p>
    <w:p w14:paraId="763AAB5C" w14:textId="77777777">
      <w:r>
        <w:t>By default, editorial restoration will be assumed to be based on conjecture. Conjectural restoration thus needs no explicit encoding beyond that outlined above.</w:t>
      </w:r>
    </w:p>
    <w:p w14:paraId="43CCDB10" w14:textId="77777777">
      <w:pPr>
        <w:pStyle w:val="Lista"/>
      </w:pPr>
      <w:r>
        <w:t xml:space="preserve">the attribute </w:t>
      </w:r>
      <w:r>
        <w:rPr>
          <w:rStyle w:val="Codeattribute"/>
        </w:rPr>
        <w:t>@evidence</w:t>
      </w:r>
      <w:r>
        <w:t xml:space="preserve"> may be added to </w:t>
      </w:r>
      <w:r>
        <w:rPr>
          <w:rStyle w:val="Code"/>
        </w:rPr>
        <w:t>&lt;supplied&gt;</w:t>
      </w:r>
      <w:r>
        <w:t xml:space="preserve"> to indicate a restoration based on something other than conjecture, with the following permitted values:</w:t>
      </w:r>
    </w:p>
    <w:p w14:paraId="24FCCB5B" w14:textId="77777777">
      <w:pPr>
        <w:pStyle w:val="Lista"/>
      </w:pPr>
      <w:r>
        <w:rPr>
          <w:rStyle w:val="Codevalue"/>
        </w:rPr>
        <w:t>"parallel"</w:t>
      </w:r>
      <w:r>
        <w:t xml:space="preserve"> for restoration on the basis of one or more specific parallel texts</w:t>
      </w:r>
    </w:p>
    <w:p w14:paraId="11123409" w14:textId="77777777">
      <w:pPr>
        <w:pStyle w:val="Lista2"/>
      </w:pPr>
      <w:r>
        <w:t>if your edition includes a restoration of this type, the parallel text</w:t>
      </w:r>
      <w:r>
        <w:rPr>
          <w:noProof/>
        </w:rPr>
        <w:t>(</w:t>
      </w:r>
      <w:r>
        <w:t>s) used as evidence shall be identified in the commentary to your edition</w:t>
      </w:r>
    </w:p>
    <w:p w14:paraId="0262E5CF" w14:textId="0CDB32D3">
      <w:pPr>
        <w:pStyle w:val="Lista3"/>
      </w:pPr>
      <w:r>
        <w:t xml:space="preserve">such identification shall be in a human-readable form, but if the parallel text has been encoded for DHARMA, then the edition should be referred to </w:t>
      </w:r>
      <w:r>
        <w:rPr>
          <w:noProof/>
        </w:rPr>
        <w:t>(</w:t>
      </w:r>
      <w:r>
        <w:t>§</w:t>
      </w:r>
      <w:r>
        <w:fldChar w:fldCharType="begin"/>
      </w:r>
      <w:r>
        <w:instrText xml:space="preserve"> REF _Ref148531705 \r \h </w:instrText>
      </w:r>
      <w:r>
        <w:fldChar w:fldCharType="separate"/>
      </w:r>
      <w:r>
        <w:t>14.6.4.1</w:t>
      </w:r>
      <w:r>
        <w:fldChar w:fldCharType="end"/>
      </w:r>
      <w:r>
        <w:t>)</w:t>
      </w:r>
    </w:p>
    <w:p w14:paraId="2716F3F1" w14:textId="77777777">
      <w:pPr>
        <w:pStyle w:val="Lista2"/>
      </w:pPr>
      <w:r>
        <w:t>parallel texts are not necessarily complete and identical copies of the text being edited, but include partial parallels, where passages such as a genealogical list or a stanza occur in more than one text</w:t>
      </w:r>
    </w:p>
    <w:p w14:paraId="369931CE" w14:textId="77777777">
      <w:pPr>
        <w:pStyle w:val="Lista2"/>
      </w:pPr>
      <w:r>
        <w:t xml:space="preserve">however, partial parallelisms that occur widely in a given corpus, especially if they are short and/or they occur with some variation, are better understood as contextual knowledge supporting conjecture, and restorations based on such convergence should be encoded without </w:t>
      </w:r>
      <w:r>
        <w:rPr>
          <w:rStyle w:val="Codeattribute"/>
        </w:rPr>
        <w:t>@evidence</w:t>
      </w:r>
    </w:p>
    <w:p w14:paraId="2E1880BB" w14:textId="77777777">
      <w:pPr>
        <w:pStyle w:val="Lista"/>
      </w:pPr>
      <w:r>
        <w:rPr>
          <w:rStyle w:val="Codevalue"/>
        </w:rPr>
        <w:t>"previouseditor"</w:t>
      </w:r>
      <w:r>
        <w:t xml:space="preserve"> for restoration based on the testimony of a previous editor, when the text can no longer be made out at present</w:t>
      </w:r>
    </w:p>
    <w:p w14:paraId="7D0F580D" w14:textId="48D1AA5C">
      <w:pPr>
        <w:pStyle w:val="Lista2"/>
      </w:pPr>
      <w:r>
        <w:t xml:space="preserve">note that there is no facility to distinguish between multiple previous editors within this tag; if such a distinction is necessary, it shall be made in the apparatus attached to your edition </w:t>
      </w:r>
      <w:r>
        <w:rPr>
          <w:noProof/>
        </w:rPr>
        <w:t>(</w:t>
      </w:r>
      <w:r>
        <w:t>§</w:t>
      </w:r>
      <w:r>
        <w:fldChar w:fldCharType="begin"/>
      </w:r>
      <w:r>
        <w:instrText xml:space="preserve"> REF _Ref43978773 \w \h  \* MERGEFORMAT </w:instrText>
      </w:r>
      <w:r>
        <w:fldChar w:fldCharType="separate"/>
      </w:r>
      <w:r>
        <w:t>10</w:t>
      </w:r>
      <w:r>
        <w:fldChar w:fldCharType="end"/>
      </w:r>
      <w:r>
        <w:t>)</w:t>
      </w:r>
    </w:p>
    <w:p w14:paraId="50B1EDEC" w14:textId="77777777">
      <w:pPr>
        <w:pStyle w:val="Lista2"/>
      </w:pPr>
      <w:r>
        <w:t xml:space="preserve">likewise, alternative conjectural restorations should be recorded in the apparatus </w:t>
      </w:r>
      <w:r>
        <w:rPr>
          <w:noProof/>
        </w:rPr>
        <w:t>(</w:t>
      </w:r>
      <w:r>
        <w:t xml:space="preserve">if at all); </w:t>
      </w:r>
      <w:r>
        <w:rPr>
          <w:rStyle w:val="Codeattribute"/>
        </w:rPr>
        <w:t>@evidence</w:t>
      </w:r>
      <w:r>
        <w:rPr>
          <w:rStyle w:val="Code"/>
        </w:rPr>
        <w:t>=</w:t>
      </w:r>
      <w:r>
        <w:rPr>
          <w:rStyle w:val="Codevalue"/>
        </w:rPr>
        <w:t>"previouseditor"</w:t>
      </w:r>
      <w:r>
        <w:t xml:space="preserve"> is only for cases where an earlier editor reports an actual reading for text now lost</w:t>
      </w:r>
    </w:p>
    <w:p w14:paraId="550152AC" w14:textId="77777777">
      <w:pPr>
        <w:pStyle w:val="Lista2"/>
      </w:pPr>
      <w:r>
        <w:t>if you are working from a previous edition and have no visual documentation of an entire inscription or a sizeable part of one, then the text should not be marked up as supplied at all; instead, treat it as a regular part of the edition and clarify the situation in your commentary</w:t>
      </w:r>
    </w:p>
    <w:p w14:paraId="2ECD6574" w14:textId="77777777">
      <w:pPr>
        <w:pStyle w:val="Cmsor2"/>
      </w:pPr>
      <w:bookmarkStart w:id="556" w:name="_Ref228460110"/>
      <w:bookmarkStart w:id="557" w:name="_Toc243922675"/>
      <w:r>
        <w:t>Lacunae</w:t>
      </w:r>
      <w:bookmarkEnd w:id="545"/>
      <w:bookmarkEnd w:id="556"/>
      <w:bookmarkEnd w:id="557"/>
    </w:p>
    <w:p w14:paraId="18B9EC3C" w14:textId="77777777">
      <w:pPr>
        <w:pStyle w:val="Cmsor3"/>
      </w:pPr>
      <w:bookmarkStart w:id="558" w:name="_lo8gk73ax0q" w:colFirst="0" w:colLast="0"/>
      <w:bookmarkStart w:id="559" w:name="_Ref228888638"/>
      <w:bookmarkStart w:id="560" w:name="_Toc243922676"/>
      <w:bookmarkEnd w:id="558"/>
      <w:r>
        <w:t>Encoding lacunae</w:t>
      </w:r>
      <w:bookmarkEnd w:id="559"/>
      <w:bookmarkEnd w:id="560"/>
    </w:p>
    <w:p w14:paraId="2FA86C26" w14:textId="77777777">
      <w:r>
        <w:t xml:space="preserve">To encode a lacuna, i.e. a stretch where your edition contains no text because the source could not be read at all and could not be restored even tentatively, use the element </w:t>
      </w:r>
      <w:r>
        <w:rPr>
          <w:rStyle w:val="Code"/>
        </w:rPr>
        <w:t>&lt;gap&gt;</w:t>
      </w:r>
      <w:r>
        <w:t xml:space="preserve">. </w:t>
      </w:r>
    </w:p>
    <w:p w14:paraId="6B49CA0A" w14:textId="77777777">
      <w:pPr>
        <w:pStyle w:val="Lista"/>
      </w:pPr>
      <w:r>
        <w:t xml:space="preserve">use </w:t>
      </w:r>
      <w:r>
        <w:rPr>
          <w:rStyle w:val="Code"/>
        </w:rPr>
        <w:t>&lt;gap&gt;</w:t>
      </w:r>
      <w:r>
        <w:t xml:space="preserve"> for lacunae</w:t>
      </w:r>
      <w:r>
        <w:rPr>
          <w:rStyle w:val="Lbjegyzet-hivatkozs"/>
        </w:rPr>
        <w:footnoteReference w:id="29"/>
      </w:r>
      <w:r>
        <w:t xml:space="preserve"> with the following attributes</w:t>
      </w:r>
    </w:p>
    <w:p w14:paraId="08D8D27B" w14:textId="32B2488F">
      <w:pPr>
        <w:pStyle w:val="Lista2"/>
      </w:pPr>
      <w:r>
        <w:t xml:space="preserve">mandatorily, </w:t>
      </w:r>
      <w:r>
        <w:rPr>
          <w:rStyle w:val="Codeattribute"/>
        </w:rPr>
        <w:t>@reason</w:t>
      </w:r>
      <w:r>
        <w:t xml:space="preserve"> as per §</w:t>
      </w:r>
      <w:r>
        <w:fldChar w:fldCharType="begin"/>
      </w:r>
      <w:r>
        <w:instrText xml:space="preserve"> REF _Ref43987758 \r \h </w:instrText>
      </w:r>
      <w:r>
        <w:fldChar w:fldCharType="separate"/>
      </w:r>
      <w:r>
        <w:t>6.5.1.1</w:t>
      </w:r>
      <w:r>
        <w:fldChar w:fldCharType="end"/>
      </w:r>
    </w:p>
    <w:p w14:paraId="010F5B14" w14:textId="318AD2B8">
      <w:pPr>
        <w:pStyle w:val="Lista2"/>
      </w:pPr>
      <w:r>
        <w:t xml:space="preserve">mandatorily, </w:t>
      </w:r>
      <w:r>
        <w:rPr>
          <w:rStyle w:val="Codeattribute"/>
        </w:rPr>
        <w:t>@unit</w:t>
      </w:r>
      <w:r>
        <w:t xml:space="preserve"> combined with either </w:t>
      </w:r>
      <w:r>
        <w:rPr>
          <w:rStyle w:val="Codeattribute"/>
        </w:rPr>
        <w:t>@extent</w:t>
      </w:r>
      <w:r>
        <w:t xml:space="preserve"> or </w:t>
      </w:r>
      <w:r>
        <w:rPr>
          <w:rStyle w:val="Codeattribute"/>
        </w:rPr>
        <w:t>@quantity</w:t>
      </w:r>
      <w:r>
        <w:t xml:space="preserve"> as per §</w:t>
      </w:r>
      <w:r>
        <w:fldChar w:fldCharType="begin"/>
      </w:r>
      <w:r>
        <w:instrText xml:space="preserve"> REF _Ref228262228 \r \h </w:instrText>
      </w:r>
      <w:r>
        <w:fldChar w:fldCharType="separate"/>
      </w:r>
      <w:r>
        <w:t>6.5.1.2</w:t>
      </w:r>
      <w:r>
        <w:fldChar w:fldCharType="end"/>
      </w:r>
    </w:p>
    <w:p w14:paraId="4525D00D" w14:textId="0AFB1CD6">
      <w:pPr>
        <w:pStyle w:val="Lista2"/>
      </w:pPr>
      <w:r>
        <w:t xml:space="preserve">as applicable, </w:t>
      </w:r>
      <w:r>
        <w:rPr>
          <w:rStyle w:val="Codeattribute"/>
        </w:rPr>
        <w:t>@precision</w:t>
      </w:r>
      <w:r>
        <w:t xml:space="preserve"> as per §</w:t>
      </w:r>
      <w:r>
        <w:fldChar w:fldCharType="begin"/>
      </w:r>
      <w:r>
        <w:instrText xml:space="preserve"> REF _Ref228262228 \r \h </w:instrText>
      </w:r>
      <w:r>
        <w:fldChar w:fldCharType="separate"/>
      </w:r>
      <w:r>
        <w:t>6.5.1.2</w:t>
      </w:r>
      <w:r>
        <w:fldChar w:fldCharType="end"/>
      </w:r>
    </w:p>
    <w:p w14:paraId="56AB6EFF" w14:textId="77777777">
      <w:pPr>
        <w:pStyle w:val="Lista"/>
      </w:pPr>
      <w:r>
        <w:lastRenderedPageBreak/>
        <w:t>since a gap is, by definition, a point where text is not available, this element can never contain text</w:t>
      </w:r>
    </w:p>
    <w:p w14:paraId="09CDFDA3" w14:textId="048E987D">
      <w:pPr>
        <w:pStyle w:val="Lista2"/>
      </w:pPr>
      <w:r>
        <w:t xml:space="preserve">restored lacunae must be encoded with </w:t>
      </w:r>
      <w:r>
        <w:rPr>
          <w:rStyle w:val="Code"/>
        </w:rPr>
        <w:t>&lt;supplied&gt;</w:t>
      </w:r>
      <w:r>
        <w:t xml:space="preserve"> rather than with </w:t>
      </w:r>
      <w:r>
        <w:rPr>
          <w:rStyle w:val="Code"/>
        </w:rPr>
        <w:t>&lt;gap&gt;</w:t>
      </w:r>
      <w:r>
        <w:t>, as per §</w:t>
      </w:r>
      <w:r>
        <w:fldChar w:fldCharType="begin"/>
      </w:r>
      <w:r>
        <w:instrText xml:space="preserve"> REF _Ref228459751 \r \h </w:instrText>
      </w:r>
      <w:r>
        <w:fldChar w:fldCharType="separate"/>
      </w:r>
      <w:r>
        <w:t>6.4</w:t>
      </w:r>
      <w:r>
        <w:fldChar w:fldCharType="end"/>
      </w:r>
    </w:p>
    <w:p w14:paraId="3E881741" w14:textId="77777777">
      <w:pPr>
        <w:pStyle w:val="Lista2"/>
      </w:pPr>
      <w:r>
        <w:t xml:space="preserve">partially restored lacunae must be encoded as independent </w:t>
      </w:r>
      <w:r>
        <w:rPr>
          <w:rStyle w:val="Code"/>
        </w:rPr>
        <w:t>&lt;gap&gt;</w:t>
      </w:r>
      <w:r>
        <w:t xml:space="preserve"> and </w:t>
      </w:r>
      <w:r>
        <w:rPr>
          <w:rStyle w:val="Code"/>
        </w:rPr>
        <w:t>&lt;supplied&gt;</w:t>
      </w:r>
      <w:r>
        <w:t xml:space="preserve"> elements</w:t>
      </w:r>
    </w:p>
    <w:p w14:paraId="05F0E592" w14:textId="77777777">
      <w:pPr>
        <w:pStyle w:val="Lista3"/>
      </w:pPr>
      <w:r>
        <w:t xml:space="preserve">e.g. </w:t>
      </w:r>
      <w:r>
        <w:rPr>
          <w:rStyle w:val="Codetext"/>
        </w:rPr>
        <w:t>gudrahāra-vi</w:t>
      </w:r>
      <w:r>
        <w:rPr>
          <w:rStyle w:val="Code"/>
        </w:rPr>
        <w:t xml:space="preserve">&lt;supplied </w:t>
      </w:r>
      <w:r>
        <w:rPr>
          <w:rStyle w:val="Codeattribute"/>
        </w:rPr>
        <w:t>reason=</w:t>
      </w:r>
      <w:r>
        <w:rPr>
          <w:rStyle w:val="Codevalue"/>
        </w:rPr>
        <w:t>"lost"</w:t>
      </w:r>
      <w:r>
        <w:rPr>
          <w:rStyle w:val="Code"/>
        </w:rPr>
        <w:t>&gt;</w:t>
      </w:r>
      <w:r>
        <w:rPr>
          <w:rStyle w:val="Codetext"/>
        </w:rPr>
        <w:t>ṣaye</w:t>
      </w:r>
      <w:r>
        <w:rPr>
          <w:rStyle w:val="Code"/>
        </w:rPr>
        <w:t xml:space="preserve">&lt;/supplied&gt; &lt;gap </w:t>
      </w:r>
      <w:r>
        <w:rPr>
          <w:rStyle w:val="Codeattribute"/>
        </w:rPr>
        <w:t>reason=</w:t>
      </w:r>
      <w:r>
        <w:rPr>
          <w:rStyle w:val="Codevalue"/>
        </w:rPr>
        <w:t>"lost"</w:t>
      </w:r>
      <w:r>
        <w:rPr>
          <w:rStyle w:val="Code"/>
        </w:rPr>
        <w:t xml:space="preserve"> </w:t>
      </w:r>
      <w:r>
        <w:rPr>
          <w:rStyle w:val="Codeattribute"/>
        </w:rPr>
        <w:t>quantity=</w:t>
      </w:r>
      <w:r>
        <w:rPr>
          <w:rStyle w:val="Codevalue"/>
        </w:rPr>
        <w:t>"2"</w:t>
      </w:r>
      <w:r>
        <w:rPr>
          <w:rStyle w:val="Code"/>
        </w:rPr>
        <w:t xml:space="preserve"> </w:t>
      </w:r>
      <w:r>
        <w:rPr>
          <w:rStyle w:val="Codeattribute"/>
        </w:rPr>
        <w:t>unit=</w:t>
      </w:r>
      <w:r>
        <w:rPr>
          <w:rStyle w:val="Codevalue"/>
        </w:rPr>
        <w:t>"character"</w:t>
      </w:r>
      <w:r>
        <w:rPr>
          <w:rStyle w:val="Code"/>
        </w:rPr>
        <w:t xml:space="preserve"> </w:t>
      </w:r>
      <w:r>
        <w:rPr>
          <w:rStyle w:val="Codeattribute"/>
        </w:rPr>
        <w:t>precision=</w:t>
      </w:r>
      <w:r>
        <w:rPr>
          <w:rStyle w:val="Codevalue"/>
        </w:rPr>
        <w:t>"low"</w:t>
      </w:r>
      <w:r>
        <w:rPr>
          <w:rStyle w:val="Code"/>
        </w:rPr>
        <w:t>/&gt;</w:t>
      </w:r>
    </w:p>
    <w:p w14:paraId="05A3B40F" w14:textId="6112B008">
      <w:pPr>
        <w:pStyle w:val="Lista2"/>
      </w:pPr>
      <w:r>
        <w:t xml:space="preserve">the </w:t>
      </w:r>
      <w:r>
        <w:rPr>
          <w:rStyle w:val="Code"/>
        </w:rPr>
        <w:t>&lt;gap&gt;</w:t>
      </w:r>
      <w:r>
        <w:t xml:space="preserve"> element is thus usually empty (</w:t>
      </w:r>
      <w:r>
        <w:rPr>
          <w:rStyle w:val="Code"/>
        </w:rPr>
        <w:t>&lt;gap/&gt;</w:t>
      </w:r>
      <w:r>
        <w:t>), but it may contain another empty element when the existence of a lacuna is uncertain, as per §</w:t>
      </w:r>
      <w:r>
        <w:fldChar w:fldCharType="begin"/>
      </w:r>
      <w:r>
        <w:instrText xml:space="preserve"> REF _Ref228262561 \r \h </w:instrText>
      </w:r>
      <w:r>
        <w:fldChar w:fldCharType="separate"/>
      </w:r>
      <w:r>
        <w:t>6.5.3.3</w:t>
      </w:r>
      <w:r>
        <w:fldChar w:fldCharType="end"/>
      </w:r>
    </w:p>
    <w:p w14:paraId="743F68C1" w14:textId="77777777">
      <w:pPr>
        <w:pStyle w:val="Lista"/>
      </w:pPr>
      <w:r>
        <w:rPr>
          <w:rStyle w:val="Code"/>
        </w:rPr>
        <w:t>&lt;gap&gt;</w:t>
      </w:r>
      <w:r>
        <w:t xml:space="preserve"> elements, where they are adjacent to extant or restored text, should normally be separated from text by a space unless you are reasonably confident that the lacuna included part of a word whose other part is preserved or restored outside the lacuna, in which case the text should precede or follow the </w:t>
      </w:r>
      <w:r>
        <w:rPr>
          <w:rStyle w:val="Code"/>
        </w:rPr>
        <w:t>&lt;gap&gt;</w:t>
      </w:r>
      <w:r>
        <w:t xml:space="preserve"> element without an intervening space</w:t>
      </w:r>
    </w:p>
    <w:p w14:paraId="3FA2B4FE" w14:textId="77777777">
      <w:pPr>
        <w:pStyle w:val="Lista2"/>
      </w:pPr>
      <w:r>
        <w:t>by convention we shall take a lacuna encoded without an intervening space as a definite indicator of an editorial hypothesis that the word preserved adjacent to the lacuna is not complete</w:t>
      </w:r>
    </w:p>
    <w:p w14:paraId="600637EF" w14:textId="77777777">
      <w:pPr>
        <w:pStyle w:val="Lista2"/>
      </w:pPr>
      <w:r>
        <w:t>whereas a lacuna encoded with an intervening space will not be regarded to imply any hypothesis about the completeness or incompleteness of the preserved word</w:t>
      </w:r>
    </w:p>
    <w:p w14:paraId="699CA67C" w14:textId="77777777">
      <w:pPr>
        <w:pStyle w:val="Cmsor4"/>
      </w:pPr>
      <w:bookmarkStart w:id="561" w:name="_hxyhjj6qtlem" w:colFirst="0" w:colLast="0"/>
      <w:bookmarkStart w:id="562" w:name="_Ref43987758"/>
      <w:bookmarkEnd w:id="561"/>
      <w:r>
        <w:t>The reason for lacunae: illegible or lost</w:t>
      </w:r>
      <w:bookmarkEnd w:id="562"/>
    </w:p>
    <w:p w14:paraId="39ABDB02" w14:textId="77777777">
      <w:r>
        <w:t xml:space="preserve">In alignment with EpiDoc convention, we make a distinction between lacunae resulting from the total loss of the original writing and those where the writing is present at least in a vestigial form but cannot be read even tentatively. This distinction is encoded in the attribute </w:t>
      </w:r>
      <w:r>
        <w:rPr>
          <w:rStyle w:val="Codeattribute"/>
        </w:rPr>
        <w:t>@reason</w:t>
      </w:r>
      <w:r>
        <w:t>, which can take the following values for lacunae.</w:t>
      </w:r>
    </w:p>
    <w:p w14:paraId="10FDAE27" w14:textId="77777777">
      <w:pPr>
        <w:pStyle w:val="Lista"/>
      </w:pPr>
      <w:r>
        <w:rPr>
          <w:rStyle w:val="Codevalue"/>
        </w:rPr>
        <w:t>"lost"</w:t>
      </w:r>
      <w:r>
        <w:t xml:space="preserve"> where parts of the support are altogether gone, or where the support itself is extant, but its surface has peeled off so that not even the faintest traces of writing remain</w:t>
      </w:r>
    </w:p>
    <w:p w14:paraId="6F0EBA26" w14:textId="77777777">
      <w:pPr>
        <w:pStyle w:val="Lista"/>
      </w:pPr>
      <w:r>
        <w:rPr>
          <w:rStyle w:val="Codevalue"/>
        </w:rPr>
        <w:t>"illegible"</w:t>
      </w:r>
      <w:r>
        <w:t xml:space="preserve"> where the inscribed text cannot be read at all, but the support is extant and vestiges of writing remain </w:t>
      </w:r>
      <w:r>
        <w:rPr>
          <w:noProof/>
        </w:rPr>
        <w:t>(</w:t>
      </w:r>
      <w:r>
        <w:t>i.e. there is a chance, however narrow, that with new insights, technological advances or sheer luck, some of the text can be recovered)</w:t>
      </w:r>
    </w:p>
    <w:p w14:paraId="2308358C" w14:textId="77777777">
      <w:pPr>
        <w:pStyle w:val="Lista"/>
      </w:pPr>
      <w:r>
        <w:rPr>
          <w:rStyle w:val="Codevalue"/>
        </w:rPr>
        <w:t>"undefined"</w:t>
      </w:r>
      <w:r>
        <w:t xml:space="preserve"> where it is impossible to make the above distinction for a certain lacuna, to be used if and only if </w:t>
      </w:r>
    </w:p>
    <w:p w14:paraId="0CFB0B83" w14:textId="77777777">
      <w:pPr>
        <w:pStyle w:val="Lista2"/>
      </w:pPr>
      <w:r>
        <w:t>you are encoding your digital edition (or an apparatus reading) from a printed edition without access to the original inscription or a visual representation of it</w:t>
      </w:r>
    </w:p>
    <w:p w14:paraId="15F5574A" w14:textId="77777777">
      <w:pPr>
        <w:pStyle w:val="Lista2"/>
      </w:pPr>
      <w:r>
        <w:rPr>
          <w:rStyle w:val="Foreign"/>
        </w:rPr>
        <w:t>and</w:t>
      </w:r>
      <w:r>
        <w:t xml:space="preserve"> the previous editor gives no indication whether a lacuna is illegible or wholly lost</w:t>
      </w:r>
    </w:p>
    <w:p w14:paraId="00227C4A" w14:textId="77777777">
      <w:pPr>
        <w:pStyle w:val="Lista2"/>
      </w:pPr>
      <w:r>
        <w:rPr>
          <w:rStyle w:val="Foreign"/>
        </w:rPr>
        <w:t>and</w:t>
      </w:r>
      <w:r>
        <w:t xml:space="preserve"> you cannot make a reasonable guess as to which of these was the case when the previous editor did their work</w:t>
      </w:r>
    </w:p>
    <w:p w14:paraId="4606E485" w14:textId="75F2F9B2">
      <w:pPr>
        <w:pStyle w:val="Lista"/>
      </w:pPr>
      <w:r>
        <w:t xml:space="preserve">in addition to the above three, the values </w:t>
      </w:r>
      <w:r>
        <w:rPr>
          <w:rStyle w:val="Codevalue"/>
        </w:rPr>
        <w:t>"omitted"</w:t>
      </w:r>
      <w:r>
        <w:t xml:space="preserve"> and </w:t>
      </w:r>
      <w:r>
        <w:rPr>
          <w:rStyle w:val="Codevalue"/>
        </w:rPr>
        <w:t>"ellipsis"</w:t>
      </w:r>
      <w:r>
        <w:t xml:space="preserve"> are permitted in contexts other than lacunae (§</w:t>
      </w:r>
      <w:r>
        <w:fldChar w:fldCharType="begin"/>
      </w:r>
      <w:r>
        <w:instrText xml:space="preserve"> REF _Ref63674857 \r \h </w:instrText>
      </w:r>
      <w:r>
        <w:fldChar w:fldCharType="separate"/>
      </w:r>
      <w:r>
        <w:t>7.7</w:t>
      </w:r>
      <w:r>
        <w:fldChar w:fldCharType="end"/>
      </w:r>
      <w:r>
        <w:t>, §</w:t>
      </w:r>
      <w:r>
        <w:fldChar w:fldCharType="begin"/>
      </w:r>
      <w:r>
        <w:instrText xml:space="preserve"> REF _Ref61250887 \r \h </w:instrText>
      </w:r>
      <w:r>
        <w:fldChar w:fldCharType="separate"/>
      </w:r>
      <w:r>
        <w:t>10.3</w:t>
      </w:r>
      <w:r>
        <w:fldChar w:fldCharType="end"/>
      </w:r>
      <w:r>
        <w:t>, §</w:t>
      </w:r>
      <w:r>
        <w:fldChar w:fldCharType="begin"/>
      </w:r>
      <w:r>
        <w:instrText xml:space="preserve"> REF _Ref43990112 \r \h </w:instrText>
      </w:r>
      <w:r>
        <w:fldChar w:fldCharType="separate"/>
      </w:r>
      <w:r>
        <w:t>11.4.3</w:t>
      </w:r>
      <w:r>
        <w:fldChar w:fldCharType="end"/>
      </w:r>
      <w:r>
        <w:t>)</w:t>
      </w:r>
    </w:p>
    <w:p w14:paraId="1179A0A8" w14:textId="77777777">
      <w:pPr>
        <w:pStyle w:val="Cmsor4"/>
      </w:pPr>
      <w:bookmarkStart w:id="563" w:name="_Ref228262228"/>
      <w:r>
        <w:t>The size of lacunae</w:t>
      </w:r>
      <w:bookmarkEnd w:id="563"/>
    </w:p>
    <w:p w14:paraId="021502D5" w14:textId="77777777">
      <w:pPr>
        <w:rPr>
          <w:lang w:eastAsia="en-US" w:bidi="ar-SA"/>
        </w:rPr>
      </w:pPr>
      <w:r>
        <w:rPr>
          <w:lang w:eastAsia="en-US" w:bidi="ar-SA"/>
        </w:rPr>
        <w:t>The size of a lacuna must be encoded through a combination of attributes. The relevant attributes and their permitted values are introduced here, while the following subsections on managing various kinds of lacunae will give specific instructions for their use in different situations.</w:t>
      </w:r>
    </w:p>
    <w:p w14:paraId="7B1A68E3" w14:textId="77777777">
      <w:pPr>
        <w:pStyle w:val="Lista"/>
      </w:pPr>
      <w:r>
        <w:rPr>
          <w:rStyle w:val="Codeattribute"/>
        </w:rPr>
        <w:t>@unit</w:t>
      </w:r>
      <w:r>
        <w:t xml:space="preserve"> is mandatory for all lacunae in DHARMA practice</w:t>
      </w:r>
      <w:r>
        <w:rPr>
          <w:rStyle w:val="Lbjegyzet-hivatkozs"/>
        </w:rPr>
        <w:footnoteReference w:id="30"/>
      </w:r>
      <w:r>
        <w:t xml:space="preserve"> and indicates the unit in which the size of a lacuna is recorded, with the following possible values</w:t>
      </w:r>
    </w:p>
    <w:p w14:paraId="3F36BF8F" w14:textId="77777777">
      <w:pPr>
        <w:pStyle w:val="Lista2"/>
      </w:pPr>
      <w:r>
        <w:rPr>
          <w:rStyle w:val="Codevalue"/>
        </w:rPr>
        <w:t>"character"</w:t>
      </w:r>
      <w:r>
        <w:t xml:space="preserve"> for lacunae measured by the number of lost </w:t>
      </w:r>
      <w:r>
        <w:rPr>
          <w:rStyle w:val="Foreign"/>
        </w:rPr>
        <w:t>akṣara</w:t>
      </w:r>
      <w:r>
        <w:rPr>
          <w:rStyle w:val="Foreign"/>
          <w:i w:val="0"/>
          <w:iCs w:val="0"/>
        </w:rPr>
        <w:t>s</w:t>
      </w:r>
      <w:r>
        <w:t>, which may be</w:t>
      </w:r>
    </w:p>
    <w:p w14:paraId="325F9B81" w14:textId="77777777">
      <w:pPr>
        <w:pStyle w:val="Lista3"/>
      </w:pPr>
      <w:r>
        <w:t>calculated fairly precisely, when</w:t>
      </w:r>
    </w:p>
    <w:p w14:paraId="18DD7371" w14:textId="77777777">
      <w:pPr>
        <w:pStyle w:val="Lista4"/>
      </w:pPr>
      <w:r>
        <w:t xml:space="preserve">the text is in syllabic verse which lets you determine the number of </w:t>
      </w:r>
      <w:r>
        <w:rPr>
          <w:rStyle w:val="Foreign"/>
        </w:rPr>
        <w:t>akṣara</w:t>
      </w:r>
      <w:r>
        <w:rPr>
          <w:noProof/>
        </w:rPr>
        <w:t>s</w:t>
      </w:r>
      <w:r>
        <w:t xml:space="preserve"> lost </w:t>
      </w:r>
      <w:r>
        <w:rPr>
          <w:noProof/>
        </w:rPr>
        <w:t>(</w:t>
      </w:r>
      <w:r>
        <w:t>give or take a few potential final consonants and/or punctuation marks)</w:t>
      </w:r>
    </w:p>
    <w:p w14:paraId="02A265C9" w14:textId="77777777">
      <w:pPr>
        <w:pStyle w:val="Lista4"/>
      </w:pPr>
      <w:r>
        <w:t>although the glyphs are damaged beyond recognition, their headmarks or outlines can nonetheless be counted with a very small margin for error</w:t>
      </w:r>
    </w:p>
    <w:p w14:paraId="2B27782F" w14:textId="77777777">
      <w:pPr>
        <w:pStyle w:val="Lista3"/>
      </w:pPr>
      <w:r>
        <w:t xml:space="preserve">estimated approximately (adding </w:t>
      </w:r>
      <w:r>
        <w:rPr>
          <w:rStyle w:val="Codeattribute"/>
        </w:rPr>
        <w:t>@precision</w:t>
      </w:r>
      <w:r>
        <w:t>, see below), for example when</w:t>
      </w:r>
    </w:p>
    <w:p w14:paraId="243A6457" w14:textId="77777777">
      <w:pPr>
        <w:pStyle w:val="Lista4"/>
      </w:pPr>
      <w:r>
        <w:lastRenderedPageBreak/>
        <w:t>you can count the number of characters in an adjacent line for a span of the same width as that of the lacuna</w:t>
      </w:r>
    </w:p>
    <w:p w14:paraId="6F283019" w14:textId="77777777">
      <w:pPr>
        <w:pStyle w:val="Lista4"/>
      </w:pPr>
      <w:r>
        <w:t>the text is in quantitative verse, and you estimate the number of syllables lost on the basis of the number of morae missing from the verse</w:t>
      </w:r>
      <w:r>
        <w:rPr>
          <w:rStyle w:val="Lbjegyzet-hivatkozs"/>
        </w:rPr>
        <w:footnoteReference w:id="31"/>
      </w:r>
    </w:p>
    <w:p w14:paraId="73CA2EC2" w14:textId="77777777">
      <w:pPr>
        <w:pStyle w:val="Lista2"/>
      </w:pPr>
      <w:r>
        <w:rPr>
          <w:rStyle w:val="Codevalue"/>
        </w:rPr>
        <w:t>"component"</w:t>
      </w:r>
      <w:r>
        <w:t xml:space="preserve"> for lacunae measured by the number of lost character components</w:t>
      </w:r>
    </w:p>
    <w:p w14:paraId="2E70B619" w14:textId="1F9AA055">
      <w:pPr>
        <w:pStyle w:val="Lista3"/>
      </w:pPr>
      <w:r>
        <w:t>this unit is for use in lacunae affecting only a specific part of a glyph (§</w:t>
      </w:r>
      <w:r>
        <w:fldChar w:fldCharType="begin"/>
      </w:r>
      <w:r>
        <w:instrText xml:space="preserve"> REF _Ref43987049 \r \h </w:instrText>
      </w:r>
      <w:r>
        <w:fldChar w:fldCharType="separate"/>
      </w:r>
      <w:r>
        <w:t>6.5.2.4</w:t>
      </w:r>
      <w:r>
        <w:fldChar w:fldCharType="end"/>
      </w:r>
      <w:r>
        <w:t>)</w:t>
      </w:r>
    </w:p>
    <w:p w14:paraId="3506AD08" w14:textId="11FE6A8E">
      <w:pPr>
        <w:pStyle w:val="Lista2"/>
      </w:pPr>
      <w:r>
        <w:rPr>
          <w:rStyle w:val="Codevalue"/>
        </w:rPr>
        <w:t>"line"</w:t>
      </w:r>
      <w:r>
        <w:t xml:space="preserve"> for lacunae measured by the number of lost inscribed lines (§</w:t>
      </w:r>
      <w:r>
        <w:fldChar w:fldCharType="begin"/>
      </w:r>
      <w:r>
        <w:instrText xml:space="preserve"> REF _Ref224720139 \r \h </w:instrText>
      </w:r>
      <w:r>
        <w:fldChar w:fldCharType="separate"/>
      </w:r>
      <w:r>
        <w:t>4.5</w:t>
      </w:r>
      <w:r>
        <w:fldChar w:fldCharType="end"/>
      </w:r>
      <w:r>
        <w:t>)</w:t>
      </w:r>
    </w:p>
    <w:p w14:paraId="5C28DE7A" w14:textId="77777777">
      <w:pPr>
        <w:pStyle w:val="Lista3"/>
      </w:pPr>
      <w:r>
        <w:t>lost lines may be counted accurately or estimated</w:t>
      </w:r>
    </w:p>
    <w:p w14:paraId="26EBCE9B" w14:textId="77777777">
      <w:pPr>
        <w:pStyle w:val="Lista"/>
      </w:pPr>
      <w:r>
        <w:t xml:space="preserve">in addition to </w:t>
      </w:r>
      <w:r>
        <w:rPr>
          <w:rStyle w:val="Codeattribute"/>
        </w:rPr>
        <w:t>@unit</w:t>
      </w:r>
      <w:r>
        <w:t>, another mandatory attribute specifies the size of the lacuna in the recorded units</w:t>
      </w:r>
    </w:p>
    <w:p w14:paraId="3F61D372" w14:textId="77777777">
      <w:pPr>
        <w:pStyle w:val="Lista2"/>
      </w:pPr>
      <w:r>
        <w:t xml:space="preserve">in all cases where the number of lost units can be counted or estimated, this attribute is </w:t>
      </w:r>
      <w:r>
        <w:rPr>
          <w:rStyle w:val="Codeattribute"/>
        </w:rPr>
        <w:t>@quantity</w:t>
      </w:r>
      <w:r>
        <w:t>, whose value must be an integer number</w:t>
      </w:r>
    </w:p>
    <w:p w14:paraId="26F98CAA" w14:textId="77777777">
      <w:pPr>
        <w:pStyle w:val="Lista2"/>
        <w:rPr>
          <w:rStyle w:val="Codeattribute"/>
          <w:rFonts w:ascii="Gentium" w:hAnsi="Gentium" w:cs="Tiro Devanagari Sanskrit"/>
          <w:noProof w:val="0"/>
          <w:color w:val="auto"/>
          <w:shd w:val="clear" w:color="auto" w:fill="auto"/>
        </w:rPr>
      </w:pPr>
      <w:r>
        <w:t xml:space="preserve">when the size of the lacuna cannot be quantified, it must be encoded with the attribute </w:t>
      </w:r>
      <w:r>
        <w:rPr>
          <w:rStyle w:val="Codeattribute"/>
        </w:rPr>
        <w:t>@extent</w:t>
      </w:r>
      <w:r>
        <w:t xml:space="preserve"> and the value </w:t>
      </w:r>
      <w:r>
        <w:rPr>
          <w:rStyle w:val="Codevalue"/>
        </w:rPr>
        <w:t>"unknown"</w:t>
      </w:r>
    </w:p>
    <w:p w14:paraId="4E961DD7" w14:textId="77777777">
      <w:pPr>
        <w:pStyle w:val="Lista"/>
      </w:pPr>
      <w:r>
        <w:t xml:space="preserve">when the size of a lacuna is recorded in terms of quantity, but the number encoded in that attribute is approximate, add the attribute </w:t>
      </w:r>
      <w:r>
        <w:rPr>
          <w:rStyle w:val="Codeattribute"/>
        </w:rPr>
        <w:t>@precision</w:t>
      </w:r>
      <w:r>
        <w:t xml:space="preserve"> with the value </w:t>
      </w:r>
      <w:r>
        <w:rPr>
          <w:rStyle w:val="Codevalue"/>
        </w:rPr>
        <w:t>"low"</w:t>
      </w:r>
    </w:p>
    <w:p w14:paraId="700390E7" w14:textId="77777777">
      <w:pPr>
        <w:pStyle w:val="Lista2"/>
      </w:pPr>
      <w:r>
        <w:t>as a rule of thumb, low precision should be indicated when the estimated quantity of a lacuna is likely to have an error margin below 20%</w:t>
      </w:r>
    </w:p>
    <w:p w14:paraId="53DAD8EA" w14:textId="77777777">
      <w:pPr>
        <w:pStyle w:val="Lista3"/>
      </w:pPr>
      <w:r>
        <w:t>if even this level of accuracy is unattainable, then encoding an unknown extent is preferable</w:t>
      </w:r>
    </w:p>
    <w:p w14:paraId="0DC07189" w14:textId="77777777">
      <w:pPr>
        <w:pStyle w:val="Lista2"/>
      </w:pPr>
      <w:r>
        <w:t>although TEI affords the facility to do so, in DHARMA practice we do not encode any other degrees of precision, nor use minimum and maximum possible values for the length of a lacuna</w:t>
      </w:r>
    </w:p>
    <w:p w14:paraId="2AD05728" w14:textId="77777777">
      <w:pPr>
        <w:pStyle w:val="Cmsor3"/>
      </w:pPr>
      <w:bookmarkStart w:id="564" w:name="_qo376k1007h" w:colFirst="0" w:colLast="0"/>
      <w:bookmarkStart w:id="565" w:name="_Ref43988016"/>
      <w:bookmarkStart w:id="566" w:name="_Toc243922677"/>
      <w:bookmarkEnd w:id="564"/>
      <w:r>
        <w:t>Managing inline lacunae</w:t>
      </w:r>
      <w:bookmarkEnd w:id="565"/>
      <w:bookmarkEnd w:id="566"/>
    </w:p>
    <w:p w14:paraId="15AC70D3" w14:textId="0BA70C42">
      <w:pPr>
        <w:rPr>
          <w:lang w:eastAsia="en-US" w:bidi="ar-SA"/>
        </w:rPr>
      </w:pPr>
      <w:r>
        <w:rPr>
          <w:lang w:eastAsia="en-US" w:bidi="ar-SA"/>
        </w:rPr>
        <w:t xml:space="preserve">Most lacunae are inline, meaning that they can be encoded as gap elements on the same level as the text, while the encoding for the extrinsic structure of the text, including line beginnings </w:t>
      </w:r>
      <w:r>
        <w:rPr>
          <w:noProof/>
        </w:rPr>
        <w:t>(</w:t>
      </w:r>
      <w:r>
        <w:t>§</w:t>
      </w:r>
      <w:r>
        <w:fldChar w:fldCharType="begin"/>
      </w:r>
      <w:r>
        <w:instrText xml:space="preserve"> REF _Ref43980100 \r \h </w:instrText>
      </w:r>
      <w:r>
        <w:fldChar w:fldCharType="separate"/>
      </w:r>
      <w:r>
        <w:t>4.5.1</w:t>
      </w:r>
      <w:r>
        <w:fldChar w:fldCharType="end"/>
      </w:r>
      <w:r>
        <w:t>)</w:t>
      </w:r>
      <w:r>
        <w:rPr>
          <w:lang w:eastAsia="en-US" w:bidi="ar-SA"/>
        </w:rPr>
        <w:t>, can be established without regard for the lacuna. Whenever feasible, lacunae should be encoded as inline features.</w:t>
      </w:r>
    </w:p>
    <w:p w14:paraId="13711995" w14:textId="77777777">
      <w:pPr>
        <w:pStyle w:val="Lista"/>
      </w:pPr>
      <w:r>
        <w:t xml:space="preserve">inline lacunae shall be encoded with a </w:t>
      </w:r>
      <w:r>
        <w:rPr>
          <w:rStyle w:val="Code"/>
        </w:rPr>
        <w:t>&lt;gap/&gt;</w:t>
      </w:r>
      <w:r>
        <w:t xml:space="preserve"> element at the same level of the encoding hierarchy as the text, with the following attributes</w:t>
      </w:r>
    </w:p>
    <w:p w14:paraId="74EF352E" w14:textId="3965AA76">
      <w:pPr>
        <w:pStyle w:val="Lista2"/>
      </w:pPr>
      <w:r>
        <w:t xml:space="preserve">mandatorily, </w:t>
      </w:r>
      <w:r>
        <w:rPr>
          <w:rStyle w:val="Codeattribute"/>
        </w:rPr>
        <w:t>@reason</w:t>
      </w:r>
      <w:r>
        <w:t xml:space="preserve"> as per §</w:t>
      </w:r>
      <w:r>
        <w:fldChar w:fldCharType="begin"/>
      </w:r>
      <w:r>
        <w:instrText xml:space="preserve"> REF _Ref43987758 \r \h </w:instrText>
      </w:r>
      <w:r>
        <w:fldChar w:fldCharType="separate"/>
      </w:r>
      <w:r>
        <w:t>6.5.1.1</w:t>
      </w:r>
      <w:r>
        <w:fldChar w:fldCharType="end"/>
      </w:r>
    </w:p>
    <w:p w14:paraId="17D80D90" w14:textId="72AFB454">
      <w:pPr>
        <w:pStyle w:val="Lista2"/>
      </w:pPr>
      <w:r>
        <w:t>mandatorily, a size measurement in units of characters and a quantity or extent, with precision encoded if applicable, as per §</w:t>
      </w:r>
      <w:r>
        <w:fldChar w:fldCharType="begin"/>
      </w:r>
      <w:r>
        <w:instrText xml:space="preserve"> REF _Ref228262228 \r \h </w:instrText>
      </w:r>
      <w:r>
        <w:fldChar w:fldCharType="separate"/>
      </w:r>
      <w:r>
        <w:t>6.5.1.2</w:t>
      </w:r>
      <w:r>
        <w:fldChar w:fldCharType="end"/>
      </w:r>
    </w:p>
    <w:p w14:paraId="568D1DDC" w14:textId="77777777">
      <w:pPr>
        <w:pStyle w:val="Lista2"/>
        <w:rPr>
          <w:rStyle w:val="Code"/>
          <w:rFonts w:ascii="Gentium" w:hAnsi="Gentium" w:cs="Tiro Devanagari Sanskrit"/>
          <w:noProof w:val="0"/>
          <w:color w:val="auto"/>
          <w:shd w:val="clear" w:color="auto" w:fill="auto"/>
        </w:rPr>
      </w:pPr>
      <w:r>
        <w:t xml:space="preserve">e.g. </w:t>
      </w:r>
      <w:r>
        <w:rPr>
          <w:rStyle w:val="Code"/>
        </w:rPr>
        <w:t xml:space="preserve">&lt;gap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"7"</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w:t>
      </w:r>
    </w:p>
    <w:p w14:paraId="7EBF64DF" w14:textId="2DDA0A02">
      <w:pPr>
        <w:pStyle w:val="Lista"/>
      </w:pPr>
      <w:r>
        <w:t>while encoding inline lacunae, the boundaries of extrinsic and intrinsic structural units must be respected, as discussed in §</w:t>
      </w:r>
      <w:r>
        <w:fldChar w:fldCharType="begin"/>
      </w:r>
      <w:r>
        <w:instrText xml:space="preserve"> REF _Ref228267816 \r \h </w:instrText>
      </w:r>
      <w:r>
        <w:fldChar w:fldCharType="separate"/>
      </w:r>
      <w:r>
        <w:t>6.5.2.1</w:t>
      </w:r>
      <w:r>
        <w:fldChar w:fldCharType="end"/>
      </w:r>
      <w:r>
        <w:t xml:space="preserve"> and §</w:t>
      </w:r>
      <w:r>
        <w:fldChar w:fldCharType="begin"/>
      </w:r>
      <w:r>
        <w:instrText xml:space="preserve"> REF _Ref228267821 \r \h </w:instrText>
      </w:r>
      <w:r>
        <w:fldChar w:fldCharType="separate"/>
      </w:r>
      <w:r>
        <w:t>6.5.2.2</w:t>
      </w:r>
      <w:r>
        <w:fldChar w:fldCharType="end"/>
      </w:r>
    </w:p>
    <w:p w14:paraId="0F8DCB0E" w14:textId="51551D87">
      <w:pPr>
        <w:pStyle w:val="Lista"/>
      </w:pPr>
      <w:r>
        <w:t>when the metrical structure of lost text is known, this must be encoded as per §</w:t>
      </w:r>
      <w:r>
        <w:fldChar w:fldCharType="begin"/>
      </w:r>
      <w:r>
        <w:instrText xml:space="preserve"> REF _Ref228267857 \r \h </w:instrText>
      </w:r>
      <w:r>
        <w:fldChar w:fldCharType="separate"/>
      </w:r>
      <w:r>
        <w:t>6.5.2.3</w:t>
      </w:r>
      <w:r>
        <w:fldChar w:fldCharType="end"/>
      </w:r>
    </w:p>
    <w:p w14:paraId="4DB39E4B" w14:textId="77777777">
      <w:pPr>
        <w:pStyle w:val="Cmsor4"/>
      </w:pPr>
      <w:bookmarkStart w:id="567" w:name="_Ref228267816"/>
      <w:r>
        <w:t>Inline lacunae and extrinsic structure</w:t>
      </w:r>
      <w:bookmarkEnd w:id="567"/>
    </w:p>
    <w:p w14:paraId="7ECC84A6" w14:textId="37F13009">
      <w:r>
        <w:t>Since inline lacunae are at the same hierarchical level as the text, they are subordinate to physical lines (as well as to all higher levels of the extrinsic hierarchy, §</w:t>
      </w:r>
      <w:r>
        <w:fldChar w:fldCharType="begin"/>
      </w:r>
      <w:r>
        <w:instrText xml:space="preserve"> REF _Ref182923075 \r \h </w:instrText>
      </w:r>
      <w:r>
        <w:fldChar w:fldCharType="separate"/>
      </w:r>
      <w:r>
        <w:t>4.1</w:t>
      </w:r>
      <w:r>
        <w:fldChar w:fldCharType="end"/>
      </w:r>
      <w:r>
        <w:t>), with the following implications.</w:t>
      </w:r>
    </w:p>
    <w:p w14:paraId="0709D99B" w14:textId="77777777">
      <w:pPr>
        <w:pStyle w:val="Lista"/>
      </w:pPr>
      <w:r>
        <w:t>a physical line will usually contain text on one or both sides of the lacuna</w:t>
      </w:r>
    </w:p>
    <w:p w14:paraId="1FEDC82E" w14:textId="77777777">
      <w:pPr>
        <w:pStyle w:val="Lista2"/>
      </w:pPr>
      <w:r>
        <w:t>there is no explicit encoding method for lacunae from the beginning of a line to a certain point, or from a certain point to the end of a line, since this is clearly implied by the encoding of the lacuna and the line beginnings</w:t>
      </w:r>
    </w:p>
    <w:p w14:paraId="00256162" w14:textId="77777777">
      <w:pPr>
        <w:pStyle w:val="Lista3"/>
      </w:pPr>
      <w:r>
        <w:t xml:space="preserve">e.g. </w:t>
      </w:r>
      <w:r>
        <w:rPr>
          <w:rStyle w:val="Code"/>
        </w:rPr>
        <w:t xml:space="preserve">&lt;lb </w:t>
      </w:r>
      <w:r>
        <w:rPr>
          <w:rStyle w:val="Codeattribute"/>
        </w:rPr>
        <w:t>n=</w:t>
      </w:r>
      <w:r>
        <w:rPr>
          <w:rStyle w:val="Codevalue"/>
        </w:rPr>
        <w:t>"1"</w:t>
      </w:r>
      <w:r>
        <w:rPr>
          <w:rStyle w:val="Code"/>
        </w:rPr>
        <w:t>/&gt;</w:t>
      </w:r>
      <w:r>
        <w:rPr>
          <w:rStyle w:val="Codetext"/>
        </w:rPr>
        <w:t xml:space="preserve">śrīmad-asanapura-nivāsa </w:t>
      </w:r>
      <w:r>
        <w:rPr>
          <w:rStyle w:val="Code"/>
        </w:rPr>
        <w:t xml:space="preserve">&lt;gap </w:t>
      </w:r>
      <w:r>
        <w:rPr>
          <w:rStyle w:val="Codeattribute"/>
        </w:rPr>
        <w:t>reason=</w:t>
      </w:r>
      <w:r>
        <w:rPr>
          <w:rStyle w:val="Codevalue"/>
        </w:rPr>
        <w:t>"lost"</w:t>
      </w:r>
      <w:r>
        <w:rPr>
          <w:rStyle w:val="Code"/>
        </w:rPr>
        <w:t xml:space="preserve"> </w:t>
      </w:r>
      <w:r>
        <w:rPr>
          <w:rStyle w:val="Codeattribute"/>
        </w:rPr>
        <w:t>quantity=</w:t>
      </w:r>
      <w:r>
        <w:rPr>
          <w:rStyle w:val="Codevalue"/>
        </w:rPr>
        <w:t>"15"</w:t>
      </w:r>
      <w:r>
        <w:rPr>
          <w:rStyle w:val="Code"/>
        </w:rPr>
        <w:t xml:space="preserve"> </w:t>
      </w:r>
      <w:r>
        <w:rPr>
          <w:rStyle w:val="Codeattribute"/>
        </w:rPr>
        <w:t>unit=</w:t>
      </w:r>
      <w:r>
        <w:rPr>
          <w:rStyle w:val="Codevalue"/>
        </w:rPr>
        <w:t>"character"</w:t>
      </w:r>
      <w:r>
        <w:rPr>
          <w:rStyle w:val="Code"/>
        </w:rPr>
        <w:t xml:space="preserve"> </w:t>
      </w:r>
      <w:r>
        <w:rPr>
          <w:rStyle w:val="Codeattribute"/>
        </w:rPr>
        <w:t>precision=</w:t>
      </w:r>
      <w:r>
        <w:rPr>
          <w:rStyle w:val="Codevalue"/>
        </w:rPr>
        <w:t>"low"</w:t>
      </w:r>
      <w:r>
        <w:rPr>
          <w:rStyle w:val="Code"/>
        </w:rPr>
        <w:t xml:space="preserve">/&gt;&lt;lb </w:t>
      </w:r>
      <w:r>
        <w:rPr>
          <w:rStyle w:val="Codeattribute"/>
        </w:rPr>
        <w:t>n=</w:t>
      </w:r>
      <w:r>
        <w:rPr>
          <w:rStyle w:val="Codevalue"/>
        </w:rPr>
        <w:t>"2"</w:t>
      </w:r>
      <w:r>
        <w:rPr>
          <w:rStyle w:val="Code"/>
        </w:rPr>
        <w:t xml:space="preserve">/&gt; </w:t>
      </w:r>
    </w:p>
    <w:p w14:paraId="3515A9D2" w14:textId="77777777">
      <w:pPr>
        <w:pStyle w:val="Lista"/>
      </w:pPr>
      <w:r>
        <w:t>each encoded lacuna is an independent entity: if a single area of damage or loss causes lacunae in more than one line, the encoding does not reflect that these lacunae are connected</w:t>
      </w:r>
    </w:p>
    <w:p w14:paraId="1B20A021" w14:textId="77777777">
      <w:pPr>
        <w:pStyle w:val="Lista"/>
      </w:pPr>
      <w:r>
        <w:lastRenderedPageBreak/>
        <w:t>when an entire line is lost or illegible, but it is certain that the line did once exist, the line beginning must be encoded normally, followed by an inline lacuna and no text</w:t>
      </w:r>
    </w:p>
    <w:p w14:paraId="4DABD4C0" w14:textId="587790E2">
      <w:pPr>
        <w:pStyle w:val="Lista"/>
      </w:pPr>
      <w:r>
        <w:t>even when a small and precisely known number of lines are lost, it is preferable to encode line beginnings and inline lacunae for each (§</w:t>
      </w:r>
      <w:r>
        <w:rPr>
          <w:lang w:eastAsia="en-US" w:bidi="ar-SA"/>
        </w:rPr>
        <w:fldChar w:fldCharType="begin"/>
      </w:r>
      <w:r>
        <w:instrText xml:space="preserve"> REF _Ref228368995 \r \h </w:instrText>
      </w:r>
      <w:r>
        <w:rPr>
          <w:lang w:eastAsia="en-US" w:bidi="ar-SA"/>
        </w:rPr>
      </w:r>
      <w:r>
        <w:rPr>
          <w:lang w:eastAsia="en-US" w:bidi="ar-SA"/>
        </w:rPr>
        <w:fldChar w:fldCharType="separate"/>
      </w:r>
      <w:r>
        <w:t>6.5.3.1</w:t>
      </w:r>
      <w:r>
        <w:rPr>
          <w:lang w:eastAsia="en-US" w:bidi="ar-SA"/>
        </w:rPr>
        <w:fldChar w:fldCharType="end"/>
      </w:r>
      <w:r>
        <w:t>)</w:t>
      </w:r>
    </w:p>
    <w:p w14:paraId="540D9D85" w14:textId="77777777">
      <w:pPr>
        <w:pStyle w:val="Cmsor4"/>
      </w:pPr>
      <w:bookmarkStart w:id="568" w:name="_gheocos7adm9" w:colFirst="0" w:colLast="0"/>
      <w:bookmarkStart w:id="569" w:name="_Ref228267821"/>
      <w:bookmarkStart w:id="570" w:name="_Ref43981586"/>
      <w:bookmarkEnd w:id="568"/>
      <w:r>
        <w:t>Inline lacunae and intrinsic structure</w:t>
      </w:r>
      <w:bookmarkEnd w:id="569"/>
    </w:p>
    <w:p w14:paraId="2960D401" w14:textId="19A26AC3">
      <w:pPr>
        <w:rPr>
          <w:lang w:eastAsia="en-US" w:bidi="ar-SA"/>
        </w:rPr>
      </w:pPr>
      <w:r>
        <w:t>Since inline lacunae are at the same hierarchical level as the text, they are subordinate to the block-level containers for intrinsic structure (§</w:t>
      </w:r>
      <w:r>
        <w:fldChar w:fldCharType="begin"/>
      </w:r>
      <w:r>
        <w:instrText xml:space="preserve"> REF _Ref225153755 \r \h </w:instrText>
      </w:r>
      <w:r>
        <w:fldChar w:fldCharType="separate"/>
      </w:r>
      <w:r>
        <w:t>3.1</w:t>
      </w:r>
      <w:r>
        <w:fldChar w:fldCharType="end"/>
      </w:r>
      <w:r>
        <w:t>), with the following implications.</w:t>
      </w:r>
    </w:p>
    <w:p w14:paraId="02B1F84B" w14:textId="77777777">
      <w:pPr>
        <w:pStyle w:val="Lista"/>
        <w:rPr>
          <w:lang w:eastAsia="en-US" w:bidi="ar-SA"/>
        </w:rPr>
      </w:pPr>
      <w:r>
        <w:rPr>
          <w:lang w:eastAsia="en-US" w:bidi="ar-SA"/>
        </w:rPr>
        <w:t>when a lacuna affects both sides of a (presumable) boundary between units of intrinsic structure, then</w:t>
      </w:r>
    </w:p>
    <w:p w14:paraId="008F0521" w14:textId="77777777">
      <w:pPr>
        <w:pStyle w:val="Lista2"/>
        <w:rPr>
          <w:lang w:eastAsia="en-US" w:bidi="ar-SA"/>
        </w:rPr>
      </w:pPr>
      <w:r>
        <w:rPr>
          <w:lang w:eastAsia="en-US" w:bidi="ar-SA"/>
        </w:rPr>
        <w:t>the boundary must be reconstructed and encoded at its estimated position</w:t>
      </w:r>
    </w:p>
    <w:p w14:paraId="09C47918" w14:textId="77777777">
      <w:pPr>
        <w:pStyle w:val="Lista2"/>
        <w:rPr>
          <w:lang w:eastAsia="en-US" w:bidi="ar-SA"/>
        </w:rPr>
      </w:pPr>
      <w:r>
        <w:rPr>
          <w:lang w:eastAsia="en-US" w:bidi="ar-SA"/>
        </w:rPr>
        <w:t>separate inline lacunae must be encoded on both sides of the boundary</w:t>
      </w:r>
    </w:p>
    <w:p w14:paraId="5166375F" w14:textId="77777777">
      <w:pPr>
        <w:pStyle w:val="Lista"/>
        <w:rPr>
          <w:lang w:eastAsia="en-US" w:bidi="ar-SA"/>
        </w:rPr>
      </w:pPr>
      <w:r>
        <w:rPr>
          <w:lang w:eastAsia="en-US" w:bidi="ar-SA"/>
        </w:rPr>
        <w:t>especially in verse, a physically single lacuna may affect multiple phrase-level containers one after the other</w:t>
      </w:r>
    </w:p>
    <w:p w14:paraId="5967244A" w14:textId="77777777">
      <w:pPr>
        <w:pStyle w:val="Lista2"/>
      </w:pPr>
      <w:r>
        <w:t xml:space="preserve">the structural framework of stanzas </w:t>
      </w:r>
      <w:r>
        <w:rPr>
          <w:noProof/>
        </w:rPr>
        <w:t>(</w:t>
      </w:r>
      <w:r>
        <w:t xml:space="preserve">i.e. the </w:t>
      </w:r>
      <w:r>
        <w:rPr>
          <w:rStyle w:val="Code"/>
        </w:rPr>
        <w:t>&lt;lg&gt;</w:t>
      </w:r>
      <w:r>
        <w:t xml:space="preserve"> element and the applicable number of </w:t>
      </w:r>
      <w:r>
        <w:rPr>
          <w:rStyle w:val="Code"/>
        </w:rPr>
        <w:t>&lt;l&gt;</w:t>
      </w:r>
      <w:r>
        <w:t xml:space="preserve"> elements) must as a rule be fully encoded even if a significant part of a stanza is lost</w:t>
      </w:r>
    </w:p>
    <w:p w14:paraId="33BC625F" w14:textId="767083DE">
      <w:pPr>
        <w:pStyle w:val="Lista2"/>
      </w:pPr>
      <w:r>
        <w:t xml:space="preserve">separate inline lacunae must then be distributed accordingly into each container, as in </w:t>
      </w:r>
      <w:r>
        <w:fldChar w:fldCharType="begin"/>
      </w:r>
      <w:r>
        <w:instrText xml:space="preserve"> REF _Ref181695652 \h </w:instrText>
      </w:r>
      <w:r>
        <w:fldChar w:fldCharType="separate"/>
      </w:r>
      <w:r>
        <w:t xml:space="preserve">Exhibit </w:t>
      </w:r>
      <w:r>
        <w:rPr>
          <w:noProof/>
        </w:rPr>
        <w:t>6.5</w:t>
      </w:r>
      <w:r>
        <w:t>.</w:t>
      </w:r>
      <w:r>
        <w:rPr>
          <w:noProof/>
        </w:rPr>
        <w:t>A</w:t>
      </w:r>
      <w:r>
        <w:fldChar w:fldCharType="end"/>
      </w:r>
    </w:p>
    <w:tbl>
      <w:tblPr>
        <w:tblStyle w:val="CodeSampleTable"/>
        <w:tblW w:w="5000" w:type="pct"/>
        <w:tblLook w:val="04A0" w:firstRow="1" w:lastRow="0" w:firstColumn="1" w:lastColumn="0" w:noHBand="0" w:noVBand="1"/>
      </w:tblPr>
      <w:tblGrid>
        <w:gridCol w:w="9628"/>
      </w:tblGrid>
      <w:tr w14:paraId="49D465B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D16AC14" w14:textId="09995CF0">
            <w:pPr>
              <w:pStyle w:val="Kpalrs"/>
            </w:pPr>
            <w:bookmarkStart w:id="571" w:name="_Ref181695652"/>
            <w:bookmarkStart w:id="572" w:name="_Ref181695649"/>
            <w:r>
              <w:t xml:space="preserve">Exhibit </w:t>
            </w:r>
            <w:fldSimple w:instr=" STYLEREF 2 \s ">
              <w:r>
                <w:rPr>
                  <w:noProof/>
                </w:rPr>
                <w:t>6.5</w:t>
              </w:r>
            </w:fldSimple>
            <w:r>
              <w:t>.</w:t>
            </w:r>
            <w:fldSimple w:instr=" SEQ Exhibit \* ALPHABETIC \s 2 ">
              <w:r>
                <w:rPr>
                  <w:noProof/>
                </w:rPr>
                <w:t>A</w:t>
              </w:r>
            </w:fldSimple>
            <w:bookmarkEnd w:id="571"/>
            <w:r>
              <w:t>: structural markup in lacunose verse</w:t>
            </w:r>
            <w:bookmarkEnd w:id="572"/>
          </w:p>
        </w:tc>
      </w:tr>
      <w:tr w14:paraId="49E41DB3" w14:textId="77777777">
        <w:tc>
          <w:tcPr>
            <w:tcW w:w="5000" w:type="pct"/>
          </w:tcPr>
          <w:p w14:paraId="744FE1C4" w14:textId="77777777">
            <w:pPr>
              <w:pStyle w:val="CodeParagraph"/>
              <w:keepNext/>
              <w:rPr>
                <w:rStyle w:val="Code"/>
              </w:rPr>
            </w:pPr>
            <w:r>
              <w:rPr>
                <w:rStyle w:val="Code"/>
              </w:rPr>
              <w:t xml:space="preserve">&lt;lg </w:t>
            </w:r>
            <w:r>
              <w:rPr>
                <w:rStyle w:val="Codeattribute"/>
              </w:rPr>
              <w:t>n=</w:t>
            </w:r>
            <w:r>
              <w:rPr>
                <w:rStyle w:val="Codevalue"/>
              </w:rPr>
              <w:t>"25"</w:t>
            </w:r>
            <w:r>
              <w:rPr>
                <w:rStyle w:val="Code"/>
              </w:rPr>
              <w:t xml:space="preserve"> </w:t>
            </w:r>
            <w:r>
              <w:rPr>
                <w:rStyle w:val="Codeattribute"/>
              </w:rPr>
              <w:t>met=</w:t>
            </w:r>
            <w:r>
              <w:rPr>
                <w:rStyle w:val="Codevalue"/>
              </w:rPr>
              <w:t>"anuṣṭubh"</w:t>
            </w:r>
            <w:r>
              <w:rPr>
                <w:rStyle w:val="Code"/>
              </w:rPr>
              <w:t>&gt;</w:t>
            </w:r>
          </w:p>
          <w:p w14:paraId="379521CD" w14:textId="77777777">
            <w:pPr>
              <w:pStyle w:val="CodeParagraph"/>
              <w:keepNext/>
              <w:rPr>
                <w:rStyle w:val="Code"/>
              </w:rPr>
            </w:pPr>
            <w:r>
              <w:rPr>
                <w:rStyle w:val="Code"/>
              </w:rPr>
              <w:t xml:space="preserve">  &lt;l </w:t>
            </w:r>
            <w:r>
              <w:rPr>
                <w:rStyle w:val="Codeattribute"/>
              </w:rPr>
              <w:t>n=</w:t>
            </w:r>
            <w:r>
              <w:rPr>
                <w:rStyle w:val="Codevalue"/>
              </w:rPr>
              <w:t>"a"</w:t>
            </w:r>
            <w:r>
              <w:rPr>
                <w:rStyle w:val="Code"/>
              </w:rPr>
              <w:t xml:space="preserve">&gt;&lt;gap </w:t>
            </w:r>
            <w:r>
              <w:rPr>
                <w:rStyle w:val="Codeattribute"/>
              </w:rPr>
              <w:t>reason=</w:t>
            </w:r>
            <w:r>
              <w:rPr>
                <w:rStyle w:val="Codevalue"/>
              </w:rPr>
              <w:t>"illegible"</w:t>
            </w:r>
            <w:r>
              <w:rPr>
                <w:rStyle w:val="Code"/>
              </w:rPr>
              <w:t xml:space="preserve"> </w:t>
            </w:r>
            <w:r>
              <w:rPr>
                <w:rStyle w:val="Codeattribute"/>
              </w:rPr>
              <w:t>quantity=</w:t>
            </w:r>
            <w:r>
              <w:rPr>
                <w:rStyle w:val="Codevalue"/>
              </w:rPr>
              <w:t>"8"</w:t>
            </w:r>
            <w:r>
              <w:rPr>
                <w:rStyle w:val="Code"/>
              </w:rPr>
              <w:t xml:space="preserve"> </w:t>
            </w:r>
            <w:r>
              <w:rPr>
                <w:rStyle w:val="Codeattribute"/>
              </w:rPr>
              <w:t>unit=</w:t>
            </w:r>
            <w:r>
              <w:rPr>
                <w:rStyle w:val="Codevalue"/>
              </w:rPr>
              <w:t>"character"</w:t>
            </w:r>
            <w:r>
              <w:rPr>
                <w:rStyle w:val="Code"/>
              </w:rPr>
              <w:t>/&gt;&lt;/l&gt;</w:t>
            </w:r>
          </w:p>
          <w:p w14:paraId="6F3E8A37" w14:textId="77777777">
            <w:pPr>
              <w:pStyle w:val="CodeParagraph"/>
              <w:keepNext/>
              <w:rPr>
                <w:rStyle w:val="Code"/>
              </w:rPr>
            </w:pPr>
            <w:r>
              <w:rPr>
                <w:rStyle w:val="Code"/>
              </w:rPr>
              <w:t xml:space="preserve">  &lt;l </w:t>
            </w:r>
            <w:r>
              <w:rPr>
                <w:rStyle w:val="Codeattribute"/>
              </w:rPr>
              <w:t>n=</w:t>
            </w:r>
            <w:r>
              <w:rPr>
                <w:rStyle w:val="Codevalue"/>
              </w:rPr>
              <w:t>"b"</w:t>
            </w:r>
            <w:r>
              <w:rPr>
                <w:rStyle w:val="Code"/>
              </w:rPr>
              <w:t xml:space="preserve">&gt;&lt;gap </w:t>
            </w:r>
            <w:r>
              <w:rPr>
                <w:rStyle w:val="Codeattribute"/>
              </w:rPr>
              <w:t>reason=</w:t>
            </w:r>
            <w:r>
              <w:rPr>
                <w:rStyle w:val="Codevalue"/>
              </w:rPr>
              <w:t>"illegible"</w:t>
            </w:r>
            <w:r>
              <w:rPr>
                <w:rStyle w:val="Code"/>
              </w:rPr>
              <w:t xml:space="preserve"> </w:t>
            </w:r>
            <w:r>
              <w:rPr>
                <w:rStyle w:val="Codeattribute"/>
              </w:rPr>
              <w:t>quantity=</w:t>
            </w:r>
            <w:r>
              <w:rPr>
                <w:rStyle w:val="Codevalue"/>
              </w:rPr>
              <w:t>"8"</w:t>
            </w:r>
            <w:r>
              <w:rPr>
                <w:rStyle w:val="Code"/>
              </w:rPr>
              <w:t xml:space="preserve"> </w:t>
            </w:r>
            <w:r>
              <w:rPr>
                <w:rStyle w:val="Codeattribute"/>
              </w:rPr>
              <w:t>unit=</w:t>
            </w:r>
            <w:r>
              <w:rPr>
                <w:rStyle w:val="Codevalue"/>
              </w:rPr>
              <w:t>"character"</w:t>
            </w:r>
            <w:r>
              <w:rPr>
                <w:rStyle w:val="Code"/>
              </w:rPr>
              <w:t>/&gt;&lt;/l&gt;</w:t>
            </w:r>
          </w:p>
          <w:p w14:paraId="4D494A87" w14:textId="77777777">
            <w:pPr>
              <w:pStyle w:val="CodeParagraph"/>
              <w:keepNext/>
              <w:rPr>
                <w:rStyle w:val="Code"/>
              </w:rPr>
            </w:pPr>
            <w:r>
              <w:rPr>
                <w:rStyle w:val="Code"/>
              </w:rPr>
              <w:t xml:space="preserve">  &lt;l </w:t>
            </w:r>
            <w:r>
              <w:rPr>
                <w:rStyle w:val="Codeattribute"/>
              </w:rPr>
              <w:t>n=</w:t>
            </w:r>
            <w:r>
              <w:rPr>
                <w:rStyle w:val="Code"/>
              </w:rPr>
              <w:t>"</w:t>
            </w:r>
            <w:r>
              <w:rPr>
                <w:rStyle w:val="Codevalue"/>
              </w:rPr>
              <w:t>c"</w:t>
            </w:r>
            <w:r>
              <w:rPr>
                <w:rStyle w:val="Code"/>
              </w:rPr>
              <w:t xml:space="preserve">&gt;&lt;gap </w:t>
            </w:r>
            <w:r>
              <w:rPr>
                <w:rStyle w:val="Codeattribute"/>
              </w:rPr>
              <w:t>reason=</w:t>
            </w:r>
            <w:r>
              <w:rPr>
                <w:rStyle w:val="Codevalue"/>
              </w:rPr>
              <w:t>"illegible"</w:t>
            </w:r>
            <w:r>
              <w:rPr>
                <w:rStyle w:val="Code"/>
              </w:rPr>
              <w:t xml:space="preserve"> </w:t>
            </w:r>
            <w:r>
              <w:rPr>
                <w:rStyle w:val="Codeattribute"/>
              </w:rPr>
              <w:t>quantity=</w:t>
            </w:r>
            <w:r>
              <w:rPr>
                <w:rStyle w:val="Codevalue"/>
              </w:rPr>
              <w:t>"8"</w:t>
            </w:r>
            <w:r>
              <w:rPr>
                <w:rStyle w:val="Code"/>
              </w:rPr>
              <w:t xml:space="preserve"> </w:t>
            </w:r>
            <w:r>
              <w:rPr>
                <w:rStyle w:val="Codeattribute"/>
              </w:rPr>
              <w:t>unit=</w:t>
            </w:r>
            <w:r>
              <w:rPr>
                <w:rStyle w:val="Codevalue"/>
              </w:rPr>
              <w:t>"character"</w:t>
            </w:r>
            <w:r>
              <w:rPr>
                <w:rStyle w:val="Code"/>
              </w:rPr>
              <w:t>/&gt;&lt;/l&gt;</w:t>
            </w:r>
          </w:p>
          <w:p w14:paraId="0FBD0246" w14:textId="77777777">
            <w:pPr>
              <w:pStyle w:val="CodeParagraph"/>
              <w:keepNext/>
              <w:rPr>
                <w:rStyle w:val="Code"/>
              </w:rPr>
            </w:pPr>
            <w:r>
              <w:rPr>
                <w:rStyle w:val="Code"/>
              </w:rPr>
              <w:t xml:space="preserve">  &lt;l </w:t>
            </w:r>
            <w:r>
              <w:rPr>
                <w:rStyle w:val="Codeattribute"/>
              </w:rPr>
              <w:t>n=</w:t>
            </w:r>
            <w:r>
              <w:rPr>
                <w:rStyle w:val="Code"/>
              </w:rPr>
              <w:t>"</w:t>
            </w:r>
            <w:r>
              <w:rPr>
                <w:rStyle w:val="Codevalue"/>
              </w:rPr>
              <w:t>d"</w:t>
            </w:r>
            <w:r>
              <w:rPr>
                <w:rStyle w:val="Code"/>
              </w:rPr>
              <w:t xml:space="preserve">&gt;&lt;gap </w:t>
            </w:r>
            <w:r>
              <w:rPr>
                <w:rStyle w:val="Codeattribute"/>
              </w:rPr>
              <w:t>reason=</w:t>
            </w:r>
            <w:r>
              <w:rPr>
                <w:rStyle w:val="Codevalue"/>
              </w:rPr>
              <w:t>"illegible"</w:t>
            </w:r>
            <w:r>
              <w:rPr>
                <w:rStyle w:val="Code"/>
              </w:rPr>
              <w:t xml:space="preserve"> </w:t>
            </w:r>
            <w:r>
              <w:rPr>
                <w:rStyle w:val="Codeattribute"/>
              </w:rPr>
              <w:t>quantity=</w:t>
            </w:r>
            <w:r>
              <w:rPr>
                <w:rStyle w:val="Codevalue"/>
              </w:rPr>
              <w:t>"4"</w:t>
            </w:r>
            <w:r>
              <w:rPr>
                <w:rStyle w:val="Code"/>
              </w:rPr>
              <w:t xml:space="preserve"> </w:t>
            </w:r>
            <w:r>
              <w:rPr>
                <w:rStyle w:val="Codeattribute"/>
              </w:rPr>
              <w:t>unit=</w:t>
            </w:r>
            <w:r>
              <w:rPr>
                <w:rStyle w:val="Codevalue"/>
              </w:rPr>
              <w:t>"character"</w:t>
            </w:r>
            <w:r>
              <w:rPr>
                <w:rStyle w:val="Code"/>
              </w:rPr>
              <w:t xml:space="preserve">/&gt;&lt;lb </w:t>
            </w:r>
            <w:r>
              <w:rPr>
                <w:rStyle w:val="Codeattribute"/>
              </w:rPr>
              <w:t>n=</w:t>
            </w:r>
            <w:r>
              <w:rPr>
                <w:rStyle w:val="Codevalue"/>
              </w:rPr>
              <w:t>"72"</w:t>
            </w:r>
            <w:r>
              <w:rPr>
                <w:rStyle w:val="Code"/>
              </w:rPr>
              <w:t xml:space="preserve"> </w:t>
            </w:r>
            <w:r>
              <w:rPr>
                <w:rStyle w:val="Codeattribute"/>
              </w:rPr>
              <w:t>break=</w:t>
            </w:r>
            <w:r>
              <w:rPr>
                <w:rStyle w:val="Codevalue"/>
              </w:rPr>
              <w:t>"no"</w:t>
            </w:r>
            <w:r>
              <w:rPr>
                <w:rStyle w:val="Code"/>
              </w:rPr>
              <w:t>/&gt;yate kr̥miḥ&lt;/l&gt;</w:t>
            </w:r>
          </w:p>
          <w:p w14:paraId="610CFA1D" w14:textId="77777777">
            <w:pPr>
              <w:pStyle w:val="CodeParagraph"/>
              <w:keepNext/>
            </w:pPr>
            <w:r>
              <w:rPr>
                <w:rStyle w:val="Code"/>
              </w:rPr>
              <w:t>&lt;/lg&gt;</w:t>
            </w:r>
          </w:p>
        </w:tc>
      </w:tr>
      <w:tr w14:paraId="4A77FD9C" w14:textId="77777777">
        <w:tc>
          <w:tcPr>
            <w:tcW w:w="5000" w:type="pct"/>
          </w:tcPr>
          <w:p w14:paraId="4F543CD6" w14:textId="77777777">
            <w:pPr>
              <w:pStyle w:val="TableNote"/>
            </w:pPr>
            <w:r>
              <w:t>only the last line on this copper plate is legible, starting with the end of a known stanza</w:t>
            </w:r>
          </w:p>
          <w:p w14:paraId="6DAEAB4A" w14:textId="77777777">
            <w:pPr>
              <w:pStyle w:val="TableNote"/>
            </w:pPr>
            <w:r>
              <w:t>the rest of this stanza would have been engraved in the now illegible penultimate line</w:t>
            </w:r>
          </w:p>
          <w:p w14:paraId="60EE3602" w14:textId="77777777">
            <w:pPr>
              <w:pStyle w:val="TableNote"/>
            </w:pPr>
            <w:r>
              <w:t>the editor chose not to restore the text because any one of several known variants of the stanza may have been used here</w:t>
            </w:r>
          </w:p>
          <w:p w14:paraId="2D9ADBF2" w14:textId="77777777">
            <w:pPr>
              <w:pStyle w:val="TableNote"/>
            </w:pPr>
            <w:r>
              <w:t>verse markup has been created for all four lines of the stanza, each containing a lacuna of eight characters</w:t>
            </w:r>
          </w:p>
          <w:p w14:paraId="28F49800" w14:textId="219B748D">
            <w:pPr>
              <w:pStyle w:val="TableNote"/>
            </w:pPr>
            <w:r>
              <w:t>the prosody of the missing text (§</w:t>
            </w:r>
            <w:r>
              <w:fldChar w:fldCharType="begin"/>
            </w:r>
            <w:r>
              <w:instrText xml:space="preserve"> REF _Ref228267857 \r \h </w:instrText>
            </w:r>
            <w:r>
              <w:fldChar w:fldCharType="separate"/>
            </w:r>
            <w:r>
              <w:t>6.5.2.3</w:t>
            </w:r>
            <w:r>
              <w:fldChar w:fldCharType="end"/>
            </w:r>
            <w:r>
              <w:t>) has not been encoded because doing so would not help in reconstructing the missing text</w:t>
            </w:r>
          </w:p>
        </w:tc>
      </w:tr>
    </w:tbl>
    <w:p w14:paraId="784919B1" w14:textId="77777777">
      <w:pPr>
        <w:pStyle w:val="Cmsor4"/>
      </w:pPr>
      <w:bookmarkStart w:id="573" w:name="_Ref228267857"/>
      <w:bookmarkStart w:id="574" w:name="_Ref228275301"/>
      <w:r>
        <w:t xml:space="preserve">Lacunae with known </w:t>
      </w:r>
      <w:bookmarkEnd w:id="570"/>
      <w:bookmarkEnd w:id="573"/>
      <w:r>
        <w:t>prosody</w:t>
      </w:r>
      <w:bookmarkEnd w:id="574"/>
    </w:p>
    <w:p w14:paraId="276B9B35" w14:textId="34C8E115">
      <w:pPr>
        <w:rPr>
          <w:lang w:eastAsia="en-US" w:bidi="ar-SA"/>
        </w:rPr>
      </w:pPr>
      <w:r>
        <w:rPr>
          <w:lang w:eastAsia="en-US" w:bidi="ar-SA"/>
        </w:rPr>
        <w:t xml:space="preserve">When the prosodic pattern of a lacuna can be established from the context, a representation of this pattern can be added to the encoding of the lacuna. Doing so is strongly recommended for all short lacunae in syllabo-quantitative verse, where explicitly representing the pattern may help the reader perceive the extant text as verse and may be an aid to conjectural restoration of the lost text. Because the overall prosodic pattern for a stanza is already encoded on its block-level container, encoding the prosody of longer gaps, especially complete verse lines, is not essential, but nonetheless desirable. When prosody is encoded for lacunae stretching across verse line boundaries, separate </w:t>
      </w:r>
      <w:r>
        <w:rPr>
          <w:rStyle w:val="Code"/>
        </w:rPr>
        <w:t>&lt;gap/&gt;</w:t>
      </w:r>
      <w:r>
        <w:t xml:space="preserve"> elements must of course be created within each line container as per §</w:t>
      </w:r>
      <w:r>
        <w:fldChar w:fldCharType="begin"/>
      </w:r>
      <w:r>
        <w:instrText xml:space="preserve"> REF _Ref228267821 \r \h </w:instrText>
      </w:r>
      <w:r>
        <w:fldChar w:fldCharType="separate"/>
      </w:r>
      <w:r>
        <w:t>6.5.2.2</w:t>
      </w:r>
      <w:r>
        <w:fldChar w:fldCharType="end"/>
      </w:r>
      <w:r>
        <w:t>.</w:t>
      </w:r>
    </w:p>
    <w:p w14:paraId="662DF620" w14:textId="77777777">
      <w:pPr>
        <w:pStyle w:val="Lista"/>
        <w:rPr>
          <w:rStyle w:val="Codeattribute"/>
          <w:rFonts w:ascii="Gentium" w:hAnsi="Gentium" w:cs="Tiro Devanagari Sanskrit"/>
          <w:noProof w:val="0"/>
          <w:color w:val="auto"/>
          <w:shd w:val="clear" w:color="auto" w:fill="auto"/>
        </w:rPr>
      </w:pPr>
      <w:r>
        <w:t xml:space="preserve">to add a prosodic pattern to an encoded inline lacuna, wrap the </w:t>
      </w:r>
      <w:r>
        <w:rPr>
          <w:rStyle w:val="Code"/>
        </w:rPr>
        <w:t>&lt;gap/&gt;</w:t>
      </w:r>
      <w:r>
        <w:t xml:space="preserve"> element in a </w:t>
      </w:r>
      <w:r>
        <w:rPr>
          <w:rStyle w:val="Code"/>
        </w:rPr>
        <w:t>&lt;seg&gt;</w:t>
      </w:r>
      <w:r>
        <w:t xml:space="preserve"> element with the attribute </w:t>
      </w:r>
      <w:r>
        <w:rPr>
          <w:rStyle w:val="Codeattribute"/>
        </w:rPr>
        <w:t>@met</w:t>
      </w:r>
    </w:p>
    <w:p w14:paraId="0C481A78" w14:textId="61324E49">
      <w:pPr>
        <w:pStyle w:val="Lista2"/>
      </w:pPr>
      <w:r>
        <w:t>the value of this attribute shall be the prosodic pattern of the missing text, in ASCII prosodic code (VG §1.4)</w:t>
      </w:r>
    </w:p>
    <w:p w14:paraId="452C3633" w14:textId="77777777">
      <w:pPr>
        <w:pStyle w:val="Lista2"/>
      </w:pPr>
      <w:r>
        <w:t xml:space="preserve">example in a syllabo-quantitative metre </w:t>
      </w:r>
      <w:r>
        <w:rPr>
          <w:noProof/>
        </w:rPr>
        <w:t>(</w:t>
      </w:r>
      <w:r>
        <w:rPr>
          <w:rStyle w:val="Foreign"/>
        </w:rPr>
        <w:t>vasantatilakā</w:t>
      </w:r>
      <w:r>
        <w:t xml:space="preserve">, </w:t>
      </w:r>
      <w:r>
        <w:rPr>
          <w:rStyle w:val="MetreCode"/>
        </w:rPr>
        <w:t>––⏑–⏑⏑⏑–⏑⏑–⏑–⏓</w:t>
      </w:r>
      <w:r>
        <w:t xml:space="preserve">): </w:t>
      </w:r>
      <w:r>
        <w:rPr>
          <w:rStyle w:val="Code"/>
        </w:rPr>
        <w:t xml:space="preserve">&lt;seg </w:t>
      </w:r>
      <w:r>
        <w:rPr>
          <w:rStyle w:val="Codeattribute"/>
        </w:rPr>
        <w:t>met</w:t>
      </w:r>
      <w:r>
        <w:rPr>
          <w:rStyle w:val="Code"/>
        </w:rPr>
        <w:t>=</w:t>
      </w:r>
      <w:r>
        <w:rPr>
          <w:rStyle w:val="Codevalue"/>
        </w:rPr>
        <w:t>"++-+---+-"</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"9"</w:t>
      </w:r>
      <w:r>
        <w:rPr>
          <w:rStyle w:val="Code"/>
        </w:rPr>
        <w:t xml:space="preserve"> </w:t>
      </w:r>
      <w:r>
        <w:rPr>
          <w:rStyle w:val="Codeattribute"/>
        </w:rPr>
        <w:t>unit</w:t>
      </w:r>
      <w:r>
        <w:rPr>
          <w:rStyle w:val="Code"/>
        </w:rPr>
        <w:t>=</w:t>
      </w:r>
      <w:r>
        <w:rPr>
          <w:rStyle w:val="Codevalue"/>
        </w:rPr>
        <w:t>"character"</w:t>
      </w:r>
      <w:r>
        <w:rPr>
          <w:rStyle w:val="Code"/>
        </w:rPr>
        <w:t>/&gt;&lt;/seg&gt;</w:t>
      </w:r>
      <w:r>
        <w:rPr>
          <w:rStyle w:val="Codetext"/>
        </w:rPr>
        <w:t xml:space="preserve"> suvarṇṇa-dāne</w:t>
      </w:r>
    </w:p>
    <w:p w14:paraId="4C281CBE" w14:textId="77777777">
      <w:pPr>
        <w:pStyle w:val="Lista"/>
      </w:pPr>
      <w:r>
        <w:t>when encoding the prosody of lost text, disregard:</w:t>
      </w:r>
    </w:p>
    <w:p w14:paraId="39E3732D" w14:textId="77777777">
      <w:pPr>
        <w:pStyle w:val="Lista2"/>
      </w:pPr>
      <w:r>
        <w:t xml:space="preserve">caesurae </w:t>
      </w:r>
      <w:r>
        <w:rPr>
          <w:noProof/>
        </w:rPr>
        <w:t>(</w:t>
      </w:r>
      <w:r>
        <w:t>which may or may not have been observed by the composer)</w:t>
      </w:r>
    </w:p>
    <w:p w14:paraId="65C64A21" w14:textId="77777777">
      <w:pPr>
        <w:pStyle w:val="Lista2"/>
      </w:pPr>
      <w:r>
        <w:t xml:space="preserve">complex nuanced constraints, such as those applicable to the first half of an </w:t>
      </w:r>
      <w:r>
        <w:rPr>
          <w:rStyle w:val="Foreign"/>
        </w:rPr>
        <w:t>anuṣṭubh</w:t>
      </w:r>
      <w:r>
        <w:t xml:space="preserve"> line</w:t>
      </w:r>
    </w:p>
    <w:p w14:paraId="0316CA74" w14:textId="77777777">
      <w:pPr>
        <w:pStyle w:val="Lista3"/>
      </w:pPr>
      <w:r>
        <w:t xml:space="preserve">instead, any syllable that is not fully determined by the template should be denoted as anceps, e.g. </w:t>
      </w:r>
      <w:r>
        <w:rPr>
          <w:rStyle w:val="Code"/>
        </w:rPr>
        <w:t xml:space="preserve">&lt;l </w:t>
      </w:r>
      <w:r>
        <w:rPr>
          <w:rStyle w:val="Codeattribute"/>
        </w:rPr>
        <w:t>n=</w:t>
      </w:r>
      <w:r>
        <w:rPr>
          <w:rStyle w:val="Codevalue"/>
        </w:rPr>
        <w:t>"c"</w:t>
      </w:r>
      <w:r>
        <w:rPr>
          <w:rStyle w:val="Code"/>
        </w:rPr>
        <w:t xml:space="preserve">&gt;&lt;seg </w:t>
      </w:r>
      <w:r>
        <w:rPr>
          <w:rStyle w:val="Codeattribute"/>
        </w:rPr>
        <w:t>met</w:t>
      </w:r>
      <w:r>
        <w:rPr>
          <w:rStyle w:val="Code"/>
        </w:rPr>
        <w:t>=</w:t>
      </w:r>
      <w:r>
        <w:rPr>
          <w:rStyle w:val="Codevalue"/>
        </w:rPr>
        <w:t>"====-+"</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"6"</w:t>
      </w:r>
      <w:r>
        <w:rPr>
          <w:rStyle w:val="Code"/>
        </w:rPr>
        <w:t xml:space="preserve"> </w:t>
      </w:r>
      <w:r>
        <w:rPr>
          <w:rStyle w:val="Codeattribute"/>
        </w:rPr>
        <w:t>unit</w:t>
      </w:r>
      <w:r>
        <w:rPr>
          <w:rStyle w:val="Code"/>
        </w:rPr>
        <w:t>=</w:t>
      </w:r>
      <w:r>
        <w:rPr>
          <w:rStyle w:val="Codevalue"/>
        </w:rPr>
        <w:t>"character"</w:t>
      </w:r>
      <w:r>
        <w:rPr>
          <w:rStyle w:val="Code"/>
        </w:rPr>
        <w:t>/&gt;&lt;/seg&gt;</w:t>
      </w:r>
      <w:r>
        <w:rPr>
          <w:rStyle w:val="Codetext"/>
        </w:rPr>
        <w:t>vyāpi</w:t>
      </w:r>
      <w:r>
        <w:rPr>
          <w:rStyle w:val="Code"/>
        </w:rPr>
        <w:t xml:space="preserve">&lt;/l&gt;&lt;l </w:t>
      </w:r>
      <w:r>
        <w:rPr>
          <w:rStyle w:val="Codeattribute"/>
        </w:rPr>
        <w:t>n=</w:t>
      </w:r>
      <w:r>
        <w:rPr>
          <w:rStyle w:val="Codevalue"/>
        </w:rPr>
        <w:t>"d"</w:t>
      </w:r>
      <w:r>
        <w:rPr>
          <w:rStyle w:val="Code"/>
        </w:rPr>
        <w:t>&gt;</w:t>
      </w:r>
      <w:r>
        <w:rPr>
          <w:rStyle w:val="Codetext"/>
        </w:rPr>
        <w:t>candraguptākhyam adbhutaM</w:t>
      </w:r>
      <w:r>
        <w:rPr>
          <w:rStyle w:val="Code"/>
        </w:rPr>
        <w:t>&lt;/l&gt;</w:t>
      </w:r>
    </w:p>
    <w:p w14:paraId="1C617E4A" w14:textId="77777777">
      <w:pPr>
        <w:pStyle w:val="Lista2"/>
      </w:pPr>
      <w:r>
        <w:lastRenderedPageBreak/>
        <w:t xml:space="preserve">legitimate metrical variations, as in </w:t>
      </w:r>
      <w:r>
        <w:rPr>
          <w:rStyle w:val="Foreign"/>
        </w:rPr>
        <w:t>vipulā anuṣṭubh</w:t>
      </w:r>
      <w:r>
        <w:t xml:space="preserve"> </w:t>
      </w:r>
      <w:r>
        <w:rPr>
          <w:noProof/>
        </w:rPr>
        <w:t>(</w:t>
      </w:r>
      <w:r>
        <w:t xml:space="preserve">instead, treat all lost </w:t>
      </w:r>
      <w:r>
        <w:rPr>
          <w:rStyle w:val="Foreign"/>
        </w:rPr>
        <w:t>anuṣṭubh</w:t>
      </w:r>
      <w:r>
        <w:t xml:space="preserve"> verse as </w:t>
      </w:r>
      <w:r>
        <w:rPr>
          <w:rStyle w:val="Foreign"/>
        </w:rPr>
        <w:t>pathyā</w:t>
      </w:r>
      <w:r>
        <w:t>)</w:t>
      </w:r>
    </w:p>
    <w:p w14:paraId="63368E90" w14:textId="77777777">
      <w:pPr>
        <w:pStyle w:val="Lista2"/>
        <w:rPr>
          <w:i/>
          <w:iCs/>
          <w:noProof/>
        </w:rPr>
      </w:pPr>
      <w:r>
        <w:t xml:space="preserve">and optional constraints such as </w:t>
      </w:r>
      <w:r>
        <w:rPr>
          <w:rStyle w:val="Foreign"/>
        </w:rPr>
        <w:t>vipulā</w:t>
      </w:r>
      <w:r>
        <w:t xml:space="preserve"> and </w:t>
      </w:r>
      <w:r>
        <w:rPr>
          <w:rStyle w:val="Foreign"/>
        </w:rPr>
        <w:t>capalā āryā</w:t>
      </w:r>
      <w:r>
        <w:t xml:space="preserve"> </w:t>
      </w:r>
      <w:r>
        <w:rPr>
          <w:noProof/>
        </w:rPr>
        <w:t>(</w:t>
      </w:r>
      <w:r>
        <w:t xml:space="preserve">instead, treat all lost </w:t>
      </w:r>
      <w:r>
        <w:rPr>
          <w:rStyle w:val="Foreign"/>
        </w:rPr>
        <w:t>gāthā</w:t>
      </w:r>
      <w:r>
        <w:t xml:space="preserve">-type verse as </w:t>
      </w:r>
      <w:r>
        <w:rPr>
          <w:rStyle w:val="Foreign"/>
        </w:rPr>
        <w:t>pathyā</w:t>
      </w:r>
      <w:r>
        <w:t>)</w:t>
      </w:r>
    </w:p>
    <w:p w14:paraId="3F080533" w14:textId="77777777">
      <w:pPr>
        <w:pStyle w:val="Lista"/>
      </w:pPr>
      <w:r>
        <w:t>encoding the prosody of a lacuna in moraic verse is a more complicated affair and less potentially helpful for reconstruction</w:t>
      </w:r>
    </w:p>
    <w:p w14:paraId="31BC5C08" w14:textId="77777777">
      <w:pPr>
        <w:pStyle w:val="Lista2"/>
      </w:pPr>
      <w:r>
        <w:t xml:space="preserve">lacunae in moraic verse may therefore be encoded simply as </w:t>
      </w:r>
      <w:r>
        <w:rPr>
          <w:rStyle w:val="Code"/>
        </w:rPr>
        <w:t>&lt;gap/&gt;</w:t>
      </w:r>
      <w:r>
        <w:t xml:space="preserve"> elements at your discretion</w:t>
      </w:r>
    </w:p>
    <w:p w14:paraId="222364F7" w14:textId="77777777">
      <w:pPr>
        <w:pStyle w:val="Lista3"/>
      </w:pPr>
      <w:r>
        <w:t xml:space="preserve">since the number of lost syllables cannot be determined on the basis of the metre, the length of such a lacuna must usually be estimated and accordingly encoded with </w:t>
      </w:r>
      <w:r>
        <w:rPr>
          <w:rStyle w:val="Codeattribute"/>
        </w:rPr>
        <w:t>@precision</w:t>
      </w:r>
      <w:r>
        <w:rPr>
          <w:rStyle w:val="Code"/>
        </w:rPr>
        <w:t>=</w:t>
      </w:r>
      <w:r>
        <w:rPr>
          <w:rStyle w:val="Codevalue"/>
        </w:rPr>
        <w:t>"low"</w:t>
      </w:r>
      <w:r>
        <w:t xml:space="preserve"> on the </w:t>
      </w:r>
      <w:r>
        <w:rPr>
          <w:rStyle w:val="Code"/>
        </w:rPr>
        <w:t>&lt;gap/&gt;</w:t>
      </w:r>
      <w:r>
        <w:t xml:space="preserve"> element</w:t>
      </w:r>
    </w:p>
    <w:p w14:paraId="42E52B33" w14:textId="77777777">
      <w:pPr>
        <w:pStyle w:val="Lista2"/>
      </w:pPr>
      <w:r>
        <w:t>if you choose to encode the prosody of such a lacuna, use an appropriate combination of numerical notation for mora counts with the notation of syllable length for syllables whose length can be determined on the basis of the metre and the adjacent extant text, remembering to use the foot separator | between moraic feet and adjacent feet or cola, but not at the end of a segment whose metre is encoded</w:t>
      </w:r>
    </w:p>
    <w:p w14:paraId="6CB72AB4" w14:textId="77777777">
      <w:pPr>
        <w:pStyle w:val="Lista3"/>
      </w:pPr>
      <w:r>
        <w:t xml:space="preserve">example in a moraic metre </w:t>
      </w:r>
      <w:r>
        <w:rPr>
          <w:noProof/>
        </w:rPr>
        <w:t>(</w:t>
      </w:r>
      <w:r>
        <w:rPr>
          <w:rStyle w:val="Foreign"/>
        </w:rPr>
        <w:t>āryā</w:t>
      </w:r>
      <w:r>
        <w:t xml:space="preserve">, first hemistich, 4|4|4|4|4|4|4|2): </w:t>
      </w:r>
      <w:r>
        <w:rPr>
          <w:rStyle w:val="Codetext"/>
        </w:rPr>
        <w:t xml:space="preserve">yo vīkṣya </w:t>
      </w:r>
      <w:r>
        <w:rPr>
          <w:rStyle w:val="Code"/>
        </w:rPr>
        <w:t xml:space="preserve">&lt;seg </w:t>
      </w:r>
      <w:r>
        <w:rPr>
          <w:rStyle w:val="Codeattribute"/>
        </w:rPr>
        <w:t>met</w:t>
      </w:r>
      <w:r>
        <w:rPr>
          <w:rStyle w:val="Code"/>
        </w:rPr>
        <w:t>=</w:t>
      </w:r>
      <w:r>
        <w:rPr>
          <w:rStyle w:val="Codevalue"/>
        </w:rPr>
        <w:t>"3|4|4|4|-"</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"12"</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/&gt;&lt;/seg&gt;</w:t>
      </w:r>
      <w:r>
        <w:rPr>
          <w:rStyle w:val="Codetext"/>
        </w:rPr>
        <w:t xml:space="preserve"> bandhana-niruddhaM</w:t>
      </w:r>
    </w:p>
    <w:p w14:paraId="49EE19CD" w14:textId="77777777">
      <w:pPr>
        <w:pStyle w:val="Lista4"/>
      </w:pPr>
      <w:r>
        <w:t xml:space="preserve">the first foot is </w:t>
      </w:r>
      <w:r>
        <w:rPr>
          <w:rStyle w:val="Foreign"/>
        </w:rPr>
        <w:t>yo vīkṣ</w:t>
      </w:r>
    </w:p>
    <w:p w14:paraId="4E60A237" w14:textId="77777777">
      <w:pPr>
        <w:pStyle w:val="Lista4"/>
      </w:pPr>
      <w:r>
        <w:t xml:space="preserve">in the second foot, </w:t>
      </w:r>
      <w:r>
        <w:rPr>
          <w:rStyle w:val="Foreign"/>
        </w:rPr>
        <w:t>ya</w:t>
      </w:r>
      <w:r>
        <w:t xml:space="preserve"> would have been followed by 3 morae, which may have been comprised of either 2 or 3 syllables, so only numerical notation can be used for the lost part</w:t>
      </w:r>
    </w:p>
    <w:p w14:paraId="6C3C0287" w14:textId="77777777">
      <w:pPr>
        <w:pStyle w:val="Lista4"/>
      </w:pPr>
      <w:r>
        <w:t>the third to fifth feet, each of 4 morae, are fully lost, and each may have been comprised of 2 to 4 syllables, so only numerical notation can be used for them</w:t>
      </w:r>
    </w:p>
    <w:p w14:paraId="5539DA1F" w14:textId="77777777">
      <w:pPr>
        <w:pStyle w:val="Lista4"/>
      </w:pPr>
      <w:r>
        <w:t xml:space="preserve">the sixth foot ends in </w:t>
      </w:r>
      <w:r>
        <w:rPr>
          <w:rStyle w:val="Foreign"/>
        </w:rPr>
        <w:t>bandha</w:t>
      </w:r>
      <w:r>
        <w:t xml:space="preserve"> (3 morae), so one short syllable must have been lost at the beginning of this foot</w:t>
      </w:r>
    </w:p>
    <w:p w14:paraId="2771B274" w14:textId="77777777">
      <w:pPr>
        <w:pStyle w:val="Lista4"/>
      </w:pPr>
      <w:r>
        <w:t xml:space="preserve">the seventh and eighth feet, </w:t>
      </w:r>
      <w:r>
        <w:rPr>
          <w:rStyle w:val="Foreign"/>
        </w:rPr>
        <w:t>na-niruddhaM</w:t>
      </w:r>
      <w:r>
        <w:t>, are extant</w:t>
      </w:r>
    </w:p>
    <w:p w14:paraId="4FD7C1CA" w14:textId="77777777">
      <w:pPr>
        <w:pStyle w:val="Lista3"/>
      </w:pPr>
      <w:r>
        <w:t xml:space="preserve">moraic feet may be constrained </w:t>
      </w:r>
      <w:r>
        <w:rPr>
          <w:noProof/>
        </w:rPr>
        <w:t>(</w:t>
      </w:r>
      <w:r>
        <w:t xml:space="preserve">e.g. the pattern </w:t>
      </w:r>
      <w:r>
        <w:rPr>
          <w:rStyle w:val="MetreCode"/>
        </w:rPr>
        <w:t>⏑–⏑</w:t>
      </w:r>
      <w:r>
        <w:t xml:space="preserve"> is prohibited in many tetramoraic feet), but this depth of prosodic analysis is not desirable in our encoding of the prosody of lacunae: simply encode lost tetramoraic feet as 4 regardless of whether or not they exclude certain patterns</w:t>
      </w:r>
    </w:p>
    <w:p w14:paraId="23323E52" w14:textId="77777777">
      <w:pPr>
        <w:pStyle w:val="Cmsor4"/>
      </w:pPr>
      <w:bookmarkStart w:id="575" w:name="_xrhzsspv9sor" w:colFirst="0" w:colLast="0"/>
      <w:bookmarkStart w:id="576" w:name="_Ref43987049"/>
      <w:bookmarkEnd w:id="575"/>
      <w:r>
        <w:t>Micro-level lacunae</w:t>
      </w:r>
      <w:bookmarkEnd w:id="576"/>
    </w:p>
    <w:p w14:paraId="598DA4C2" w14:textId="13202297">
      <w:r>
        <w:rPr>
          <w:lang w:eastAsia="en-US" w:bidi="ar-SA"/>
        </w:rPr>
        <w:t xml:space="preserve">As a special case of inline lacunae, the loss or illegibility of specific components of a complex glyph can be represented explicitly in our digital editions. When this level of precision is deemed worth the while, lacunae affecting parts of a complex glyph may be encoded by using </w:t>
      </w:r>
      <w:r>
        <w:rPr>
          <w:rStyle w:val="Codevalue"/>
        </w:rPr>
        <w:t>"component"</w:t>
      </w:r>
      <w:r>
        <w:t xml:space="preserve"> as the value of </w:t>
      </w:r>
      <w:r>
        <w:rPr>
          <w:rStyle w:val="Codeattribute"/>
        </w:rPr>
        <w:t>@unit</w:t>
      </w:r>
      <w:r>
        <w:rPr>
          <w:lang w:eastAsia="en-US" w:bidi="ar-SA"/>
        </w:rPr>
        <w:t xml:space="preserve"> on the </w:t>
      </w:r>
      <w:r>
        <w:rPr>
          <w:rStyle w:val="Code"/>
        </w:rPr>
        <w:t>&lt;gap&gt;</w:t>
      </w:r>
      <w:r>
        <w:t xml:space="preserve"> element and combining this with </w:t>
      </w:r>
      <w:r>
        <w:rPr>
          <w:noProof/>
        </w:rPr>
        <w:t>sub-</w:t>
      </w:r>
      <w:r>
        <w:rPr>
          <w:rStyle w:val="Foreign"/>
        </w:rPr>
        <w:t>akṣara</w:t>
      </w:r>
      <w:r>
        <w:t xml:space="preserve"> encoding (§</w:t>
      </w:r>
      <w:r>
        <w:fldChar w:fldCharType="begin"/>
      </w:r>
      <w:r>
        <w:instrText xml:space="preserve"> REF _Ref228202081 \r \h </w:instrText>
      </w:r>
      <w:r>
        <w:fldChar w:fldCharType="separate"/>
      </w:r>
      <w:r>
        <w:t>5.1.2</w:t>
      </w:r>
      <w:r>
        <w:fldChar w:fldCharType="end"/>
      </w:r>
      <w:r>
        <w:t>) in the following manner. A less sophisticated but much simpler alternative, permitted under §</w:t>
      </w:r>
      <w:r>
        <w:fldChar w:fldCharType="begin"/>
      </w:r>
      <w:r>
        <w:instrText xml:space="preserve"> REF _Ref228202081 \r \h </w:instrText>
      </w:r>
      <w:r>
        <w:fldChar w:fldCharType="separate"/>
      </w:r>
      <w:r>
        <w:t>5.1.2</w:t>
      </w:r>
      <w:r>
        <w:fldChar w:fldCharType="end"/>
      </w:r>
      <w:r>
        <w:t xml:space="preserve"> and TG§3.3.2.2, is to use the placeholders V and C instead of encoding illegible or lost graphemes as component-level lacunae.</w:t>
      </w:r>
    </w:p>
    <w:p w14:paraId="29F67F91" w14:textId="77777777">
      <w:pPr>
        <w:pStyle w:val="Lista"/>
      </w:pPr>
      <w:r>
        <w:t xml:space="preserve">mark up available parts of the same </w:t>
      </w:r>
      <w:r>
        <w:rPr>
          <w:rStyle w:val="Foreign"/>
        </w:rPr>
        <w:t>akṣara</w:t>
      </w:r>
      <w:r>
        <w:t xml:space="preserve"> normally as unclear or supplied if applicable</w:t>
      </w:r>
    </w:p>
    <w:p w14:paraId="7088B663" w14:textId="77777777">
      <w:pPr>
        <w:pStyle w:val="Lista"/>
      </w:pPr>
      <w:r>
        <w:t xml:space="preserve">at the lost component’s logical position in the transliterated text, create a </w:t>
      </w:r>
      <w:r>
        <w:rPr>
          <w:rStyle w:val="Code"/>
        </w:rPr>
        <w:t>&lt;gap/&gt;</w:t>
      </w:r>
      <w:r>
        <w:t xml:space="preserve"> element with the following attributes</w:t>
      </w:r>
    </w:p>
    <w:p w14:paraId="47C9F691" w14:textId="54B836A4">
      <w:pPr>
        <w:pStyle w:val="Lista2"/>
      </w:pPr>
      <w:r>
        <w:t xml:space="preserve">mandatorily, </w:t>
      </w:r>
      <w:r>
        <w:rPr>
          <w:rStyle w:val="Codeattribute"/>
        </w:rPr>
        <w:t>@reason</w:t>
      </w:r>
      <w:r>
        <w:t xml:space="preserve"> as per §</w:t>
      </w:r>
      <w:r>
        <w:fldChar w:fldCharType="begin"/>
      </w:r>
      <w:r>
        <w:instrText xml:space="preserve"> REF _Ref43987758 \r \h </w:instrText>
      </w:r>
      <w:r>
        <w:fldChar w:fldCharType="separate"/>
      </w:r>
      <w:r>
        <w:t>6.5.1.1</w:t>
      </w:r>
      <w:r>
        <w:fldChar w:fldCharType="end"/>
      </w:r>
    </w:p>
    <w:p w14:paraId="2A04E33B" w14:textId="77777777">
      <w:pPr>
        <w:pStyle w:val="Lista2"/>
      </w:pPr>
      <w:r>
        <w:t xml:space="preserve">mandatorily, </w:t>
      </w:r>
      <w:r>
        <w:rPr>
          <w:rStyle w:val="Codeattribute"/>
        </w:rPr>
        <w:t>@unit</w:t>
      </w:r>
      <w:r>
        <w:t xml:space="preserve"> with the value </w:t>
      </w:r>
      <w:r>
        <w:rPr>
          <w:rStyle w:val="Codevalue"/>
        </w:rPr>
        <w:t>"component"</w:t>
      </w:r>
      <w:r>
        <w:t xml:space="preserve"> </w:t>
      </w:r>
    </w:p>
    <w:p w14:paraId="188E1E03" w14:textId="77777777">
      <w:pPr>
        <w:pStyle w:val="Lista2"/>
      </w:pPr>
      <w:r>
        <w:t xml:space="preserve">mandatorily, </w:t>
      </w:r>
      <w:r>
        <w:rPr>
          <w:rStyle w:val="Codeattribute"/>
        </w:rPr>
        <w:t>@quantity</w:t>
      </w:r>
      <w:r>
        <w:t>, normally with the value of 1 (see below)</w:t>
      </w:r>
    </w:p>
    <w:p w14:paraId="1F2208D2" w14:textId="538C433E">
      <w:pPr>
        <w:pStyle w:val="Lista"/>
      </w:pPr>
      <w:r>
        <w:t xml:space="preserve">wrap the </w:t>
      </w:r>
      <w:r>
        <w:rPr>
          <w:rStyle w:val="Code"/>
        </w:rPr>
        <w:t>&lt;gap/&gt;</w:t>
      </w:r>
      <w:r>
        <w:t xml:space="preserve"> element in </w:t>
      </w:r>
      <w:r>
        <w:rPr>
          <w:rStyle w:val="Code"/>
        </w:rPr>
        <w:t xml:space="preserve">&lt;seg </w:t>
      </w:r>
      <w:r>
        <w:rPr>
          <w:rStyle w:val="Codeattribute"/>
        </w:rPr>
        <w:t>type</w:t>
      </w:r>
      <w:r>
        <w:rPr>
          <w:rStyle w:val="Code"/>
        </w:rPr>
        <w:t>=</w:t>
      </w:r>
      <w:r>
        <w:rPr>
          <w:rStyle w:val="Codevalue"/>
        </w:rPr>
        <w:t>"component"</w:t>
      </w:r>
      <w:r>
        <w:rPr>
          <w:rStyle w:val="Code"/>
        </w:rPr>
        <w:t>&gt;</w:t>
      </w:r>
      <w:r>
        <w:t xml:space="preserve"> with an applicable value of </w:t>
      </w:r>
      <w:r>
        <w:rPr>
          <w:rStyle w:val="Codeattribute"/>
        </w:rPr>
        <w:t>@subtype</w:t>
      </w:r>
      <w:r>
        <w:t xml:space="preserve"> as per §</w:t>
      </w:r>
      <w:r>
        <w:fldChar w:fldCharType="begin"/>
      </w:r>
      <w:r>
        <w:instrText xml:space="preserve"> REF _Ref43987131 \w \h  \* MERGEFORMAT </w:instrText>
      </w:r>
      <w:r>
        <w:fldChar w:fldCharType="separate"/>
      </w:r>
      <w:r>
        <w:t>5.1.2</w:t>
      </w:r>
      <w:r>
        <w:fldChar w:fldCharType="end"/>
      </w:r>
    </w:p>
    <w:p w14:paraId="77B92ED0" w14:textId="5F578D7B">
      <w:pPr>
        <w:pStyle w:val="Lista2"/>
      </w:pPr>
      <w:r>
        <w:t xml:space="preserve">if the lost component is a vowel whose prosodic length is known, then add the attribute </w:t>
      </w:r>
      <w:r>
        <w:rPr>
          <w:rStyle w:val="Codeattribute"/>
        </w:rPr>
        <w:t>@met</w:t>
      </w:r>
      <w:r>
        <w:t xml:space="preserve"> </w:t>
      </w:r>
      <w:r>
        <w:rPr>
          <w:noProof/>
        </w:rPr>
        <w:t>(</w:t>
      </w:r>
      <w:r>
        <w:t>as per §</w:t>
      </w:r>
      <w:r>
        <w:fldChar w:fldCharType="begin"/>
      </w:r>
      <w:r>
        <w:instrText xml:space="preserve"> REF _Ref228275301 \r \h </w:instrText>
      </w:r>
      <w:r>
        <w:fldChar w:fldCharType="separate"/>
      </w:r>
      <w:r>
        <w:t>6.5.2.3</w:t>
      </w:r>
      <w:r>
        <w:fldChar w:fldCharType="end"/>
      </w:r>
      <w:r>
        <w:t xml:space="preserve">) to the </w:t>
      </w:r>
      <w:r>
        <w:rPr>
          <w:rStyle w:val="Code"/>
        </w:rPr>
        <w:t xml:space="preserve">&lt;seg </w:t>
      </w:r>
      <w:r>
        <w:rPr>
          <w:rStyle w:val="Codeattribute"/>
        </w:rPr>
        <w:t>type</w:t>
      </w:r>
      <w:r>
        <w:rPr>
          <w:rStyle w:val="Code"/>
        </w:rPr>
        <w:t>=</w:t>
      </w:r>
      <w:r>
        <w:rPr>
          <w:rStyle w:val="Codevalue"/>
        </w:rPr>
        <w:t>"component"</w:t>
      </w:r>
      <w:r>
        <w:rPr>
          <w:rStyle w:val="Code"/>
        </w:rPr>
        <w:t>&gt;</w:t>
      </w:r>
      <w:r>
        <w:t xml:space="preserve"> wrapper </w:t>
      </w:r>
      <w:r>
        <w:rPr>
          <w:noProof/>
        </w:rPr>
        <w:t>(</w:t>
      </w:r>
      <w:r>
        <w:t xml:space="preserve">instead of adding an extra </w:t>
      </w:r>
      <w:r>
        <w:rPr>
          <w:rStyle w:val="Code"/>
        </w:rPr>
        <w:t>&lt;seg&gt;</w:t>
      </w:r>
      <w:r>
        <w:t xml:space="preserve"> element to be qualified by </w:t>
      </w:r>
      <w:r>
        <w:rPr>
          <w:rStyle w:val="Codeattribute"/>
        </w:rPr>
        <w:t>@met</w:t>
      </w:r>
      <w:r>
        <w:t>)</w:t>
      </w:r>
    </w:p>
    <w:p w14:paraId="1645C931" w14:textId="77777777">
      <w:pPr>
        <w:pStyle w:val="Lista3"/>
      </w:pPr>
      <w:r>
        <w:t>such markup should reflect the positional value of the vowel and not its length by nature: if a vowel is followed by more than one consonant, then it is positionally long even if it is a short vowel by nature</w:t>
      </w:r>
    </w:p>
    <w:p w14:paraId="0E44185F" w14:textId="77777777">
      <w:pPr>
        <w:pStyle w:val="Lista"/>
      </w:pPr>
      <w:r>
        <w:t xml:space="preserve">because it is the </w:t>
      </w:r>
      <w:r>
        <w:rPr>
          <w:rStyle w:val="Code"/>
        </w:rPr>
        <w:t>&lt;seg&gt;</w:t>
      </w:r>
      <w:r>
        <w:t xml:space="preserve"> wrapper that identifies the kind of component affected by the lacuna, </w:t>
      </w:r>
    </w:p>
    <w:p w14:paraId="6567B77F" w14:textId="77777777">
      <w:pPr>
        <w:pStyle w:val="Lista2"/>
      </w:pPr>
      <w:r>
        <w:t xml:space="preserve">the </w:t>
      </w:r>
      <w:r>
        <w:rPr>
          <w:rStyle w:val="Codeattribute"/>
        </w:rPr>
        <w:t>@quantity</w:t>
      </w:r>
      <w:r>
        <w:t xml:space="preserve"> of such a gap will normally be 1</w:t>
      </w:r>
    </w:p>
    <w:p w14:paraId="56F76BCF" w14:textId="77777777">
      <w:pPr>
        <w:pStyle w:val="Lista3"/>
      </w:pPr>
      <w:r>
        <w:lastRenderedPageBreak/>
        <w:t>except in rare cases where you are confident that two (or even more) components of the same kind (e.g. subscript) have been lost</w:t>
      </w:r>
    </w:p>
    <w:p w14:paraId="6CEFDAE2" w14:textId="77777777">
      <w:pPr>
        <w:pStyle w:val="Lista2"/>
      </w:pPr>
      <w:r>
        <w:t xml:space="preserve">several components lost within a single </w:t>
      </w:r>
      <w:r>
        <w:rPr>
          <w:rStyle w:val="Foreign"/>
        </w:rPr>
        <w:t>akṣara</w:t>
      </w:r>
      <w:r>
        <w:t xml:space="preserve"> must normally be encoded with a separate </w:t>
      </w:r>
      <w:r>
        <w:rPr>
          <w:rStyle w:val="Code"/>
        </w:rPr>
        <w:t>&lt;gap/&gt;</w:t>
      </w:r>
      <w:r>
        <w:t xml:space="preserve"> enclosed in a separate </w:t>
      </w:r>
      <w:r>
        <w:rPr>
          <w:rStyle w:val="Code"/>
        </w:rPr>
        <w:t>&lt;seg&gt;</w:t>
      </w:r>
    </w:p>
    <w:p w14:paraId="48AD0584" w14:textId="4EFE8114">
      <w:pPr>
        <w:pStyle w:val="Lista2"/>
      </w:pPr>
      <w:r>
        <w:t xml:space="preserve">however, a component as understood in </w:t>
      </w:r>
      <w:r>
        <w:rPr>
          <w:noProof/>
        </w:rPr>
        <w:t>sub-</w:t>
      </w:r>
      <w:r>
        <w:rPr>
          <w:rStyle w:val="Foreign"/>
        </w:rPr>
        <w:t>akṣara</w:t>
      </w:r>
      <w:r>
        <w:t xml:space="preserve"> markup (§</w:t>
      </w:r>
      <w:r>
        <w:fldChar w:fldCharType="begin"/>
      </w:r>
      <w:r>
        <w:instrText xml:space="preserve"> REF _Ref228202081 \r \h </w:instrText>
      </w:r>
      <w:r>
        <w:fldChar w:fldCharType="separate"/>
      </w:r>
      <w:r>
        <w:t>5.1.2</w:t>
      </w:r>
      <w:r>
        <w:fldChar w:fldCharType="end"/>
      </w:r>
      <w:r>
        <w:t xml:space="preserve">) is not necessarily a single glyph component (i.e. a single graph representing a single grapheme): some values of </w:t>
      </w:r>
      <w:r>
        <w:rPr>
          <w:rStyle w:val="Codeattribute"/>
        </w:rPr>
        <w:t>@subtype</w:t>
      </w:r>
      <w:r>
        <w:t xml:space="preserve"> (e.g. </w:t>
      </w:r>
      <w:r>
        <w:rPr>
          <w:rStyle w:val="Codevalue"/>
        </w:rPr>
        <w:t>"body"</w:t>
      </w:r>
      <w:r>
        <w:t xml:space="preserve">, </w:t>
      </w:r>
      <w:r>
        <w:rPr>
          <w:rStyle w:val="Codevalue"/>
        </w:rPr>
        <w:t>"conjunct"</w:t>
      </w:r>
      <w:r>
        <w:t>) permit or require more than one grapheme</w:t>
      </w:r>
    </w:p>
    <w:p w14:paraId="53593FBB" w14:textId="771878F3">
      <w:pPr>
        <w:pStyle w:val="Lista"/>
      </w:pPr>
      <w:r>
        <w:t xml:space="preserve">if you deem that the resulting complicated markup leads to potential ambiguity regarding </w:t>
      </w:r>
      <w:r>
        <w:rPr>
          <w:rStyle w:val="Foreign"/>
        </w:rPr>
        <w:t>akṣara</w:t>
      </w:r>
      <w:r>
        <w:t xml:space="preserve"> boundaries, feel free to wrap target graphemes and lacunae belonging to a single original glyph in the element </w:t>
      </w:r>
      <w:r>
        <w:rPr>
          <w:rStyle w:val="Code"/>
        </w:rPr>
        <w:t xml:space="preserve">&lt;seg </w:t>
      </w:r>
      <w:r>
        <w:rPr>
          <w:rStyle w:val="Codeattribute"/>
        </w:rPr>
        <w:t>type</w:t>
      </w:r>
      <w:r>
        <w:rPr>
          <w:rStyle w:val="Code"/>
        </w:rPr>
        <w:t>=</w:t>
      </w:r>
      <w:r>
        <w:rPr>
          <w:rStyle w:val="Codevalue"/>
        </w:rPr>
        <w:t>"aksara"</w:t>
      </w:r>
      <w:r>
        <w:rPr>
          <w:rStyle w:val="Code"/>
        </w:rPr>
        <w:t>&gt;</w:t>
      </w:r>
      <w:r>
        <w:t xml:space="preserve"> as per §</w:t>
      </w:r>
      <w:r>
        <w:fldChar w:fldCharType="begin"/>
      </w:r>
      <w:r>
        <w:instrText xml:space="preserve"> REF _Ref43987221 \w \h  \* MERGEFORMAT </w:instrText>
      </w:r>
      <w:r>
        <w:fldChar w:fldCharType="separate"/>
      </w:r>
      <w:r>
        <w:t>5.1.1</w:t>
      </w:r>
      <w:r>
        <w:fldChar w:fldCharType="end"/>
      </w:r>
    </w:p>
    <w:tbl>
      <w:tblPr>
        <w:tblStyle w:val="CodeSampleTable"/>
        <w:tblW w:w="0" w:type="auto"/>
        <w:tblLook w:val="04A0" w:firstRow="1" w:lastRow="0" w:firstColumn="1" w:lastColumn="0" w:noHBand="0" w:noVBand="1"/>
      </w:tblPr>
      <w:tblGrid>
        <w:gridCol w:w="5263"/>
        <w:gridCol w:w="4365"/>
      </w:tblGrid>
      <w:tr w14:paraId="60C12B71" w14:textId="77777777">
        <w:trPr>
          <w:cnfStyle w:val="100000000000" w:firstRow="1" w:lastRow="0" w:firstColumn="0" w:lastColumn="0" w:oddVBand="0" w:evenVBand="0" w:oddHBand="0" w:evenHBand="0" w:firstRowFirstColumn="0" w:firstRowLastColumn="0" w:lastRowFirstColumn="0" w:lastRowLastColumn="0"/>
        </w:trPr>
        <w:tc>
          <w:tcPr>
            <w:tcW w:w="9054" w:type="dxa"/>
            <w:gridSpan w:val="2"/>
          </w:tcPr>
          <w:p w14:paraId="21EEC9D1" w14:textId="4C17D61A">
            <w:pPr>
              <w:pStyle w:val="Kpalrs"/>
            </w:pPr>
            <w:r>
              <w:t xml:space="preserve">Exhibit </w:t>
            </w:r>
            <w:fldSimple w:instr=" STYLEREF 2 \s ">
              <w:r>
                <w:rPr>
                  <w:noProof/>
                </w:rPr>
                <w:t>6.5</w:t>
              </w:r>
            </w:fldSimple>
            <w:r>
              <w:t>.</w:t>
            </w:r>
            <w:fldSimple w:instr=" SEQ Exhibit \* ALPHABETIC \s 2 ">
              <w:r>
                <w:rPr>
                  <w:noProof/>
                </w:rPr>
                <w:t>B</w:t>
              </w:r>
            </w:fldSimple>
            <w:r>
              <w:t>: lost consonants</w:t>
            </w:r>
          </w:p>
        </w:tc>
      </w:tr>
      <w:tr w14:paraId="1F6E112F" w14:textId="77777777">
        <w:tc>
          <w:tcPr>
            <w:tcW w:w="5946" w:type="dxa"/>
          </w:tcPr>
          <w:p w14:paraId="6DAC8A0E" w14:textId="77777777">
            <w:pPr>
              <w:pStyle w:val="TableNote"/>
              <w:keepNext/>
            </w:pPr>
            <w:r>
              <w:t xml:space="preserve">a vowel marker for </w:t>
            </w:r>
            <w:r>
              <w:rPr>
                <w:rStyle w:val="Foreign"/>
              </w:rPr>
              <w:t>ā</w:t>
            </w:r>
            <w:r>
              <w:t xml:space="preserve"> and an </w:t>
            </w:r>
            <w:r>
              <w:rPr>
                <w:rStyle w:val="Foreign"/>
              </w:rPr>
              <w:t>anusvāra</w:t>
            </w:r>
            <w:r>
              <w:t xml:space="preserve"> are visible in the last partial line of a fragment</w:t>
            </w:r>
          </w:p>
        </w:tc>
        <w:tc>
          <w:tcPr>
            <w:tcW w:w="3108" w:type="dxa"/>
            <w:vMerge w:val="restart"/>
          </w:tcPr>
          <w:p w14:paraId="0F392C88" w14:textId="77777777">
            <w:pPr>
              <w:pStyle w:val="Image"/>
            </w:pPr>
            <w:r>
              <w:drawing>
                <wp:inline distT="114300" distB="114300" distL="114300" distR="114300" wp14:anchorId="6BAF4A2E" wp14:editId="3EBDC065">
                  <wp:extent cx="2768600" cy="1074382"/>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3"/>
                          <a:srcRect/>
                          <a:stretch>
                            <a:fillRect/>
                          </a:stretch>
                        </pic:blipFill>
                        <pic:spPr>
                          <a:xfrm>
                            <a:off x="0" y="0"/>
                            <a:ext cx="2920140" cy="1133189"/>
                          </a:xfrm>
                          <a:prstGeom prst="rect">
                            <a:avLst/>
                          </a:prstGeom>
                          <a:ln/>
                        </pic:spPr>
                      </pic:pic>
                    </a:graphicData>
                  </a:graphic>
                </wp:inline>
              </w:drawing>
            </w:r>
          </w:p>
        </w:tc>
      </w:tr>
      <w:tr w14:paraId="69BE62AE" w14:textId="77777777">
        <w:tc>
          <w:tcPr>
            <w:tcW w:w="5946" w:type="dxa"/>
          </w:tcPr>
          <w:p w14:paraId="5C95FF41" w14:textId="77777777">
            <w:pPr>
              <w:pStyle w:val="CodeParagraph"/>
              <w:rPr>
                <w:rStyle w:val="Code"/>
              </w:rPr>
            </w:pPr>
            <w:r>
              <w:rPr>
                <w:rStyle w:val="Code"/>
              </w:rPr>
              <w:t xml:space="preserve">&lt;seg </w:t>
            </w:r>
            <w:r>
              <w:rPr>
                <w:rStyle w:val="Codeattribute"/>
              </w:rPr>
              <w:t>type</w:t>
            </w:r>
            <w:r>
              <w:rPr>
                <w:rStyle w:val="Code"/>
              </w:rPr>
              <w:t>=</w:t>
            </w:r>
            <w:r>
              <w:rPr>
                <w:rStyle w:val="Codevalue"/>
              </w:rPr>
              <w:t>"aksara"</w:t>
            </w:r>
            <w:r>
              <w:rPr>
                <w:rStyle w:val="Code"/>
              </w:rPr>
              <w:t xml:space="preserve">&gt;&lt;seg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"body"</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/&gt;&lt;/seg&gt;</w:t>
            </w:r>
            <w:r>
              <w:rPr>
                <w:rStyle w:val="Codetext"/>
              </w:rPr>
              <w:t>ā</w:t>
            </w:r>
            <w:r>
              <w:rPr>
                <w:rStyle w:val="Code"/>
              </w:rPr>
              <w:t>&lt;/seg&gt;</w:t>
            </w:r>
          </w:p>
          <w:p w14:paraId="016E4FE3" w14:textId="77777777">
            <w:pPr>
              <w:pStyle w:val="CodeParagraph"/>
              <w:rPr>
                <w:rStyle w:val="Code"/>
              </w:rPr>
            </w:pPr>
            <w:r>
              <w:rPr>
                <w:rStyle w:val="Code"/>
              </w:rPr>
              <w:t xml:space="preserve">&lt;seg </w:t>
            </w:r>
            <w:r>
              <w:rPr>
                <w:rStyle w:val="Codeattribute"/>
              </w:rPr>
              <w:t>type</w:t>
            </w:r>
            <w:r>
              <w:rPr>
                <w:rStyle w:val="Code"/>
              </w:rPr>
              <w:t>=</w:t>
            </w:r>
            <w:r>
              <w:rPr>
                <w:rStyle w:val="Codevalue"/>
              </w:rPr>
              <w:t>"aksara"</w:t>
            </w:r>
            <w:r>
              <w:rPr>
                <w:rStyle w:val="Code"/>
              </w:rPr>
              <w:t xml:space="preserve">&gt;&lt;seg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"body"</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 xml:space="preserve">/&gt;&lt;/seg&gt;&lt;unclear </w:t>
            </w:r>
            <w:r>
              <w:rPr>
                <w:rStyle w:val="Codeattribute"/>
              </w:rPr>
              <w:t>cert</w:t>
            </w:r>
            <w:r>
              <w:rPr>
                <w:rStyle w:val="Code"/>
              </w:rPr>
              <w:t>=</w:t>
            </w:r>
            <w:r>
              <w:rPr>
                <w:rStyle w:val="Codevalue"/>
              </w:rPr>
              <w:t>"low"</w:t>
            </w:r>
            <w:r>
              <w:rPr>
                <w:rStyle w:val="Code"/>
              </w:rPr>
              <w:t>&gt;</w:t>
            </w:r>
            <w:r>
              <w:rPr>
                <w:rStyle w:val="Codetext"/>
              </w:rPr>
              <w:t>a</w:t>
            </w:r>
            <w:r>
              <w:rPr>
                <w:rStyle w:val="Code"/>
              </w:rPr>
              <w:t>&lt;/unclear&gt;</w:t>
            </w:r>
            <w:r>
              <w:rPr>
                <w:rStyle w:val="Codetext"/>
              </w:rPr>
              <w:t>ṁ</w:t>
            </w:r>
            <w:r>
              <w:rPr>
                <w:rStyle w:val="Code"/>
              </w:rPr>
              <w:t>&lt;/seg&gt;</w:t>
            </w:r>
          </w:p>
        </w:tc>
        <w:tc>
          <w:tcPr>
            <w:tcW w:w="3108" w:type="dxa"/>
            <w:vMerge/>
          </w:tcPr>
          <w:p w14:paraId="7FFB60D2" w14:textId="77777777">
            <w:pPr>
              <w:pStyle w:val="CodeParagraph"/>
              <w:rPr>
                <w:rStyle w:val="Code"/>
              </w:rPr>
            </w:pPr>
          </w:p>
        </w:tc>
      </w:tr>
    </w:tbl>
    <w:p w14:paraId="47DCA578" w14:textId="77777777"/>
    <w:tbl>
      <w:tblPr>
        <w:tblStyle w:val="CodeSampleTable"/>
        <w:tblW w:w="5000" w:type="pct"/>
        <w:tblLook w:val="04A0" w:firstRow="1" w:lastRow="0" w:firstColumn="1" w:lastColumn="0" w:noHBand="0" w:noVBand="1"/>
      </w:tblPr>
      <w:tblGrid>
        <w:gridCol w:w="9628"/>
      </w:tblGrid>
      <w:tr w14:paraId="790E1EB0"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6C4DAE3" w14:textId="2EA6A9F8">
            <w:pPr>
              <w:pStyle w:val="Kpalrs"/>
            </w:pPr>
            <w:r>
              <w:t xml:space="preserve">Exhibit </w:t>
            </w:r>
            <w:fldSimple w:instr=" STYLEREF 2 \s ">
              <w:r>
                <w:rPr>
                  <w:noProof/>
                </w:rPr>
                <w:t>6.5</w:t>
              </w:r>
            </w:fldSimple>
            <w:r>
              <w:t>.</w:t>
            </w:r>
            <w:fldSimple w:instr=" SEQ Exhibit \* ALPHABETIC \s 2 ">
              <w:r>
                <w:rPr>
                  <w:noProof/>
                </w:rPr>
                <w:t>C</w:t>
              </w:r>
            </w:fldSimple>
            <w:r>
              <w:t>: lost vowel marker</w:t>
            </w:r>
          </w:p>
        </w:tc>
      </w:tr>
      <w:tr w14:paraId="28ED3B12" w14:textId="77777777">
        <w:tc>
          <w:tcPr>
            <w:tcW w:w="5000" w:type="pct"/>
          </w:tcPr>
          <w:p w14:paraId="2DBC3941" w14:textId="77777777">
            <w:pPr>
              <w:pStyle w:val="Image"/>
            </w:pPr>
            <w:r>
              <w:drawing>
                <wp:inline distT="0" distB="0" distL="0" distR="0" wp14:anchorId="108ABBEF" wp14:editId="3558801D">
                  <wp:extent cx="2187575" cy="875030"/>
                  <wp:effectExtent l="0" t="0" r="3175" b="127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4">
                            <a:extLst>
                              <a:ext uri="{28A0092B-C50C-407E-A947-70E740481C1C}">
                                <a14:useLocalDpi xmlns:a14="http://schemas.microsoft.com/office/drawing/2010/main" val="0"/>
                              </a:ext>
                            </a:extLst>
                          </a:blip>
                          <a:srcRect/>
                          <a:stretch>
                            <a:fillRect/>
                          </a:stretch>
                        </pic:blipFill>
                        <pic:spPr>
                          <a:xfrm>
                            <a:off x="0" y="0"/>
                            <a:ext cx="2187575" cy="875030"/>
                          </a:xfrm>
                          <a:prstGeom prst="rect">
                            <a:avLst/>
                          </a:prstGeom>
                          <a:ln/>
                        </pic:spPr>
                      </pic:pic>
                    </a:graphicData>
                  </a:graphic>
                </wp:inline>
              </w:drawing>
            </w:r>
          </w:p>
        </w:tc>
      </w:tr>
      <w:tr w14:paraId="2A8F37CC" w14:textId="77777777">
        <w:tc>
          <w:tcPr>
            <w:tcW w:w="5000" w:type="pct"/>
          </w:tcPr>
          <w:p w14:paraId="2FFFEDD1" w14:textId="77777777">
            <w:pPr>
              <w:pStyle w:val="TableNote"/>
              <w:keepNext/>
            </w:pPr>
            <w:r>
              <w:t xml:space="preserve">the consonant </w:t>
            </w:r>
            <w:r>
              <w:rPr>
                <w:rStyle w:val="Foreign"/>
              </w:rPr>
              <w:t>t</w:t>
            </w:r>
            <w:r>
              <w:t xml:space="preserve"> has so much damage around it that it may have had any of several vowel marks or none, as in the hypothetical image here</w:t>
            </w:r>
          </w:p>
          <w:p w14:paraId="08534152" w14:textId="77777777">
            <w:pPr>
              <w:pStyle w:val="TableNote"/>
              <w:keepNext/>
            </w:pPr>
            <w:r>
              <w:t>some candidates are shown on the right</w:t>
            </w:r>
          </w:p>
          <w:p w14:paraId="7CFDAAD2" w14:textId="77777777">
            <w:pPr>
              <w:pStyle w:val="TableNote"/>
              <w:keepNext/>
            </w:pPr>
            <w:r>
              <w:t xml:space="preserve">the same might be represented through transliteration without markup using the optional shorthand </w:t>
            </w:r>
            <w:r>
              <w:rPr>
                <w:rStyle w:val="Foreign"/>
              </w:rPr>
              <w:t>tV</w:t>
            </w:r>
            <w:r>
              <w:t xml:space="preserve"> (TG §3.3.2.2)</w:t>
            </w:r>
          </w:p>
        </w:tc>
      </w:tr>
      <w:tr w14:paraId="16967B9D" w14:textId="77777777">
        <w:tc>
          <w:tcPr>
            <w:tcW w:w="5000" w:type="pct"/>
          </w:tcPr>
          <w:p w14:paraId="535C4A2D" w14:textId="77777777">
            <w:pPr>
              <w:pStyle w:val="CodeParagraph"/>
              <w:rPr>
                <w:rStyle w:val="Code"/>
              </w:rPr>
            </w:pPr>
            <w:r>
              <w:rPr>
                <w:rStyle w:val="Codetext"/>
              </w:rPr>
              <w:t>t</w:t>
            </w:r>
            <w:r>
              <w:rPr>
                <w:rStyle w:val="Code"/>
              </w:rPr>
              <w:t xml:space="preserve">&lt;seg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"vowel"</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/&gt;&lt;/seg&gt;</w:t>
            </w:r>
          </w:p>
        </w:tc>
      </w:tr>
    </w:tbl>
    <w:p w14:paraId="2610F2A7" w14:textId="77777777"/>
    <w:tbl>
      <w:tblPr>
        <w:tblStyle w:val="CodeSampleTable"/>
        <w:tblW w:w="5000" w:type="pct"/>
        <w:tblLook w:val="04A0" w:firstRow="1" w:lastRow="0" w:firstColumn="1" w:lastColumn="0" w:noHBand="0" w:noVBand="1"/>
      </w:tblPr>
      <w:tblGrid>
        <w:gridCol w:w="9628"/>
      </w:tblGrid>
      <w:tr w14:paraId="0ACD126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339C87B" w14:textId="173F4D1F">
            <w:pPr>
              <w:pStyle w:val="Kpalrs"/>
            </w:pPr>
            <w:r>
              <w:t xml:space="preserve">Exhibit </w:t>
            </w:r>
            <w:fldSimple w:instr=" STYLEREF 2 \s ">
              <w:r>
                <w:rPr>
                  <w:noProof/>
                </w:rPr>
                <w:t>6.5</w:t>
              </w:r>
            </w:fldSimple>
            <w:r>
              <w:t>.</w:t>
            </w:r>
            <w:fldSimple w:instr=" SEQ Exhibit \* ALPHABETIC \s 2 ">
              <w:r>
                <w:rPr>
                  <w:noProof/>
                </w:rPr>
                <w:t>D</w:t>
              </w:r>
            </w:fldSimple>
            <w:r>
              <w:t>: lost body with subscript component</w:t>
            </w:r>
          </w:p>
        </w:tc>
      </w:tr>
      <w:tr w14:paraId="64A02A89" w14:textId="77777777">
        <w:tc>
          <w:tcPr>
            <w:tcW w:w="5000" w:type="pct"/>
          </w:tcPr>
          <w:p w14:paraId="78475BF8" w14:textId="77777777">
            <w:pPr>
              <w:pStyle w:val="Image"/>
            </w:pPr>
            <w:r>
              <w:drawing>
                <wp:inline distT="0" distB="0" distL="0" distR="0" wp14:anchorId="1F37AC88" wp14:editId="35E2A8A3">
                  <wp:extent cx="2967186" cy="844550"/>
                  <wp:effectExtent l="0" t="0" r="508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5">
                            <a:extLst>
                              <a:ext uri="{28A0092B-C50C-407E-A947-70E740481C1C}">
                                <a14:useLocalDpi xmlns:a14="http://schemas.microsoft.com/office/drawing/2010/main" val="0"/>
                              </a:ext>
                            </a:extLst>
                          </a:blip>
                          <a:srcRect/>
                          <a:stretch>
                            <a:fillRect/>
                          </a:stretch>
                        </pic:blipFill>
                        <pic:spPr>
                          <a:xfrm>
                            <a:off x="0" y="0"/>
                            <a:ext cx="2985276" cy="849699"/>
                          </a:xfrm>
                          <a:prstGeom prst="rect">
                            <a:avLst/>
                          </a:prstGeom>
                          <a:ln/>
                        </pic:spPr>
                      </pic:pic>
                    </a:graphicData>
                  </a:graphic>
                </wp:inline>
              </w:drawing>
            </w:r>
          </w:p>
        </w:tc>
      </w:tr>
      <w:tr w14:paraId="1688D613" w14:textId="77777777">
        <w:tc>
          <w:tcPr>
            <w:tcW w:w="5000" w:type="pct"/>
          </w:tcPr>
          <w:p w14:paraId="6F8CA3E8" w14:textId="77777777">
            <w:pPr>
              <w:pStyle w:val="TableNote"/>
              <w:keepNext/>
            </w:pPr>
            <w:r>
              <w:t xml:space="preserve">a clear subscript </w:t>
            </w:r>
            <w:r>
              <w:rPr>
                <w:rStyle w:val="Foreign"/>
              </w:rPr>
              <w:t>y</w:t>
            </w:r>
            <w:r>
              <w:t xml:space="preserve"> survives but the principal consonant</w:t>
            </w:r>
            <w:r>
              <w:rPr>
                <w:noProof/>
              </w:rPr>
              <w:t>(</w:t>
            </w:r>
            <w:r>
              <w:t>s) are obliterated along with any vowel marker, as in the hypothetical image above</w:t>
            </w:r>
          </w:p>
          <w:p w14:paraId="0178E8D5" w14:textId="77777777">
            <w:pPr>
              <w:pStyle w:val="TableNote"/>
              <w:keepNext/>
            </w:pPr>
            <w:r>
              <w:t>some candidates are shown on the right</w:t>
            </w:r>
          </w:p>
        </w:tc>
      </w:tr>
      <w:tr w14:paraId="2089E1D1" w14:textId="77777777">
        <w:tc>
          <w:tcPr>
            <w:tcW w:w="5000" w:type="pct"/>
          </w:tcPr>
          <w:p w14:paraId="1A894E34" w14:textId="77777777">
            <w:pPr>
              <w:pStyle w:val="CodeParagraph"/>
              <w:rPr>
                <w:rStyle w:val="Code"/>
              </w:rPr>
            </w:pPr>
            <w:r>
              <w:rPr>
                <w:rStyle w:val="Code"/>
              </w:rPr>
              <w:t xml:space="preserve">&lt;seg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"body"</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/&gt;&lt;/seg&gt;</w:t>
            </w:r>
            <w:r>
              <w:rPr>
                <w:rStyle w:val="Codetext"/>
              </w:rPr>
              <w:t>y</w:t>
            </w:r>
            <w:r>
              <w:rPr>
                <w:rStyle w:val="Code"/>
              </w:rPr>
              <w:t xml:space="preserve">&lt;seg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"vowel"</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/&gt;&lt;/seg&gt;</w:t>
            </w:r>
          </w:p>
        </w:tc>
      </w:tr>
    </w:tbl>
    <w:p w14:paraId="64A8E49B" w14:textId="77777777"/>
    <w:tbl>
      <w:tblPr>
        <w:tblStyle w:val="CodeSampleTable"/>
        <w:tblW w:w="5000" w:type="pct"/>
        <w:tblLook w:val="04A0" w:firstRow="1" w:lastRow="0" w:firstColumn="1" w:lastColumn="0" w:noHBand="0" w:noVBand="1"/>
      </w:tblPr>
      <w:tblGrid>
        <w:gridCol w:w="9628"/>
      </w:tblGrid>
      <w:tr w14:paraId="28440DDF"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E56F00E" w14:textId="54525BFB">
            <w:pPr>
              <w:pStyle w:val="Kpalrs"/>
            </w:pPr>
            <w:r>
              <w:lastRenderedPageBreak/>
              <w:t xml:space="preserve">Exhibit </w:t>
            </w:r>
            <w:fldSimple w:instr=" STYLEREF 2 \s ">
              <w:r>
                <w:rPr>
                  <w:noProof/>
                </w:rPr>
                <w:t>6.5</w:t>
              </w:r>
            </w:fldSimple>
            <w:r>
              <w:t>.</w:t>
            </w:r>
            <w:fldSimple w:instr=" SEQ Exhibit \* ALPHABETIC \s 2 ">
              <w:r>
                <w:rPr>
                  <w:noProof/>
                </w:rPr>
                <w:t>E</w:t>
              </w:r>
            </w:fldSimple>
            <w:r>
              <w:t>: a complex sequence of partially lost glyphs</w:t>
            </w:r>
          </w:p>
        </w:tc>
      </w:tr>
      <w:tr w14:paraId="1FECE5B5" w14:textId="77777777">
        <w:tc>
          <w:tcPr>
            <w:tcW w:w="5000" w:type="pct"/>
          </w:tcPr>
          <w:p w14:paraId="55D4F41C" w14:textId="77777777">
            <w:pPr>
              <w:pStyle w:val="TableNote"/>
              <w:keepNext/>
            </w:pPr>
            <w:r>
              <w:t xml:space="preserve">a sequence comprised of the following elements, which are known to follow the prosodic pattern </w:t>
            </w:r>
            <w:r>
              <w:rPr>
                <w:rStyle w:val="MetreCode"/>
              </w:rPr>
              <w:t>−−⏑</w:t>
            </w:r>
          </w:p>
          <w:p w14:paraId="65A5B6AD" w14:textId="77777777">
            <w:pPr>
              <w:pStyle w:val="TableNote"/>
              <w:keepNext/>
            </w:pPr>
            <w:r>
              <w:t xml:space="preserve">the legible glyph </w:t>
            </w:r>
            <w:r>
              <w:rPr>
                <w:rStyle w:val="Foreign"/>
              </w:rPr>
              <w:t>ku</w:t>
            </w:r>
            <w:r>
              <w:t>, which is simply transliterated</w:t>
            </w:r>
          </w:p>
          <w:p w14:paraId="215E0941" w14:textId="77777777">
            <w:pPr>
              <w:pStyle w:val="TableNote"/>
              <w:keepNext/>
            </w:pPr>
            <w:r>
              <w:t xml:space="preserve">one wholly illegible </w:t>
            </w:r>
            <w:r>
              <w:rPr>
                <w:rStyle w:val="Foreign"/>
              </w:rPr>
              <w:t>akṣara</w:t>
            </w:r>
            <w:r>
              <w:t xml:space="preserve">, which we prefer not to encode simply as a lacuna of one character which is prosodically long, as this would obscure the fact that since the preceding </w:t>
            </w:r>
            <w:r>
              <w:rPr>
                <w:noProof/>
              </w:rPr>
              <w:t>(</w:t>
            </w:r>
            <w:r>
              <w:t xml:space="preserve">clear) </w:t>
            </w:r>
            <w:r>
              <w:rPr>
                <w:rStyle w:val="Foreign"/>
              </w:rPr>
              <w:t>ku</w:t>
            </w:r>
            <w:r>
              <w:t xml:space="preserve"> is prosodically long, the present lost </w:t>
            </w:r>
            <w:r>
              <w:rPr>
                <w:rStyle w:val="Foreign"/>
              </w:rPr>
              <w:t>akṣara</w:t>
            </w:r>
            <w:r>
              <w:t xml:space="preserve"> must be a conjunct</w:t>
            </w:r>
          </w:p>
          <w:p w14:paraId="2F95C680" w14:textId="77777777">
            <w:pPr>
              <w:pStyle w:val="TableNote"/>
              <w:keepNext/>
            </w:pPr>
            <w:r>
              <w:t xml:space="preserve">a clear regular </w:t>
            </w:r>
            <w:r>
              <w:rPr>
                <w:rStyle w:val="Foreign"/>
              </w:rPr>
              <w:t>y</w:t>
            </w:r>
            <w:r>
              <w:t xml:space="preserve"> that may or may not have had a vowel marker attached</w:t>
            </w:r>
          </w:p>
        </w:tc>
      </w:tr>
      <w:tr w14:paraId="35995E75" w14:textId="77777777">
        <w:tc>
          <w:tcPr>
            <w:tcW w:w="5000" w:type="pct"/>
          </w:tcPr>
          <w:p w14:paraId="5E3515FC" w14:textId="77777777">
            <w:pPr>
              <w:pStyle w:val="CodeParagraph"/>
              <w:keepNext/>
              <w:rPr>
                <w:rStyle w:val="Code"/>
              </w:rPr>
            </w:pPr>
            <w:r>
              <w:rPr>
                <w:rStyle w:val="Codetext"/>
              </w:rPr>
              <w:t>ku</w:t>
            </w:r>
            <w:r>
              <w:rPr>
                <w:rStyle w:val="Code"/>
              </w:rPr>
              <w:t xml:space="preserve">&lt;seg </w:t>
            </w:r>
            <w:r>
              <w:rPr>
                <w:rStyle w:val="Codeattribute"/>
              </w:rPr>
              <w:t>type</w:t>
            </w:r>
            <w:r>
              <w:rPr>
                <w:rStyle w:val="Code"/>
              </w:rPr>
              <w:t>=</w:t>
            </w:r>
            <w:r>
              <w:rPr>
                <w:rStyle w:val="Codevalue"/>
              </w:rPr>
              <w:t>"aksara"</w:t>
            </w:r>
            <w:r>
              <w:rPr>
                <w:rStyle w:val="Code"/>
              </w:rPr>
              <w:t xml:space="preserve">&gt;&lt;seg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"conjunct"</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 xml:space="preserve">/&gt;&lt;/seg&gt;&lt;seg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"vowel"</w:t>
            </w:r>
            <w:r>
              <w:rPr>
                <w:rStyle w:val="Code"/>
              </w:rPr>
              <w:t xml:space="preserve"> </w:t>
            </w:r>
            <w:r>
              <w:rPr>
                <w:rStyle w:val="Codeattribute"/>
              </w:rPr>
              <w:t>met</w:t>
            </w:r>
            <w:r>
              <w:rPr>
                <w:rStyle w:val="Code"/>
              </w:rPr>
              <w:t>=</w:t>
            </w:r>
            <w:r>
              <w:rPr>
                <w:rStyle w:val="Codevalue"/>
              </w:rPr>
              <w:t>"+"</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/&gt;&lt;/seg&gt;&lt;/seg&gt;</w:t>
            </w:r>
            <w:r>
              <w:rPr>
                <w:rStyle w:val="Codetext"/>
              </w:rPr>
              <w:t>y</w:t>
            </w:r>
            <w:r>
              <w:rPr>
                <w:rStyle w:val="Code"/>
              </w:rPr>
              <w:t xml:space="preserve">&lt;seg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"vowel"</w:t>
            </w:r>
            <w:r>
              <w:rPr>
                <w:rStyle w:val="Code"/>
              </w:rPr>
              <w:t xml:space="preserve"> </w:t>
            </w:r>
            <w:r>
              <w:rPr>
                <w:rStyle w:val="Codeattribute"/>
              </w:rPr>
              <w:t>met</w:t>
            </w:r>
            <w:r>
              <w:rPr>
                <w:rStyle w:val="Code"/>
              </w:rPr>
              <w:t>=</w:t>
            </w:r>
            <w:r>
              <w:rPr>
                <w:rStyle w:val="Codevalue"/>
              </w:rPr>
              <w:t>"+"</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/&gt;&lt;/seg&gt;</w:t>
            </w:r>
          </w:p>
        </w:tc>
      </w:tr>
      <w:tr w14:paraId="66CBA8CE" w14:textId="77777777">
        <w:tc>
          <w:tcPr>
            <w:tcW w:w="5000" w:type="pct"/>
          </w:tcPr>
          <w:p w14:paraId="57C97649" w14:textId="77777777">
            <w:pPr>
              <w:pStyle w:val="TableNote"/>
              <w:rPr>
                <w:rStyle w:val="Codetext"/>
              </w:rPr>
            </w:pPr>
            <w:r>
              <w:t xml:space="preserve">in the above example, the tag </w:t>
            </w:r>
            <w:r>
              <w:rPr>
                <w:rStyle w:val="Code"/>
              </w:rPr>
              <w:t xml:space="preserve">&lt;seg </w:t>
            </w:r>
            <w:r>
              <w:rPr>
                <w:rStyle w:val="Codeattribute"/>
              </w:rPr>
              <w:t>type</w:t>
            </w:r>
            <w:r>
              <w:rPr>
                <w:rStyle w:val="Code"/>
              </w:rPr>
              <w:t>=</w:t>
            </w:r>
            <w:r>
              <w:rPr>
                <w:rStyle w:val="Codevalue"/>
              </w:rPr>
              <w:t>"aksara"</w:t>
            </w:r>
            <w:r>
              <w:rPr>
                <w:rStyle w:val="Code"/>
              </w:rPr>
              <w:t>&gt;</w:t>
            </w:r>
            <w:r>
              <w:t xml:space="preserve"> around the second </w:t>
            </w:r>
            <w:r>
              <w:rPr>
                <w:noProof/>
              </w:rPr>
              <w:t>(</w:t>
            </w:r>
            <w:r>
              <w:t xml:space="preserve">wholly lost) character is not strictly necessary, but it has been added to make it explicit that the illegible conjunct consonant and the illegible vowel comprise one </w:t>
            </w:r>
            <w:r>
              <w:rPr>
                <w:rStyle w:val="Foreign"/>
              </w:rPr>
              <w:t>akṣara</w:t>
            </w:r>
          </w:p>
        </w:tc>
      </w:tr>
    </w:tbl>
    <w:p w14:paraId="2E17E252" w14:textId="77777777">
      <w:pPr>
        <w:pStyle w:val="Cmsor3"/>
      </w:pPr>
      <w:bookmarkStart w:id="577" w:name="_ks1ouwdqdoh4" w:colFirst="0" w:colLast="0"/>
      <w:bookmarkStart w:id="578" w:name="_Ref228348376"/>
      <w:bookmarkStart w:id="579" w:name="_Toc243922678"/>
      <w:bookmarkEnd w:id="577"/>
      <w:r>
        <w:t>Managing line-level lacunae</w:t>
      </w:r>
      <w:bookmarkEnd w:id="578"/>
      <w:bookmarkEnd w:id="579"/>
    </w:p>
    <w:p w14:paraId="65522473" w14:textId="61F0B9D3">
      <w:pPr>
        <w:rPr>
          <w:lang w:eastAsia="en-US" w:bidi="ar-SA"/>
        </w:rPr>
      </w:pPr>
      <w:r>
        <w:rPr>
          <w:lang w:eastAsia="en-US" w:bidi="ar-SA"/>
        </w:rPr>
        <w:t>As noted in §</w:t>
      </w:r>
      <w:r>
        <w:rPr>
          <w:lang w:eastAsia="en-US" w:bidi="ar-SA"/>
        </w:rPr>
        <w:fldChar w:fldCharType="begin"/>
      </w:r>
      <w:r>
        <w:rPr>
          <w:lang w:eastAsia="en-US" w:bidi="ar-SA"/>
        </w:rPr>
        <w:instrText xml:space="preserve"> REF _Ref43988016 \r \h </w:instrText>
      </w:r>
      <w:r>
        <w:rPr>
          <w:lang w:eastAsia="en-US" w:bidi="ar-SA"/>
        </w:rPr>
      </w:r>
      <w:r>
        <w:rPr>
          <w:lang w:eastAsia="en-US" w:bidi="ar-SA"/>
        </w:rPr>
        <w:fldChar w:fldCharType="separate"/>
      </w:r>
      <w:r>
        <w:rPr>
          <w:lang w:eastAsia="en-US" w:bidi="ar-SA"/>
        </w:rPr>
        <w:t>6.5.2</w:t>
      </w:r>
      <w:r>
        <w:rPr>
          <w:lang w:eastAsia="en-US" w:bidi="ar-SA"/>
        </w:rPr>
        <w:fldChar w:fldCharType="end"/>
      </w:r>
      <w:r>
        <w:rPr>
          <w:lang w:eastAsia="en-US" w:bidi="ar-SA"/>
        </w:rPr>
        <w:t xml:space="preserve">, the preferred method for encoding lacunae is to treat them as inline. Consequently, when </w:t>
      </w:r>
    </w:p>
    <w:p w14:paraId="1B4D469E" w14:textId="77777777">
      <w:pPr>
        <w:rPr>
          <w:lang w:eastAsia="en-US" w:bidi="ar-SA"/>
        </w:rPr>
      </w:pPr>
      <w:r>
        <w:rPr>
          <w:lang w:eastAsia="en-US" w:bidi="ar-SA"/>
        </w:rPr>
        <w:t>a lacuna extends over one or more entire physical lines, the preferred encoding method is to mark up the beginning of each line, with an inline lacuna occupying the entire line. Doing so allows the edition to reflect the source’s extrinsic structure accurately and to number physical lines consecutively without complications. This, of course, is only feasible when the number of lost or illegible lines is small and can be precisely determined.</w:t>
      </w:r>
    </w:p>
    <w:p w14:paraId="7E9AD205" w14:textId="77777777">
      <w:pPr>
        <w:pStyle w:val="Cmsor4"/>
      </w:pPr>
      <w:bookmarkStart w:id="580" w:name="_Ref228368995"/>
      <w:r>
        <w:t>Inline lacunae for full lines</w:t>
      </w:r>
      <w:bookmarkEnd w:id="580"/>
    </w:p>
    <w:p w14:paraId="1477F39E" w14:textId="77777777">
      <w:r>
        <w:t>When the number of lost or illegible lines is small (as a rule of thumb, up to five) and can be determined precisely, reconstruct the extrinsic structure in your edition and encode inline lacunae as follows.</w:t>
      </w:r>
    </w:p>
    <w:p w14:paraId="58C9BA28" w14:textId="39AD8C72">
      <w:pPr>
        <w:pStyle w:val="Lista"/>
      </w:pPr>
      <w:r>
        <w:t xml:space="preserve">encode each line beginning </w:t>
      </w:r>
      <w:r>
        <w:rPr>
          <w:noProof/>
        </w:rPr>
        <w:t>(</w:t>
      </w:r>
      <w:r>
        <w:t>§</w:t>
      </w:r>
      <w:r>
        <w:fldChar w:fldCharType="begin"/>
      </w:r>
      <w:r>
        <w:instrText xml:space="preserve"> REF _Ref43980100 \r \h </w:instrText>
      </w:r>
      <w:r>
        <w:fldChar w:fldCharType="separate"/>
      </w:r>
      <w:r>
        <w:t>4.5.1</w:t>
      </w:r>
      <w:r>
        <w:fldChar w:fldCharType="end"/>
      </w:r>
      <w:r>
        <w:t>), numbering them consecutively</w:t>
      </w:r>
    </w:p>
    <w:p w14:paraId="4DF76E7E" w14:textId="510DD08E">
      <w:pPr>
        <w:pStyle w:val="Lista"/>
      </w:pPr>
      <w:r>
        <w:t xml:space="preserve">populate each line with separate inline </w:t>
      </w:r>
      <w:r>
        <w:rPr>
          <w:rStyle w:val="Code"/>
        </w:rPr>
        <w:t>&lt;gap/&gt;</w:t>
      </w:r>
      <w:r>
        <w:t xml:space="preserve"> elements </w:t>
      </w:r>
      <w:r>
        <w:rPr>
          <w:noProof/>
        </w:rPr>
        <w:t>(</w:t>
      </w:r>
      <w:r>
        <w:t>§</w:t>
      </w:r>
      <w:r>
        <w:fldChar w:fldCharType="begin"/>
      </w:r>
      <w:r>
        <w:instrText xml:space="preserve"> REF _Ref43988016 \w \h  \* MERGEFORMAT </w:instrText>
      </w:r>
      <w:r>
        <w:fldChar w:fldCharType="separate"/>
      </w:r>
      <w:r>
        <w:t>6.5.2</w:t>
      </w:r>
      <w:r>
        <w:fldChar w:fldCharType="end"/>
      </w:r>
      <w:r>
        <w:t>), encoded as lost or illegible (§</w:t>
      </w:r>
      <w:r>
        <w:fldChar w:fldCharType="begin"/>
      </w:r>
      <w:r>
        <w:instrText xml:space="preserve"> REF _Ref43987758 \r \h </w:instrText>
      </w:r>
      <w:r>
        <w:fldChar w:fldCharType="separate"/>
      </w:r>
      <w:r>
        <w:t>6.5.1.1</w:t>
      </w:r>
      <w:r>
        <w:fldChar w:fldCharType="end"/>
      </w:r>
      <w:r>
        <w:t>) as the case may be, with estimated quantity or unknown extent (§</w:t>
      </w:r>
      <w:r>
        <w:fldChar w:fldCharType="begin"/>
      </w:r>
      <w:r>
        <w:instrText xml:space="preserve"> REF _Ref228262228 \r \h </w:instrText>
      </w:r>
      <w:r>
        <w:fldChar w:fldCharType="separate"/>
      </w:r>
      <w:r>
        <w:t>6.5.1.2</w:t>
      </w:r>
      <w:r>
        <w:fldChar w:fldCharType="end"/>
      </w:r>
      <w:r>
        <w:t>)</w:t>
      </w:r>
    </w:p>
    <w:p w14:paraId="2856A913" w14:textId="77777777">
      <w:pPr>
        <w:pStyle w:val="Lista"/>
      </w:pPr>
      <w:r>
        <w:t xml:space="preserve">e.g. for a gap of two full lines, </w:t>
      </w:r>
      <w:r>
        <w:rPr>
          <w:rStyle w:val="Code"/>
        </w:rPr>
        <w:t xml:space="preserve">&lt;lb </w:t>
      </w:r>
      <w:r>
        <w:rPr>
          <w:rStyle w:val="Codeattribute"/>
        </w:rPr>
        <w:t>n</w:t>
      </w:r>
      <w:r>
        <w:rPr>
          <w:rStyle w:val="Code"/>
        </w:rPr>
        <w:t>=</w:t>
      </w:r>
      <w:r>
        <w:rPr>
          <w:rStyle w:val="Codevalue"/>
        </w:rPr>
        <w:t>"3"</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"30"</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 xml:space="preserve">/&gt;&lt;lb </w:t>
      </w:r>
      <w:r>
        <w:rPr>
          <w:rStyle w:val="Codeattribute"/>
        </w:rPr>
        <w:t>n</w:t>
      </w:r>
      <w:r>
        <w:rPr>
          <w:rStyle w:val="Code"/>
        </w:rPr>
        <w:t>=</w:t>
      </w:r>
      <w:r>
        <w:rPr>
          <w:rStyle w:val="Codevalue"/>
        </w:rPr>
        <w:t>"4"</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"30"</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w:t>
      </w:r>
    </w:p>
    <w:p w14:paraId="1FA0F474" w14:textId="77777777">
      <w:pPr>
        <w:pStyle w:val="Cmsor4"/>
      </w:pPr>
      <w:bookmarkStart w:id="581" w:name="_Ref228349461"/>
      <w:r>
        <w:t>Multiline lacunae</w:t>
      </w:r>
      <w:bookmarkEnd w:id="581"/>
    </w:p>
    <w:p w14:paraId="7CCEC29B" w14:textId="77777777">
      <w:pPr>
        <w:rPr>
          <w:lang w:eastAsia="en-US" w:bidi="ar-SA"/>
        </w:rPr>
      </w:pPr>
      <w:r>
        <w:rPr>
          <w:lang w:eastAsia="en-US" w:bidi="ar-SA"/>
        </w:rPr>
        <w:t xml:space="preserve">When a large number of lines (as a rule of thumb, more than five) lines are lost or illegible, or the number of lines affected by a lacuna cannot be determined exactly, encode line-level lacunae as follows. </w:t>
      </w:r>
    </w:p>
    <w:p w14:paraId="230CA48E" w14:textId="77777777">
      <w:pPr>
        <w:pStyle w:val="Lista"/>
      </w:pPr>
      <w:r>
        <w:t>do not encode line beginnings for the lost lines</w:t>
      </w:r>
    </w:p>
    <w:p w14:paraId="371192F5" w14:textId="57F8F983">
      <w:pPr>
        <w:pStyle w:val="Lista"/>
      </w:pPr>
      <w:r>
        <w:t xml:space="preserve">use the </w:t>
      </w:r>
      <w:r>
        <w:rPr>
          <w:rStyle w:val="Code"/>
        </w:rPr>
        <w:t>&lt;gap/&gt;</w:t>
      </w:r>
      <w:r>
        <w:t xml:space="preserve"> element, encoded as lost or illegible (§</w:t>
      </w:r>
      <w:r>
        <w:fldChar w:fldCharType="begin"/>
      </w:r>
      <w:r>
        <w:instrText xml:space="preserve"> REF _Ref43987758 \r \h </w:instrText>
      </w:r>
      <w:r>
        <w:fldChar w:fldCharType="separate"/>
      </w:r>
      <w:r>
        <w:t>6.5.1.1</w:t>
      </w:r>
      <w:r>
        <w:fldChar w:fldCharType="end"/>
      </w:r>
      <w:r>
        <w:t xml:space="preserve">) as the case may be, with </w:t>
      </w:r>
      <w:r>
        <w:rPr>
          <w:rStyle w:val="Codevalue"/>
        </w:rPr>
        <w:t>"line"</w:t>
      </w:r>
      <w:r>
        <w:t xml:space="preserve"> as the value of </w:t>
      </w:r>
      <w:r>
        <w:rPr>
          <w:rStyle w:val="Codeattribute"/>
        </w:rPr>
        <w:t>@unit</w:t>
      </w:r>
      <w:r>
        <w:t xml:space="preserve"> (§</w:t>
      </w:r>
      <w:r>
        <w:fldChar w:fldCharType="begin"/>
      </w:r>
      <w:r>
        <w:instrText xml:space="preserve"> REF _Ref228262228 \r \h </w:instrText>
      </w:r>
      <w:r>
        <w:fldChar w:fldCharType="separate"/>
      </w:r>
      <w:r>
        <w:t>6.5.1.2</w:t>
      </w:r>
      <w:r>
        <w:fldChar w:fldCharType="end"/>
      </w:r>
      <w:r>
        <w:t>)</w:t>
      </w:r>
    </w:p>
    <w:p w14:paraId="383FA3C3" w14:textId="77777777">
      <w:pPr>
        <w:pStyle w:val="Lista"/>
      </w:pPr>
      <w:r>
        <w:t xml:space="preserve">for a precisely known number of lost or illegible lines, record the number in </w:t>
      </w:r>
      <w:r>
        <w:rPr>
          <w:rStyle w:val="Codeattribute"/>
        </w:rPr>
        <w:t>@quantity</w:t>
      </w:r>
    </w:p>
    <w:p w14:paraId="7C7A32BF" w14:textId="77777777">
      <w:pPr>
        <w:pStyle w:val="Lista2"/>
      </w:pPr>
      <w:r>
        <w:t xml:space="preserve">e.g.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"6"</w:t>
      </w:r>
      <w:r>
        <w:rPr>
          <w:rStyle w:val="Code"/>
        </w:rPr>
        <w:t xml:space="preserve"> </w:t>
      </w:r>
      <w:r>
        <w:rPr>
          <w:rStyle w:val="Codeattribute"/>
        </w:rPr>
        <w:t>unit</w:t>
      </w:r>
      <w:r>
        <w:rPr>
          <w:rStyle w:val="Code"/>
        </w:rPr>
        <w:t>=</w:t>
      </w:r>
      <w:r>
        <w:rPr>
          <w:rStyle w:val="Codevalue"/>
        </w:rPr>
        <w:t>"line"</w:t>
      </w:r>
      <w:r>
        <w:rPr>
          <w:rStyle w:val="Code"/>
        </w:rPr>
        <w:t>/&gt;</w:t>
      </w:r>
    </w:p>
    <w:p w14:paraId="76F9D174" w14:textId="77777777">
      <w:pPr>
        <w:pStyle w:val="Lista"/>
      </w:pPr>
      <w:r>
        <w:t xml:space="preserve">for an estimated number of lost or illegible lines, record the number in </w:t>
      </w:r>
      <w:r>
        <w:rPr>
          <w:rStyle w:val="Codeattribute"/>
        </w:rPr>
        <w:t>@quantity</w:t>
      </w:r>
      <w:r>
        <w:t xml:space="preserve"> and add </w:t>
      </w:r>
      <w:r>
        <w:rPr>
          <w:rStyle w:val="Codeattribute"/>
        </w:rPr>
        <w:t>@precision</w:t>
      </w:r>
      <w:r>
        <w:rPr>
          <w:rStyle w:val="Code"/>
        </w:rPr>
        <w:t>=</w:t>
      </w:r>
      <w:r>
        <w:rPr>
          <w:rStyle w:val="Codevalue"/>
        </w:rPr>
        <w:t>"low"</w:t>
      </w:r>
    </w:p>
    <w:p w14:paraId="68E549F2" w14:textId="77777777">
      <w:pPr>
        <w:pStyle w:val="Lista2"/>
      </w:pPr>
      <w:r>
        <w:t xml:space="preserve">e.g.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"6"</w:t>
      </w:r>
      <w:r>
        <w:rPr>
          <w:rStyle w:val="Code"/>
        </w:rPr>
        <w:t xml:space="preserve"> </w:t>
      </w:r>
      <w:r>
        <w:rPr>
          <w:rStyle w:val="Codeattribute"/>
        </w:rPr>
        <w:t>unit</w:t>
      </w:r>
      <w:r>
        <w:rPr>
          <w:rStyle w:val="Code"/>
        </w:rPr>
        <w:t>=</w:t>
      </w:r>
      <w:r>
        <w:rPr>
          <w:rStyle w:val="Codevalue"/>
        </w:rPr>
        <w:t>"line"</w:t>
      </w:r>
      <w:r>
        <w:rPr>
          <w:rStyle w:val="Code"/>
        </w:rPr>
        <w:t xml:space="preserve"> </w:t>
      </w:r>
      <w:r>
        <w:rPr>
          <w:rStyle w:val="Codeattribute"/>
        </w:rPr>
        <w:t>precision</w:t>
      </w:r>
      <w:r>
        <w:rPr>
          <w:rStyle w:val="Code"/>
        </w:rPr>
        <w:t>=</w:t>
      </w:r>
      <w:r>
        <w:rPr>
          <w:rStyle w:val="Codevalue"/>
        </w:rPr>
        <w:t>"low"</w:t>
      </w:r>
      <w:r>
        <w:rPr>
          <w:rStyle w:val="Code"/>
        </w:rPr>
        <w:t>/&gt;</w:t>
      </w:r>
    </w:p>
    <w:p w14:paraId="3F52BE07" w14:textId="77777777">
      <w:pPr>
        <w:pStyle w:val="Lista"/>
      </w:pPr>
      <w:r>
        <w:t xml:space="preserve">for an unknown number of lost (or illegible) lines, use </w:t>
      </w:r>
      <w:r>
        <w:rPr>
          <w:rStyle w:val="Codeattribute"/>
        </w:rPr>
        <w:t>@extent</w:t>
      </w:r>
      <w:r>
        <w:t xml:space="preserve"> with the value </w:t>
      </w:r>
      <w:r>
        <w:rPr>
          <w:rStyle w:val="Codevalue"/>
        </w:rPr>
        <w:t>"unknown"</w:t>
      </w:r>
      <w:r>
        <w:t xml:space="preserve"> (but retain </w:t>
      </w:r>
      <w:r>
        <w:rPr>
          <w:rStyle w:val="Codeattribute"/>
        </w:rPr>
        <w:t>@unit</w:t>
      </w:r>
      <w:r>
        <w:t xml:space="preserve"> with the value </w:t>
      </w:r>
      <w:r>
        <w:rPr>
          <w:rStyle w:val="Codevalue"/>
        </w:rPr>
        <w:t>"line"</w:t>
      </w:r>
      <w:r>
        <w:t xml:space="preserve"> to distinguish such lacunae from inline lacunae of unknown length)</w:t>
      </w:r>
    </w:p>
    <w:p w14:paraId="6450E8B5" w14:textId="77777777">
      <w:pPr>
        <w:pStyle w:val="Lista2"/>
        <w:rPr>
          <w:rStyle w:val="Code"/>
          <w:rFonts w:ascii="Gentium" w:hAnsi="Gentium" w:cs="Tiro Devanagari Sanskrit"/>
          <w:noProof w:val="0"/>
          <w:color w:val="auto"/>
          <w:shd w:val="clear" w:color="auto" w:fill="auto"/>
        </w:rPr>
      </w:pPr>
      <w:r>
        <w:t xml:space="preserve">e.g.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 xml:space="preserve"> </w:t>
      </w:r>
      <w:r>
        <w:rPr>
          <w:rStyle w:val="Codeattribute"/>
        </w:rPr>
        <w:t>unit</w:t>
      </w:r>
      <w:r>
        <w:rPr>
          <w:rStyle w:val="Code"/>
        </w:rPr>
        <w:t>=</w:t>
      </w:r>
      <w:r>
        <w:rPr>
          <w:rStyle w:val="Codevalue"/>
        </w:rPr>
        <w:t>"line"</w:t>
      </w:r>
      <w:r>
        <w:rPr>
          <w:rStyle w:val="Code"/>
        </w:rPr>
        <w:t>/&gt;</w:t>
      </w:r>
    </w:p>
    <w:p w14:paraId="0EFC639D" w14:textId="77777777">
      <w:pPr>
        <w:pStyle w:val="Lista"/>
      </w:pPr>
      <w:r>
        <w:t>if a multiline lacuna occurs at any place other than the end of an inscription, the editorial numbering of the extant lines will need special consideration, with the following general recommendations</w:t>
      </w:r>
    </w:p>
    <w:p w14:paraId="03863B2E" w14:textId="77777777">
      <w:pPr>
        <w:pStyle w:val="Lista2"/>
      </w:pPr>
      <w:r>
        <w:t>if the number of lines in the lacuna is known precisely, it is best if you mentally assign numbers to these lines and start or continue numbering after the lacuna accordingly</w:t>
      </w:r>
    </w:p>
    <w:p w14:paraId="4F990F94" w14:textId="77777777">
      <w:pPr>
        <w:pStyle w:val="Lista3"/>
      </w:pPr>
      <w:r>
        <w:lastRenderedPageBreak/>
        <w:t>for example, if an inscription has three extant lines, followed by a six-line lacuna and three more extant lines, then number the extant lines 1 to 3 and 10 to 12</w:t>
      </w:r>
    </w:p>
    <w:p w14:paraId="3DF77FA0" w14:textId="77777777">
      <w:pPr>
        <w:pStyle w:val="Lista2"/>
      </w:pPr>
      <w:r>
        <w:t>if the number of lines in the lacuna is unknown, disregard the lacuna and start or continue numbering extant lines consecutively</w:t>
      </w:r>
    </w:p>
    <w:p w14:paraId="5AE7F550" w14:textId="77777777">
      <w:pPr>
        <w:pStyle w:val="Lista3"/>
      </w:pPr>
      <w:r>
        <w:t>for example, if an inscription has three extant lines, followed by an indeterminate lacuna and three more extant lines, then number the extant lines 1 to 3 and 4 to 6</w:t>
      </w:r>
    </w:p>
    <w:p w14:paraId="0FBAF640" w14:textId="77777777">
      <w:pPr>
        <w:pStyle w:val="Lista2"/>
      </w:pPr>
      <w:r>
        <w:t>if the number of lines in the lacuna is estimated, then choose one of the above methods at your discretion</w:t>
      </w:r>
    </w:p>
    <w:p w14:paraId="1285B637" w14:textId="728AB179">
      <w:pPr>
        <w:pStyle w:val="Lista"/>
      </w:pPr>
      <w:r>
        <w:t>additional considerations for the interaction of multiline lacunae with intrinsic and extrinsic structure are discussed in the section on massive lacunae (§</w:t>
      </w:r>
      <w:r>
        <w:fldChar w:fldCharType="begin"/>
      </w:r>
      <w:r>
        <w:instrText xml:space="preserve"> REF _Ref43981711 \w \h  \* MERGEFORMAT </w:instrText>
      </w:r>
      <w:r>
        <w:fldChar w:fldCharType="separate"/>
      </w:r>
      <w:r>
        <w:t>6.5.4</w:t>
      </w:r>
      <w:r>
        <w:fldChar w:fldCharType="end"/>
      </w:r>
      <w:r>
        <w:t>)</w:t>
      </w:r>
    </w:p>
    <w:p w14:paraId="2EAC21F7" w14:textId="77777777">
      <w:pPr>
        <w:pStyle w:val="Cmsor4"/>
      </w:pPr>
      <w:bookmarkStart w:id="582" w:name="_Ref228262561"/>
      <w:r>
        <w:t>Possibly lost</w:t>
      </w:r>
      <w:bookmarkEnd w:id="582"/>
      <w:r>
        <w:t xml:space="preserve"> lines</w:t>
      </w:r>
    </w:p>
    <w:p w14:paraId="1C9FCD3C" w14:textId="77777777">
      <w:pPr>
        <w:rPr>
          <w:lang w:eastAsia="en-US" w:bidi="ar-SA"/>
        </w:rPr>
      </w:pPr>
      <w:r>
        <w:rPr>
          <w:lang w:eastAsia="en-US" w:bidi="ar-SA"/>
        </w:rPr>
        <w:t xml:space="preserve">In some cases </w:t>
      </w:r>
      <w:r>
        <w:t>it is impossible to tell whether there were more lines to an inscription than are now extant. Such situations are best described in the annotation of an edition, but if you wish to represent it in encoding, proceed as follows.</w:t>
      </w:r>
    </w:p>
    <w:p w14:paraId="39913BBB" w14:textId="765F50E1">
      <w:pPr>
        <w:pStyle w:val="Lista"/>
      </w:pPr>
      <w:r>
        <w:t xml:space="preserve">create a </w:t>
      </w:r>
      <w:r>
        <w:rPr>
          <w:rStyle w:val="Code"/>
        </w:rPr>
        <w:t>&lt;gap&gt;</w:t>
      </w:r>
      <w:r>
        <w:t xml:space="preserve"> element for a multiline lacuna (§</w:t>
      </w:r>
      <w:r>
        <w:fldChar w:fldCharType="begin"/>
      </w:r>
      <w:r>
        <w:instrText xml:space="preserve"> REF _Ref228349461 \r \h </w:instrText>
      </w:r>
      <w:r>
        <w:fldChar w:fldCharType="separate"/>
      </w:r>
      <w:r>
        <w:t>6.5.3.2</w:t>
      </w:r>
      <w:r>
        <w:fldChar w:fldCharType="end"/>
      </w:r>
      <w:r>
        <w:t>) even if you estimate or know the number of possibly lost lines to be small</w:t>
      </w:r>
    </w:p>
    <w:p w14:paraId="13AD52F9" w14:textId="77777777">
      <w:pPr>
        <w:pStyle w:val="Lista2"/>
      </w:pPr>
      <w:r>
        <w:t xml:space="preserve">the value of </w:t>
      </w:r>
      <w:r>
        <w:rPr>
          <w:rStyle w:val="Codeattribute"/>
        </w:rPr>
        <w:t>@reason</w:t>
      </w:r>
      <w:r>
        <w:t xml:space="preserve"> shall always be </w:t>
      </w:r>
      <w:r>
        <w:rPr>
          <w:rStyle w:val="Codevalue"/>
        </w:rPr>
        <w:t>"lost"</w:t>
      </w:r>
      <w:r>
        <w:t xml:space="preserve"> in such a case</w:t>
      </w:r>
    </w:p>
    <w:p w14:paraId="7B54CC5B" w14:textId="77777777">
      <w:pPr>
        <w:pStyle w:val="Lista3"/>
      </w:pPr>
      <w:r>
        <w:t>just conceivably, the support might be extant but so effaced that it may or may not bear vestiges of writing, but this is for all practical purposes equivalent to saying that the writing (if it ever existed) is now lost</w:t>
      </w:r>
    </w:p>
    <w:p w14:paraId="7F30BE35" w14:textId="77777777">
      <w:pPr>
        <w:pStyle w:val="Lista"/>
      </w:pPr>
      <w:r>
        <w:t xml:space="preserve">within this element, add </w:t>
      </w:r>
      <w:r>
        <w:rPr>
          <w:rStyle w:val="Code"/>
        </w:rPr>
        <w:t xml:space="preserve">&lt;certainty </w:t>
      </w:r>
      <w:r>
        <w:rPr>
          <w:rStyle w:val="Codeattribute"/>
        </w:rPr>
        <w:t>match</w:t>
      </w:r>
      <w:r>
        <w:rPr>
          <w:rStyle w:val="Code"/>
        </w:rPr>
        <w:t>=</w:t>
      </w:r>
      <w:r>
        <w:rPr>
          <w:rStyle w:val="Codevalue"/>
        </w:rPr>
        <w:t xml:space="preserve">".." </w:t>
      </w:r>
      <w:r>
        <w:rPr>
          <w:rStyle w:val="Codeattribute"/>
        </w:rPr>
        <w:t>locus</w:t>
      </w:r>
      <w:r>
        <w:rPr>
          <w:rStyle w:val="Code"/>
        </w:rPr>
        <w:t>=</w:t>
      </w:r>
      <w:r>
        <w:rPr>
          <w:rStyle w:val="Codevalue"/>
        </w:rPr>
        <w:t>"name"</w:t>
      </w:r>
      <w:r>
        <w:rPr>
          <w:rStyle w:val="Code"/>
        </w:rPr>
        <w:t>/&gt;</w:t>
      </w:r>
      <w:r>
        <w:t>, where</w:t>
      </w:r>
    </w:p>
    <w:p w14:paraId="0BFE00E7" w14:textId="77777777">
      <w:pPr>
        <w:pStyle w:val="Lista2"/>
      </w:pPr>
      <w:r>
        <w:rPr>
          <w:rStyle w:val="Codeattribute"/>
        </w:rPr>
        <w:t>@match</w:t>
      </w:r>
      <w:r>
        <w:rPr>
          <w:rStyle w:val="Code"/>
        </w:rPr>
        <w:t>=</w:t>
      </w:r>
      <w:r>
        <w:rPr>
          <w:rStyle w:val="Codevalue"/>
        </w:rPr>
        <w:t>".."</w:t>
      </w:r>
      <w:r>
        <w:t xml:space="preserve"> indicates that we are making a statement regarding certainty</w:t>
      </w:r>
      <w:r>
        <w:rPr>
          <w:rStyle w:val="Lbjegyzet-hivatkozs"/>
        </w:rPr>
        <w:footnoteReference w:id="32"/>
      </w:r>
      <w:r>
        <w:t xml:space="preserve"> applicable to the parent element </w:t>
      </w:r>
      <w:r>
        <w:rPr>
          <w:noProof/>
        </w:rPr>
        <w:t>(</w:t>
      </w:r>
      <w:r>
        <w:t xml:space="preserve">i.e. </w:t>
      </w:r>
      <w:r>
        <w:rPr>
          <w:rStyle w:val="Code"/>
        </w:rPr>
        <w:t>&lt;gap&gt;</w:t>
      </w:r>
      <w:r>
        <w:t>)</w:t>
      </w:r>
    </w:p>
    <w:p w14:paraId="2A7544F5" w14:textId="77777777">
      <w:pPr>
        <w:pStyle w:val="Lista2"/>
      </w:pPr>
      <w:r>
        <w:rPr>
          <w:rStyle w:val="Codeattribute"/>
        </w:rPr>
        <w:t>@locus</w:t>
      </w:r>
      <w:r>
        <w:rPr>
          <w:rStyle w:val="Code"/>
        </w:rPr>
        <w:t>=</w:t>
      </w:r>
      <w:r>
        <w:rPr>
          <w:rStyle w:val="Codevalue"/>
        </w:rPr>
        <w:t>"name"</w:t>
      </w:r>
      <w:r>
        <w:t xml:space="preserve"> indicates that the uncertainty concerns the name of the parent element </w:t>
      </w:r>
      <w:r>
        <w:rPr>
          <w:noProof/>
        </w:rPr>
        <w:t xml:space="preserve">(viz. “gap”, </w:t>
      </w:r>
      <w:r>
        <w:t>and thus the fact that what we have there is a lacuna)</w:t>
      </w:r>
    </w:p>
    <w:p w14:paraId="6FE336D4" w14:textId="77777777">
      <w:pPr>
        <w:pStyle w:val="Lista2"/>
      </w:pPr>
      <w:r>
        <w:t xml:space="preserve">note that in this single case, the </w:t>
      </w:r>
      <w:r>
        <w:rPr>
          <w:rStyle w:val="Code"/>
        </w:rPr>
        <w:t>&lt;gap&gt;</w:t>
      </w:r>
      <w:r>
        <w:t xml:space="preserve"> element is not empty but comprised of separate opening and closing tags wrapping the </w:t>
      </w:r>
      <w:r>
        <w:rPr>
          <w:rStyle w:val="Code"/>
        </w:rPr>
        <w:t>&lt;certainty&gt;</w:t>
      </w:r>
      <w:r>
        <w:t xml:space="preserve"> element</w:t>
      </w:r>
    </w:p>
    <w:p w14:paraId="7ABB5C52" w14:textId="77777777">
      <w:pPr>
        <w:pStyle w:val="Lista"/>
      </w:pPr>
      <w:r>
        <w:t>for example,</w:t>
      </w:r>
    </w:p>
    <w:p w14:paraId="00D1B8FE" w14:textId="77777777">
      <w:pPr>
        <w:pStyle w:val="Lista2"/>
      </w:pPr>
      <w:r>
        <w:t xml:space="preserve">one line possibly lost: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"line"</w:t>
      </w:r>
      <w:r>
        <w:rPr>
          <w:rStyle w:val="Code"/>
        </w:rPr>
        <w:t xml:space="preserve">&gt;&lt;certainty </w:t>
      </w:r>
      <w:r>
        <w:rPr>
          <w:rStyle w:val="Codeattribute"/>
        </w:rPr>
        <w:t>match</w:t>
      </w:r>
      <w:r>
        <w:rPr>
          <w:rStyle w:val="Code"/>
        </w:rPr>
        <w:t>=</w:t>
      </w:r>
      <w:r>
        <w:rPr>
          <w:rStyle w:val="Codevalue"/>
        </w:rPr>
        <w:t>".."</w:t>
      </w:r>
      <w:r>
        <w:rPr>
          <w:rStyle w:val="Code"/>
        </w:rPr>
        <w:t xml:space="preserve"> </w:t>
      </w:r>
      <w:r>
        <w:rPr>
          <w:rStyle w:val="Codeattribute"/>
        </w:rPr>
        <w:t>locus</w:t>
      </w:r>
      <w:r>
        <w:rPr>
          <w:rStyle w:val="Code"/>
        </w:rPr>
        <w:t>=</w:t>
      </w:r>
      <w:r>
        <w:rPr>
          <w:rStyle w:val="Codevalue"/>
        </w:rPr>
        <w:t>"name"</w:t>
      </w:r>
      <w:r>
        <w:rPr>
          <w:rStyle w:val="Code"/>
        </w:rPr>
        <w:t>/&gt;&lt;/gap&gt;</w:t>
      </w:r>
    </w:p>
    <w:p w14:paraId="08B29DDA" w14:textId="77777777">
      <w:pPr>
        <w:pStyle w:val="Lista2"/>
      </w:pPr>
      <w:bookmarkStart w:id="583" w:name="_2xcytpi" w:colFirst="0" w:colLast="0"/>
      <w:bookmarkEnd w:id="583"/>
      <w:r>
        <w:t xml:space="preserve">approximately two lines possibly lost: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"2"</w:t>
      </w:r>
      <w:r>
        <w:rPr>
          <w:rStyle w:val="Code"/>
        </w:rPr>
        <w:t xml:space="preserve"> </w:t>
      </w:r>
      <w:r>
        <w:rPr>
          <w:rStyle w:val="Codeattribute"/>
        </w:rPr>
        <w:t>unit</w:t>
      </w:r>
      <w:r>
        <w:rPr>
          <w:rStyle w:val="Code"/>
        </w:rPr>
        <w:t>=</w:t>
      </w:r>
      <w:r>
        <w:rPr>
          <w:rStyle w:val="Codevalue"/>
        </w:rPr>
        <w:t>"line"</w:t>
      </w:r>
      <w:r>
        <w:rPr>
          <w:rStyle w:val="Code"/>
        </w:rPr>
        <w:t xml:space="preserve"> </w:t>
      </w:r>
      <w:r>
        <w:rPr>
          <w:rStyle w:val="Codeattribute"/>
        </w:rPr>
        <w:t>precision</w:t>
      </w:r>
      <w:r>
        <w:rPr>
          <w:rStyle w:val="Code"/>
        </w:rPr>
        <w:t>=</w:t>
      </w:r>
      <w:r>
        <w:rPr>
          <w:rStyle w:val="Codevalue"/>
        </w:rPr>
        <w:t>"low"</w:t>
      </w:r>
      <w:r>
        <w:rPr>
          <w:rStyle w:val="Code"/>
        </w:rPr>
        <w:t xml:space="preserve">&gt;&lt;certainty </w:t>
      </w:r>
      <w:r>
        <w:rPr>
          <w:rStyle w:val="Codeattribute"/>
        </w:rPr>
        <w:t>match</w:t>
      </w:r>
      <w:r>
        <w:rPr>
          <w:rStyle w:val="Code"/>
        </w:rPr>
        <w:t>=</w:t>
      </w:r>
      <w:r>
        <w:rPr>
          <w:rStyle w:val="Codevalue"/>
        </w:rPr>
        <w:t>".."</w:t>
      </w:r>
      <w:r>
        <w:rPr>
          <w:rStyle w:val="Code"/>
        </w:rPr>
        <w:t xml:space="preserve"> </w:t>
      </w:r>
      <w:r>
        <w:rPr>
          <w:rStyle w:val="Codeattribute"/>
        </w:rPr>
        <w:t>locus</w:t>
      </w:r>
      <w:r>
        <w:rPr>
          <w:rStyle w:val="Code"/>
        </w:rPr>
        <w:t>=</w:t>
      </w:r>
      <w:r>
        <w:rPr>
          <w:rStyle w:val="Codevalue"/>
        </w:rPr>
        <w:t>"name"</w:t>
      </w:r>
      <w:r>
        <w:rPr>
          <w:rStyle w:val="Code"/>
        </w:rPr>
        <w:t>/&gt;&lt;/gap&gt;</w:t>
      </w:r>
    </w:p>
    <w:p w14:paraId="475E62CD" w14:textId="77777777">
      <w:pPr>
        <w:pStyle w:val="Lista2"/>
      </w:pPr>
      <w:bookmarkStart w:id="584" w:name="_dag8mx6ycrl2" w:colFirst="0" w:colLast="0"/>
      <w:bookmarkEnd w:id="584"/>
      <w:r>
        <w:t xml:space="preserve">any number of lines possibly lost: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 xml:space="preserve"> </w:t>
      </w:r>
      <w:r>
        <w:rPr>
          <w:rStyle w:val="Codeattribute"/>
        </w:rPr>
        <w:t>unit</w:t>
      </w:r>
      <w:r>
        <w:rPr>
          <w:rStyle w:val="Code"/>
        </w:rPr>
        <w:t>=</w:t>
      </w:r>
      <w:r>
        <w:rPr>
          <w:rStyle w:val="Codevalue"/>
        </w:rPr>
        <w:t>"line"</w:t>
      </w:r>
      <w:r>
        <w:rPr>
          <w:rStyle w:val="Code"/>
        </w:rPr>
        <w:t xml:space="preserve">&gt;&lt;certainty </w:t>
      </w:r>
      <w:r>
        <w:rPr>
          <w:rStyle w:val="Codeattribute"/>
        </w:rPr>
        <w:t>match</w:t>
      </w:r>
      <w:r>
        <w:rPr>
          <w:rStyle w:val="Code"/>
        </w:rPr>
        <w:t>=</w:t>
      </w:r>
      <w:r>
        <w:rPr>
          <w:rStyle w:val="Codevalue"/>
        </w:rPr>
        <w:t>".."</w:t>
      </w:r>
      <w:r>
        <w:rPr>
          <w:rStyle w:val="Code"/>
        </w:rPr>
        <w:t xml:space="preserve"> </w:t>
      </w:r>
      <w:r>
        <w:rPr>
          <w:rStyle w:val="Codeattribute"/>
        </w:rPr>
        <w:t>locus</w:t>
      </w:r>
      <w:r>
        <w:rPr>
          <w:rStyle w:val="Code"/>
        </w:rPr>
        <w:t>=</w:t>
      </w:r>
      <w:r>
        <w:rPr>
          <w:rStyle w:val="Codevalue"/>
        </w:rPr>
        <w:t>"name"</w:t>
      </w:r>
      <w:r>
        <w:rPr>
          <w:rStyle w:val="Code"/>
        </w:rPr>
        <w:t>/&gt;&lt;/gap&gt;</w:t>
      </w:r>
    </w:p>
    <w:p w14:paraId="0B013711" w14:textId="77777777">
      <w:pPr>
        <w:pStyle w:val="Cmsor3"/>
      </w:pPr>
      <w:bookmarkStart w:id="585" w:name="_bj792jk8c4tv" w:colFirst="0" w:colLast="0"/>
      <w:bookmarkStart w:id="586" w:name="_Ref43981711"/>
      <w:bookmarkStart w:id="587" w:name="_Toc243922679"/>
      <w:bookmarkEnd w:id="585"/>
      <w:r>
        <w:t>Managing massive lacunae</w:t>
      </w:r>
      <w:bookmarkEnd w:id="586"/>
      <w:bookmarkEnd w:id="587"/>
    </w:p>
    <w:p w14:paraId="48AA4837" w14:textId="6A4A4E16">
      <w:pPr>
        <w:rPr>
          <w:lang w:eastAsia="en-US" w:bidi="ar-SA"/>
        </w:rPr>
      </w:pPr>
      <w:r>
        <w:rPr>
          <w:lang w:eastAsia="en-US" w:bidi="ar-SA"/>
        </w:rPr>
        <w:t>The preferred method for dealing with lacunae extending over more than one line of text is to reconstruct the lost line beginnings and populate each reconstructed line with an inline lacuna as per §</w:t>
      </w:r>
      <w:r>
        <w:rPr>
          <w:lang w:eastAsia="en-US" w:bidi="ar-SA"/>
        </w:rPr>
        <w:fldChar w:fldCharType="begin"/>
      </w:r>
      <w:r>
        <w:rPr>
          <w:lang w:eastAsia="en-US" w:bidi="ar-SA"/>
        </w:rPr>
        <w:instrText xml:space="preserve"> REF _Ref228368995 \r \h </w:instrText>
      </w:r>
      <w:r>
        <w:rPr>
          <w:lang w:eastAsia="en-US" w:bidi="ar-SA"/>
        </w:rPr>
      </w:r>
      <w:r>
        <w:rPr>
          <w:lang w:eastAsia="en-US" w:bidi="ar-SA"/>
        </w:rPr>
        <w:fldChar w:fldCharType="separate"/>
      </w:r>
      <w:r>
        <w:rPr>
          <w:lang w:eastAsia="en-US" w:bidi="ar-SA"/>
        </w:rPr>
        <w:t>6.5.3.1</w:t>
      </w:r>
      <w:r>
        <w:rPr>
          <w:lang w:eastAsia="en-US" w:bidi="ar-SA"/>
        </w:rPr>
        <w:fldChar w:fldCharType="end"/>
      </w:r>
      <w:r>
        <w:rPr>
          <w:lang w:eastAsia="en-US" w:bidi="ar-SA"/>
        </w:rPr>
        <w:t xml:space="preserve">. However, extensive lacunae can make it impossible or at least unfeasible to fully reconstruct the extrinsic and/or intrinsic structure of a text. When this happens, we speak of a massive lacuna. </w:t>
      </w:r>
    </w:p>
    <w:p w14:paraId="47A132EF" w14:textId="02F544EA">
      <w:pPr>
        <w:pStyle w:val="Normlbehzs"/>
        <w:rPr>
          <w:lang w:eastAsia="en-US" w:bidi="ar-SA"/>
        </w:rPr>
      </w:pPr>
      <w:r>
        <w:rPr>
          <w:lang w:eastAsia="en-US" w:bidi="ar-SA"/>
        </w:rPr>
        <w:t>Around massive lacunae (i.e. at the points where a massive lacuna meets the extant text), we must still create the essential minimum of structural elements for any text that is present in the edition, but the lacuna itself will in this case be encoded outside the usual text containers and does not need to be divided into parts corresponding to lost lines or other units of extrinsic structure. Importantly, however, some text can often be restored (</w:t>
      </w:r>
      <w:r>
        <w:t>§</w:t>
      </w:r>
      <w:r>
        <w:fldChar w:fldCharType="begin"/>
      </w:r>
      <w:r>
        <w:instrText xml:space="preserve"> REF _Ref228459751 \r \h </w:instrText>
      </w:r>
      <w:r>
        <w:fldChar w:fldCharType="separate"/>
      </w:r>
      <w:r>
        <w:t>6.4</w:t>
      </w:r>
      <w:r>
        <w:fldChar w:fldCharType="end"/>
      </w:r>
      <w:r>
        <w:rPr>
          <w:lang w:eastAsia="en-US" w:bidi="ar-SA"/>
        </w:rPr>
        <w:t xml:space="preserve">) at the edge of a massive lacuna, such as the end of a word at the start of the lacuna, or the beginning of a word at the end of the lacuna. Restored text is no less available in the edition than extant text </w:t>
      </w:r>
      <w:r>
        <w:rPr>
          <w:lang w:eastAsia="en-US" w:bidi="ar-SA"/>
        </w:rPr>
        <w:lastRenderedPageBreak/>
        <w:t xml:space="preserve">read from the source, so any applicable structural elements must also be present for restored text. The basic framework for encoding a massive lacuna is illustrated in </w:t>
      </w:r>
      <w:r>
        <w:rPr>
          <w:lang w:eastAsia="en-US" w:bidi="ar-SA"/>
        </w:rPr>
        <w:fldChar w:fldCharType="begin"/>
      </w:r>
      <w:r>
        <w:rPr>
          <w:lang w:eastAsia="en-US" w:bidi="ar-SA"/>
        </w:rPr>
        <w:instrText xml:space="preserve"> REF _Ref228352584 \h </w:instrText>
      </w:r>
      <w:r>
        <w:rPr>
          <w:lang w:eastAsia="en-US" w:bidi="ar-SA"/>
        </w:rPr>
      </w:r>
      <w:r>
        <w:rPr>
          <w:lang w:eastAsia="en-US" w:bidi="ar-SA"/>
        </w:rPr>
        <w:fldChar w:fldCharType="separate"/>
      </w:r>
      <w:r>
        <w:t xml:space="preserve">Exhibit </w:t>
      </w:r>
      <w:r>
        <w:rPr>
          <w:noProof/>
        </w:rPr>
        <w:t>6.5</w:t>
      </w:r>
      <w:r>
        <w:t>.</w:t>
      </w:r>
      <w:r>
        <w:rPr>
          <w:noProof/>
        </w:rPr>
        <w:t>F</w:t>
      </w:r>
      <w:r>
        <w:rPr>
          <w:lang w:eastAsia="en-US" w:bidi="ar-SA"/>
        </w:rPr>
        <w:fldChar w:fldCharType="end"/>
      </w:r>
      <w:r>
        <w:rPr>
          <w:lang w:eastAsia="en-US" w:bidi="ar-SA"/>
        </w:rPr>
        <w:t>, which shows a massive medial lacuna (i.e. one in the middle of a text). The part of the table up to the lacuna is applicable to all situations where text is available before a lacuna, and the part of the table from the lacuna onward is applicable to all situations where text is available after a lacuna.</w:t>
      </w:r>
    </w:p>
    <w:p w14:paraId="3FEC8D90" w14:textId="167C5C51">
      <w:pPr>
        <w:pStyle w:val="Normlbehzs"/>
        <w:rPr>
          <w:lang w:eastAsia="en-US" w:bidi="ar-SA"/>
        </w:rPr>
      </w:pPr>
      <w:r>
        <w:rPr>
          <w:lang w:eastAsia="en-US" w:bidi="ar-SA"/>
        </w:rPr>
        <w:t>Throughout this section, ‘available text’ includes both extant text (readings) and supplied text (restorations), while ‘unavailable text’ refers to text that is lost and not restored.</w:t>
      </w:r>
    </w:p>
    <w:tbl>
      <w:tblPr>
        <w:tblStyle w:val="FigureTable"/>
        <w:tblW w:w="0" w:type="auto"/>
        <w:tblLook w:val="04A0" w:firstRow="1" w:lastRow="0" w:firstColumn="1" w:lastColumn="0" w:noHBand="0" w:noVBand="1"/>
      </w:tblPr>
      <w:tblGrid>
        <w:gridCol w:w="2263"/>
        <w:gridCol w:w="3682"/>
        <w:gridCol w:w="3683"/>
      </w:tblGrid>
      <w:tr w14:paraId="1AD633AE" w14:textId="77777777">
        <w:trPr>
          <w:cnfStyle w:val="100000000000" w:firstRow="1" w:lastRow="0" w:firstColumn="0" w:lastColumn="0" w:oddVBand="0" w:evenVBand="0" w:oddHBand="0" w:evenHBand="0" w:firstRowFirstColumn="0" w:firstRowLastColumn="0" w:lastRowFirstColumn="0" w:lastRowLastColumn="0"/>
        </w:trPr>
        <w:tc>
          <w:tcPr>
            <w:tcW w:w="9628" w:type="dxa"/>
            <w:gridSpan w:val="3"/>
          </w:tcPr>
          <w:p w14:paraId="70FFA7D3" w14:textId="3B92BA1D">
            <w:pPr>
              <w:pStyle w:val="Kpalrs"/>
              <w:rPr>
                <w:lang w:eastAsia="en-US" w:bidi="ar-SA"/>
              </w:rPr>
            </w:pPr>
            <w:bookmarkStart w:id="588" w:name="_Ref228352584"/>
            <w:r>
              <w:t xml:space="preserve">Exhibit </w:t>
            </w:r>
            <w:fldSimple w:instr=" STYLEREF 2 \s ">
              <w:r>
                <w:rPr>
                  <w:noProof/>
                </w:rPr>
                <w:t>6.5</w:t>
              </w:r>
            </w:fldSimple>
            <w:r>
              <w:t>.</w:t>
            </w:r>
            <w:fldSimple w:instr=" SEQ Exhibit \* ALPHABETIC \s 2 ">
              <w:r>
                <w:rPr>
                  <w:noProof/>
                </w:rPr>
                <w:t>F</w:t>
              </w:r>
            </w:fldSimple>
            <w:bookmarkEnd w:id="588"/>
            <w:r>
              <w:t>: structure around a massive lacuna</w:t>
            </w:r>
          </w:p>
        </w:tc>
      </w:tr>
      <w:tr w14:paraId="4B31028C" w14:textId="77777777">
        <w:tc>
          <w:tcPr>
            <w:tcW w:w="2263" w:type="dxa"/>
            <w:tcBorders>
              <w:right w:val="single" w:sz="4" w:space="0" w:color="auto"/>
            </w:tcBorders>
            <w:shd w:val="clear" w:color="auto" w:fill="F0F7D7"/>
          </w:tcPr>
          <w:p w14:paraId="26894E96" w14:textId="77777777">
            <w:pPr>
              <w:jc w:val="right"/>
              <w:rPr>
                <w:b/>
                <w:bCs/>
                <w:lang w:eastAsia="en-US" w:bidi="ar-SA"/>
              </w:rPr>
            </w:pPr>
          </w:p>
        </w:tc>
        <w:tc>
          <w:tcPr>
            <w:tcW w:w="3682" w:type="dxa"/>
            <w:tcBorders>
              <w:left w:val="single" w:sz="4" w:space="0" w:color="auto"/>
              <w:right w:val="single" w:sz="4" w:space="0" w:color="auto"/>
            </w:tcBorders>
            <w:shd w:val="clear" w:color="auto" w:fill="F0F7D7"/>
          </w:tcPr>
          <w:p w14:paraId="7C98A90E" w14:textId="77777777">
            <w:pPr>
              <w:jc w:val="center"/>
              <w:rPr>
                <w:b/>
                <w:bCs/>
                <w:lang w:eastAsia="en-US" w:bidi="ar-SA"/>
              </w:rPr>
            </w:pPr>
            <w:r>
              <w:rPr>
                <w:b/>
                <w:bCs/>
                <w:lang w:eastAsia="en-US" w:bidi="ar-SA"/>
              </w:rPr>
              <w:t>intrinsic structure</w:t>
            </w:r>
          </w:p>
        </w:tc>
        <w:tc>
          <w:tcPr>
            <w:tcW w:w="3683" w:type="dxa"/>
            <w:tcBorders>
              <w:left w:val="single" w:sz="4" w:space="0" w:color="auto"/>
            </w:tcBorders>
            <w:shd w:val="clear" w:color="auto" w:fill="F0F7D7"/>
          </w:tcPr>
          <w:p w14:paraId="079A72C1" w14:textId="77777777">
            <w:pPr>
              <w:jc w:val="center"/>
              <w:rPr>
                <w:b/>
                <w:bCs/>
                <w:lang w:eastAsia="en-US" w:bidi="ar-SA"/>
              </w:rPr>
            </w:pPr>
            <w:r>
              <w:rPr>
                <w:b/>
                <w:bCs/>
                <w:lang w:eastAsia="en-US" w:bidi="ar-SA"/>
              </w:rPr>
              <w:t>extrinsic structure</w:t>
            </w:r>
          </w:p>
        </w:tc>
      </w:tr>
      <w:tr w14:paraId="7589CF49" w14:textId="77777777">
        <w:tc>
          <w:tcPr>
            <w:tcW w:w="2263" w:type="dxa"/>
            <w:tcBorders>
              <w:right w:val="single" w:sz="4" w:space="0" w:color="auto"/>
            </w:tcBorders>
            <w:shd w:val="clear" w:color="auto" w:fill="FFFF00"/>
          </w:tcPr>
          <w:p w14:paraId="323B83AF" w14:textId="77777777">
            <w:pPr>
              <w:jc w:val="right"/>
              <w:rPr>
                <w:b/>
                <w:bCs/>
                <w:lang w:eastAsia="en-US" w:bidi="ar-SA"/>
              </w:rPr>
            </w:pPr>
            <w:r>
              <w:rPr>
                <w:b/>
                <w:bCs/>
                <w:lang w:eastAsia="en-US" w:bidi="ar-SA"/>
              </w:rPr>
              <w:t>structure start</w:t>
            </w:r>
          </w:p>
        </w:tc>
        <w:tc>
          <w:tcPr>
            <w:tcW w:w="3682" w:type="dxa"/>
            <w:tcBorders>
              <w:left w:val="single" w:sz="4" w:space="0" w:color="auto"/>
              <w:right w:val="single" w:sz="4" w:space="0" w:color="auto"/>
            </w:tcBorders>
          </w:tcPr>
          <w:p w14:paraId="3037ADB6" w14:textId="77777777">
            <w:pPr>
              <w:jc w:val="center"/>
              <w:rPr>
                <w:noProof/>
                <w:lang w:eastAsia="en-US" w:bidi="ar-SA"/>
              </w:rPr>
            </w:pPr>
            <w:r>
              <w:rPr>
                <w:rStyle w:val="Code"/>
                <w:lang w:eastAsia="en-US" w:bidi="ar-SA"/>
              </w:rPr>
              <w:t>&lt;p</w:t>
            </w:r>
            <w:r>
              <w:rPr>
                <w:rStyle w:val="Codeattribute"/>
              </w:rPr>
              <w:t xml:space="preserve"> part</w:t>
            </w:r>
            <w:r>
              <w:rPr>
                <w:rStyle w:val="Code"/>
              </w:rPr>
              <w:t>=</w:t>
            </w:r>
            <w:r>
              <w:rPr>
                <w:rStyle w:val="Codevalue"/>
              </w:rPr>
              <w:t>"I"</w:t>
            </w:r>
            <w:r>
              <w:rPr>
                <w:rStyle w:val="Code"/>
                <w:lang w:eastAsia="en-US" w:bidi="ar-SA"/>
              </w:rPr>
              <w:t>&gt;</w:t>
            </w:r>
          </w:p>
        </w:tc>
        <w:tc>
          <w:tcPr>
            <w:tcW w:w="3683" w:type="dxa"/>
            <w:tcBorders>
              <w:left w:val="single" w:sz="4" w:space="0" w:color="auto"/>
            </w:tcBorders>
          </w:tcPr>
          <w:p w14:paraId="630FF07D" w14:textId="77777777">
            <w:pPr>
              <w:jc w:val="center"/>
              <w:rPr>
                <w:noProof/>
                <w:lang w:eastAsia="en-US" w:bidi="ar-SA"/>
              </w:rPr>
            </w:pPr>
            <w:r>
              <w:rPr>
                <w:rStyle w:val="Code"/>
                <w:lang w:eastAsia="en-US" w:bidi="ar-SA"/>
              </w:rPr>
              <w:t>&lt;lb</w:t>
            </w:r>
            <w:r>
              <w:rPr>
                <w:rStyle w:val="Codeattribute"/>
              </w:rPr>
              <w:t xml:space="preserve"> n</w:t>
            </w:r>
            <w:r>
              <w:rPr>
                <w:rStyle w:val="Code"/>
              </w:rPr>
              <w:t>=</w:t>
            </w:r>
            <w:r>
              <w:rPr>
                <w:rStyle w:val="Codevalue"/>
              </w:rPr>
              <w:t>"x"/</w:t>
            </w:r>
            <w:r>
              <w:rPr>
                <w:rStyle w:val="Code"/>
                <w:lang w:eastAsia="en-US" w:bidi="ar-SA"/>
              </w:rPr>
              <w:t>&gt;</w:t>
            </w:r>
          </w:p>
        </w:tc>
      </w:tr>
      <w:tr w14:paraId="11AA1106" w14:textId="77777777">
        <w:tc>
          <w:tcPr>
            <w:tcW w:w="2263" w:type="dxa"/>
            <w:tcBorders>
              <w:right w:val="single" w:sz="4" w:space="0" w:color="auto"/>
            </w:tcBorders>
            <w:shd w:val="clear" w:color="auto" w:fill="FFFFFF" w:themeFill="background1"/>
          </w:tcPr>
          <w:p w14:paraId="42E22898" w14:textId="77777777">
            <w:pPr>
              <w:jc w:val="right"/>
              <w:rPr>
                <w:b/>
                <w:bCs/>
                <w:lang w:eastAsia="en-US" w:bidi="ar-SA"/>
              </w:rPr>
            </w:pPr>
            <w:r>
              <w:rPr>
                <w:b/>
                <w:bCs/>
                <w:lang w:eastAsia="en-US" w:bidi="ar-SA"/>
              </w:rPr>
              <w:t>extant text</w:t>
            </w:r>
          </w:p>
        </w:tc>
        <w:tc>
          <w:tcPr>
            <w:tcW w:w="7365" w:type="dxa"/>
            <w:gridSpan w:val="2"/>
            <w:tcBorders>
              <w:left w:val="single" w:sz="4" w:space="0" w:color="auto"/>
            </w:tcBorders>
          </w:tcPr>
          <w:p w14:paraId="793C1978" w14:textId="77777777">
            <w:pPr>
              <w:jc w:val="center"/>
              <w:rPr>
                <w:rStyle w:val="Code"/>
                <w:lang w:eastAsia="en-US" w:bidi="ar-SA"/>
              </w:rPr>
            </w:pPr>
            <w:r>
              <w:rPr>
                <w:noProof/>
                <w:lang w:eastAsia="en-US" w:bidi="ar-SA"/>
              </w:rPr>
              <w:t>abc</w:t>
            </w:r>
          </w:p>
        </w:tc>
      </w:tr>
      <w:tr w14:paraId="5A34B3F9" w14:textId="77777777">
        <w:tc>
          <w:tcPr>
            <w:tcW w:w="2263" w:type="dxa"/>
            <w:tcBorders>
              <w:right w:val="single" w:sz="4" w:space="0" w:color="auto"/>
            </w:tcBorders>
            <w:shd w:val="clear" w:color="auto" w:fill="D9D9D9" w:themeFill="background1" w:themeFillShade="D9"/>
          </w:tcPr>
          <w:p w14:paraId="445BD38B" w14:textId="77777777">
            <w:pPr>
              <w:jc w:val="right"/>
              <w:rPr>
                <w:b/>
                <w:bCs/>
                <w:lang w:eastAsia="en-US" w:bidi="ar-SA"/>
              </w:rPr>
            </w:pPr>
            <w:r>
              <w:rPr>
                <w:b/>
                <w:bCs/>
                <w:lang w:eastAsia="en-US" w:bidi="ar-SA"/>
              </w:rPr>
              <w:t>restored text</w:t>
            </w:r>
          </w:p>
        </w:tc>
        <w:tc>
          <w:tcPr>
            <w:tcW w:w="7365" w:type="dxa"/>
            <w:gridSpan w:val="2"/>
            <w:tcBorders>
              <w:left w:val="single" w:sz="4" w:space="0" w:color="auto"/>
            </w:tcBorders>
          </w:tcPr>
          <w:p w14:paraId="11CF5676" w14:textId="77777777">
            <w:pPr>
              <w:jc w:val="center"/>
              <w:rPr>
                <w:noProof/>
                <w:lang w:eastAsia="en-US" w:bidi="ar-SA"/>
              </w:rPr>
            </w:pPr>
            <w:r>
              <w:rPr>
                <w:rStyle w:val="Code"/>
                <w:lang w:eastAsia="en-US" w:bidi="ar-SA"/>
              </w:rPr>
              <w:t>&lt;supplied&gt;</w:t>
            </w:r>
            <w:r>
              <w:rPr>
                <w:noProof/>
                <w:lang w:eastAsia="en-US" w:bidi="ar-SA"/>
              </w:rPr>
              <w:t>def</w:t>
            </w:r>
            <w:r>
              <w:rPr>
                <w:rStyle w:val="Code"/>
                <w:lang w:eastAsia="en-US" w:bidi="ar-SA"/>
              </w:rPr>
              <w:t>&lt;/supplied&gt;</w:t>
            </w:r>
          </w:p>
        </w:tc>
      </w:tr>
      <w:tr w14:paraId="316B0938" w14:textId="77777777">
        <w:tc>
          <w:tcPr>
            <w:tcW w:w="2263" w:type="dxa"/>
            <w:tcBorders>
              <w:right w:val="single" w:sz="4" w:space="0" w:color="auto"/>
            </w:tcBorders>
            <w:shd w:val="clear" w:color="auto" w:fill="FFFF00"/>
          </w:tcPr>
          <w:p w14:paraId="32E93FC2" w14:textId="77777777">
            <w:pPr>
              <w:jc w:val="right"/>
              <w:rPr>
                <w:b/>
                <w:bCs/>
                <w:lang w:eastAsia="en-US" w:bidi="ar-SA"/>
              </w:rPr>
            </w:pPr>
            <w:r>
              <w:rPr>
                <w:b/>
                <w:bCs/>
                <w:lang w:eastAsia="en-US" w:bidi="ar-SA"/>
              </w:rPr>
              <w:t>structure end</w:t>
            </w:r>
          </w:p>
        </w:tc>
        <w:tc>
          <w:tcPr>
            <w:tcW w:w="3682" w:type="dxa"/>
            <w:tcBorders>
              <w:left w:val="single" w:sz="4" w:space="0" w:color="auto"/>
              <w:right w:val="single" w:sz="4" w:space="0" w:color="auto"/>
            </w:tcBorders>
          </w:tcPr>
          <w:p w14:paraId="393FC952" w14:textId="77777777">
            <w:pPr>
              <w:jc w:val="center"/>
              <w:rPr>
                <w:noProof/>
                <w:lang w:eastAsia="en-US" w:bidi="ar-SA"/>
              </w:rPr>
            </w:pPr>
            <w:r>
              <w:rPr>
                <w:rStyle w:val="Code"/>
                <w:lang w:eastAsia="en-US" w:bidi="ar-SA"/>
              </w:rPr>
              <w:t>&lt;/p&gt;</w:t>
            </w:r>
          </w:p>
        </w:tc>
        <w:tc>
          <w:tcPr>
            <w:tcW w:w="3683" w:type="dxa"/>
            <w:tcBorders>
              <w:left w:val="single" w:sz="4" w:space="0" w:color="auto"/>
            </w:tcBorders>
          </w:tcPr>
          <w:p w14:paraId="5F1B3271" w14:textId="77777777">
            <w:pPr>
              <w:jc w:val="center"/>
              <w:rPr>
                <w:noProof/>
                <w:lang w:eastAsia="en-US" w:bidi="ar-SA"/>
              </w:rPr>
            </w:pPr>
          </w:p>
        </w:tc>
      </w:tr>
      <w:tr w14:paraId="13C7768E" w14:textId="77777777">
        <w:tc>
          <w:tcPr>
            <w:tcW w:w="2263" w:type="dxa"/>
            <w:tcBorders>
              <w:right w:val="single" w:sz="4" w:space="0" w:color="auto"/>
            </w:tcBorders>
            <w:shd w:val="clear" w:color="auto" w:fill="000000" w:themeFill="text1"/>
          </w:tcPr>
          <w:p w14:paraId="724D7FF5" w14:textId="77777777">
            <w:pPr>
              <w:jc w:val="right"/>
              <w:rPr>
                <w:b/>
                <w:bCs/>
                <w:lang w:eastAsia="en-US" w:bidi="ar-SA"/>
              </w:rPr>
            </w:pPr>
            <w:r>
              <w:rPr>
                <w:b/>
                <w:bCs/>
                <w:lang w:eastAsia="en-US" w:bidi="ar-SA"/>
              </w:rPr>
              <w:t>unavailable text</w:t>
            </w:r>
          </w:p>
        </w:tc>
        <w:tc>
          <w:tcPr>
            <w:tcW w:w="7365" w:type="dxa"/>
            <w:gridSpan w:val="2"/>
            <w:tcBorders>
              <w:left w:val="single" w:sz="4" w:space="0" w:color="auto"/>
            </w:tcBorders>
          </w:tcPr>
          <w:p w14:paraId="2232D94F" w14:textId="77777777">
            <w:pPr>
              <w:jc w:val="center"/>
              <w:rPr>
                <w:noProof/>
                <w:lang w:eastAsia="en-US" w:bidi="ar-SA"/>
              </w:rPr>
            </w:pPr>
            <w:r>
              <w:rPr>
                <w:rStyle w:val="Code"/>
                <w:lang w:eastAsia="en-US" w:bidi="ar-SA"/>
              </w:rPr>
              <w:t>&lt;g</w:t>
            </w:r>
            <w:r>
              <w:rPr>
                <w:rStyle w:val="Code"/>
              </w:rPr>
              <w:t>a</w:t>
            </w:r>
            <w:r>
              <w:rPr>
                <w:rStyle w:val="Code"/>
                <w:lang w:eastAsia="en-US" w:bidi="ar-SA"/>
              </w:rPr>
              <w:t xml:space="preserve">p </w:t>
            </w:r>
            <w:r>
              <w:rPr>
                <w:rStyle w:val="Code"/>
              </w:rPr>
              <w:t>...</w:t>
            </w:r>
            <w:r>
              <w:rPr>
                <w:rStyle w:val="Code"/>
                <w:lang w:eastAsia="en-US" w:bidi="ar-SA"/>
              </w:rPr>
              <w:t>/&gt;</w:t>
            </w:r>
          </w:p>
        </w:tc>
      </w:tr>
      <w:tr w14:paraId="458A9890" w14:textId="77777777">
        <w:tc>
          <w:tcPr>
            <w:tcW w:w="2263" w:type="dxa"/>
            <w:tcBorders>
              <w:right w:val="single" w:sz="4" w:space="0" w:color="auto"/>
            </w:tcBorders>
            <w:shd w:val="clear" w:color="auto" w:fill="FFFF00"/>
          </w:tcPr>
          <w:p w14:paraId="661BEAAB" w14:textId="77777777">
            <w:pPr>
              <w:jc w:val="right"/>
              <w:rPr>
                <w:b/>
                <w:bCs/>
                <w:lang w:eastAsia="en-US" w:bidi="ar-SA"/>
              </w:rPr>
            </w:pPr>
            <w:r>
              <w:rPr>
                <w:b/>
                <w:bCs/>
                <w:lang w:eastAsia="en-US" w:bidi="ar-SA"/>
              </w:rPr>
              <w:t>structure start</w:t>
            </w:r>
          </w:p>
        </w:tc>
        <w:tc>
          <w:tcPr>
            <w:tcW w:w="3682" w:type="dxa"/>
            <w:tcBorders>
              <w:left w:val="single" w:sz="4" w:space="0" w:color="auto"/>
              <w:right w:val="single" w:sz="4" w:space="0" w:color="auto"/>
            </w:tcBorders>
          </w:tcPr>
          <w:p w14:paraId="58068E17" w14:textId="77777777">
            <w:pPr>
              <w:jc w:val="center"/>
              <w:rPr>
                <w:rStyle w:val="Code"/>
                <w:lang w:eastAsia="en-US" w:bidi="ar-SA"/>
              </w:rPr>
            </w:pPr>
            <w:r>
              <w:rPr>
                <w:rStyle w:val="Code"/>
                <w:lang w:eastAsia="en-US" w:bidi="ar-SA"/>
              </w:rPr>
              <w:t>&lt;p</w:t>
            </w:r>
            <w:r>
              <w:rPr>
                <w:rStyle w:val="Codeattribute"/>
              </w:rPr>
              <w:t xml:space="preserve"> part</w:t>
            </w:r>
            <w:r>
              <w:rPr>
                <w:rStyle w:val="Code"/>
              </w:rPr>
              <w:t>=</w:t>
            </w:r>
            <w:r>
              <w:rPr>
                <w:rStyle w:val="Codevalue"/>
              </w:rPr>
              <w:t>"F"</w:t>
            </w:r>
            <w:r>
              <w:rPr>
                <w:rStyle w:val="Code"/>
                <w:lang w:eastAsia="en-US" w:bidi="ar-SA"/>
              </w:rPr>
              <w:t>&gt;</w:t>
            </w:r>
          </w:p>
        </w:tc>
        <w:tc>
          <w:tcPr>
            <w:tcW w:w="3683" w:type="dxa"/>
            <w:tcBorders>
              <w:left w:val="single" w:sz="4" w:space="0" w:color="auto"/>
            </w:tcBorders>
          </w:tcPr>
          <w:p w14:paraId="0E85FEBF" w14:textId="77777777">
            <w:pPr>
              <w:jc w:val="center"/>
              <w:rPr>
                <w:rStyle w:val="Code"/>
                <w:lang w:eastAsia="en-US" w:bidi="ar-SA"/>
              </w:rPr>
            </w:pPr>
            <w:r>
              <w:rPr>
                <w:rStyle w:val="Code"/>
                <w:lang w:eastAsia="en-US" w:bidi="ar-SA"/>
              </w:rPr>
              <w:t>&lt;lb</w:t>
            </w:r>
            <w:r>
              <w:rPr>
                <w:rStyle w:val="Codeattribute"/>
              </w:rPr>
              <w:t xml:space="preserve"> n</w:t>
            </w:r>
            <w:r>
              <w:rPr>
                <w:rStyle w:val="Code"/>
              </w:rPr>
              <w:t>=</w:t>
            </w:r>
            <w:r>
              <w:rPr>
                <w:rStyle w:val="Codevalue"/>
              </w:rPr>
              <w:t>"y"/</w:t>
            </w:r>
            <w:r>
              <w:rPr>
                <w:rStyle w:val="Code"/>
                <w:lang w:eastAsia="en-US" w:bidi="ar-SA"/>
              </w:rPr>
              <w:t>&gt;</w:t>
            </w:r>
          </w:p>
        </w:tc>
      </w:tr>
      <w:tr w14:paraId="46449F2E" w14:textId="77777777">
        <w:tc>
          <w:tcPr>
            <w:tcW w:w="2263" w:type="dxa"/>
            <w:tcBorders>
              <w:right w:val="single" w:sz="4" w:space="0" w:color="auto"/>
            </w:tcBorders>
            <w:shd w:val="clear" w:color="auto" w:fill="D9D9D9" w:themeFill="background1" w:themeFillShade="D9"/>
          </w:tcPr>
          <w:p w14:paraId="710BA879" w14:textId="77777777">
            <w:pPr>
              <w:jc w:val="right"/>
              <w:rPr>
                <w:b/>
                <w:bCs/>
                <w:lang w:eastAsia="en-US" w:bidi="ar-SA"/>
              </w:rPr>
            </w:pPr>
            <w:r>
              <w:rPr>
                <w:b/>
                <w:bCs/>
                <w:lang w:eastAsia="en-US" w:bidi="ar-SA"/>
              </w:rPr>
              <w:t>restored text</w:t>
            </w:r>
          </w:p>
        </w:tc>
        <w:tc>
          <w:tcPr>
            <w:tcW w:w="7365" w:type="dxa"/>
            <w:gridSpan w:val="2"/>
            <w:tcBorders>
              <w:left w:val="single" w:sz="4" w:space="0" w:color="auto"/>
            </w:tcBorders>
          </w:tcPr>
          <w:p w14:paraId="674B13D4" w14:textId="77777777">
            <w:pPr>
              <w:jc w:val="center"/>
              <w:rPr>
                <w:noProof/>
                <w:lang w:eastAsia="en-US" w:bidi="ar-SA"/>
              </w:rPr>
            </w:pPr>
            <w:r>
              <w:rPr>
                <w:rStyle w:val="Code"/>
                <w:lang w:eastAsia="en-US" w:bidi="ar-SA"/>
              </w:rPr>
              <w:t>&lt;supplied&gt;</w:t>
            </w:r>
            <w:r>
              <w:rPr>
                <w:noProof/>
              </w:rPr>
              <w:t>uvw</w:t>
            </w:r>
            <w:r>
              <w:rPr>
                <w:rStyle w:val="Code"/>
                <w:lang w:eastAsia="en-US" w:bidi="ar-SA"/>
              </w:rPr>
              <w:t>&lt;/supplied&gt;</w:t>
            </w:r>
          </w:p>
        </w:tc>
      </w:tr>
      <w:tr w14:paraId="3059D56A" w14:textId="77777777">
        <w:tc>
          <w:tcPr>
            <w:tcW w:w="2263" w:type="dxa"/>
            <w:tcBorders>
              <w:right w:val="single" w:sz="4" w:space="0" w:color="auto"/>
            </w:tcBorders>
            <w:shd w:val="clear" w:color="auto" w:fill="FFFFFF" w:themeFill="background1"/>
          </w:tcPr>
          <w:p w14:paraId="519B8884" w14:textId="77777777">
            <w:pPr>
              <w:jc w:val="right"/>
              <w:rPr>
                <w:b/>
                <w:bCs/>
                <w:lang w:eastAsia="en-US" w:bidi="ar-SA"/>
              </w:rPr>
            </w:pPr>
            <w:r>
              <w:rPr>
                <w:b/>
                <w:bCs/>
                <w:lang w:eastAsia="en-US" w:bidi="ar-SA"/>
              </w:rPr>
              <w:t>extant text</w:t>
            </w:r>
          </w:p>
        </w:tc>
        <w:tc>
          <w:tcPr>
            <w:tcW w:w="7365" w:type="dxa"/>
            <w:gridSpan w:val="2"/>
            <w:tcBorders>
              <w:left w:val="single" w:sz="4" w:space="0" w:color="auto"/>
            </w:tcBorders>
          </w:tcPr>
          <w:p w14:paraId="56D123DE" w14:textId="77777777">
            <w:pPr>
              <w:jc w:val="center"/>
              <w:rPr>
                <w:noProof/>
                <w:lang w:eastAsia="en-US" w:bidi="ar-SA"/>
              </w:rPr>
            </w:pPr>
            <w:r>
              <w:rPr>
                <w:noProof/>
                <w:lang w:eastAsia="en-US" w:bidi="ar-SA"/>
              </w:rPr>
              <w:t>xyz</w:t>
            </w:r>
          </w:p>
        </w:tc>
      </w:tr>
      <w:tr w14:paraId="5E1018D8" w14:textId="77777777">
        <w:tc>
          <w:tcPr>
            <w:tcW w:w="2263" w:type="dxa"/>
            <w:tcBorders>
              <w:right w:val="single" w:sz="4" w:space="0" w:color="auto"/>
            </w:tcBorders>
            <w:shd w:val="clear" w:color="auto" w:fill="FFFF00"/>
          </w:tcPr>
          <w:p w14:paraId="015D0E37" w14:textId="77777777">
            <w:pPr>
              <w:jc w:val="right"/>
              <w:rPr>
                <w:b/>
                <w:bCs/>
                <w:lang w:eastAsia="en-US" w:bidi="ar-SA"/>
              </w:rPr>
            </w:pPr>
            <w:r>
              <w:rPr>
                <w:b/>
                <w:bCs/>
                <w:lang w:eastAsia="en-US" w:bidi="ar-SA"/>
              </w:rPr>
              <w:t>structure end</w:t>
            </w:r>
          </w:p>
        </w:tc>
        <w:tc>
          <w:tcPr>
            <w:tcW w:w="3682" w:type="dxa"/>
            <w:tcBorders>
              <w:left w:val="single" w:sz="4" w:space="0" w:color="auto"/>
              <w:right w:val="single" w:sz="4" w:space="0" w:color="auto"/>
            </w:tcBorders>
          </w:tcPr>
          <w:p w14:paraId="69F70B20" w14:textId="77777777">
            <w:pPr>
              <w:jc w:val="center"/>
              <w:rPr>
                <w:noProof/>
                <w:lang w:eastAsia="en-US" w:bidi="ar-SA"/>
              </w:rPr>
            </w:pPr>
            <w:r>
              <w:rPr>
                <w:rStyle w:val="Code"/>
                <w:lang w:eastAsia="en-US" w:bidi="ar-SA"/>
              </w:rPr>
              <w:t>&lt;/p&gt;</w:t>
            </w:r>
          </w:p>
        </w:tc>
        <w:tc>
          <w:tcPr>
            <w:tcW w:w="3683" w:type="dxa"/>
            <w:tcBorders>
              <w:left w:val="single" w:sz="4" w:space="0" w:color="auto"/>
            </w:tcBorders>
          </w:tcPr>
          <w:p w14:paraId="4572BED7" w14:textId="77777777">
            <w:pPr>
              <w:jc w:val="center"/>
              <w:rPr>
                <w:noProof/>
                <w:lang w:eastAsia="en-US" w:bidi="ar-SA"/>
              </w:rPr>
            </w:pPr>
          </w:p>
        </w:tc>
      </w:tr>
    </w:tbl>
    <w:p w14:paraId="54FFFA92" w14:textId="77777777">
      <w:pPr>
        <w:pStyle w:val="Cmsor4"/>
      </w:pPr>
      <w:bookmarkStart w:id="589" w:name="_Ref228452369"/>
      <w:r>
        <w:t>Encoding a massive lacuna</w:t>
      </w:r>
    </w:p>
    <w:p w14:paraId="7B3C85C2" w14:textId="34523EFB">
      <w:pPr>
        <w:pStyle w:val="Lista"/>
        <w:rPr>
          <w:lang w:eastAsia="en-US" w:bidi="ar-SA"/>
        </w:rPr>
      </w:pPr>
      <w:r>
        <w:rPr>
          <w:lang w:eastAsia="en-US" w:bidi="ar-SA"/>
        </w:rPr>
        <w:t xml:space="preserve">the massive lacuna itself must usually be encoded with a single </w:t>
      </w:r>
      <w:r>
        <w:rPr>
          <w:rStyle w:val="Code"/>
        </w:rPr>
        <w:t>&lt;gap/&gt;</w:t>
      </w:r>
      <w:r>
        <w:t xml:space="preserve"> element for a multiline lacuna as per §</w:t>
      </w:r>
      <w:r>
        <w:fldChar w:fldCharType="begin"/>
      </w:r>
      <w:r>
        <w:instrText xml:space="preserve"> REF _Ref228349461 \r \h </w:instrText>
      </w:r>
      <w:r>
        <w:fldChar w:fldCharType="separate"/>
      </w:r>
      <w:r>
        <w:t>6.5.3.2</w:t>
      </w:r>
      <w:r>
        <w:fldChar w:fldCharType="end"/>
      </w:r>
      <w:r>
        <w:t>, with a known, estimated or unknown number of lines</w:t>
      </w:r>
    </w:p>
    <w:p w14:paraId="5BE451B2" w14:textId="77777777">
      <w:pPr>
        <w:pStyle w:val="Lista"/>
        <w:rPr>
          <w:lang w:eastAsia="en-US" w:bidi="ar-SA"/>
        </w:rPr>
      </w:pPr>
      <w:r>
        <w:rPr>
          <w:lang w:eastAsia="en-US" w:bidi="ar-SA"/>
        </w:rPr>
        <w:t xml:space="preserve">this </w:t>
      </w:r>
      <w:r>
        <w:rPr>
          <w:rStyle w:val="Code"/>
        </w:rPr>
        <w:t>&lt;gap/&gt;</w:t>
      </w:r>
      <w:r>
        <w:t xml:space="preserve"> element is to be placed, exceptionally, outside block-level text containers, so it will be a direct child of the edition division or (if present), a textpart division</w:t>
      </w:r>
    </w:p>
    <w:p w14:paraId="611EFAFF" w14:textId="77777777">
      <w:pPr>
        <w:pStyle w:val="Lista"/>
        <w:rPr>
          <w:lang w:eastAsia="en-US" w:bidi="ar-SA"/>
        </w:rPr>
      </w:pPr>
      <w:r>
        <w:t>the subsections below provide additional considerations for encoding an edition involving a massive lacuna, of which the following are indispensable:</w:t>
      </w:r>
    </w:p>
    <w:p w14:paraId="7C8FE099" w14:textId="07434DEB">
      <w:pPr>
        <w:pStyle w:val="Lista2"/>
        <w:rPr>
          <w:lang w:eastAsia="en-US" w:bidi="ar-SA"/>
        </w:rPr>
      </w:pPr>
      <w:r>
        <w:rPr>
          <w:lang w:eastAsia="en-US" w:bidi="ar-SA"/>
        </w:rPr>
        <w:t>for a massive final lacuna (i.e. where the end of an inscription is lost): §</w:t>
      </w:r>
      <w:r>
        <w:rPr>
          <w:lang w:eastAsia="en-US" w:bidi="ar-SA"/>
        </w:rPr>
        <w:fldChar w:fldCharType="begin"/>
      </w:r>
      <w:r>
        <w:rPr>
          <w:lang w:eastAsia="en-US" w:bidi="ar-SA"/>
        </w:rPr>
        <w:instrText xml:space="preserve"> REF _Ref228453535 \r \h </w:instrText>
      </w:r>
      <w:r>
        <w:rPr>
          <w:lang w:eastAsia="en-US" w:bidi="ar-SA"/>
        </w:rPr>
      </w:r>
      <w:r>
        <w:rPr>
          <w:lang w:eastAsia="en-US" w:bidi="ar-SA"/>
        </w:rPr>
        <w:fldChar w:fldCharType="separate"/>
      </w:r>
      <w:r>
        <w:rPr>
          <w:lang w:eastAsia="en-US" w:bidi="ar-SA"/>
        </w:rPr>
        <w:t>6.5.4.3</w:t>
      </w:r>
      <w:r>
        <w:rPr>
          <w:lang w:eastAsia="en-US" w:bidi="ar-SA"/>
        </w:rPr>
        <w:fldChar w:fldCharType="end"/>
      </w:r>
    </w:p>
    <w:p w14:paraId="36A8573A" w14:textId="6E13383C">
      <w:pPr>
        <w:pStyle w:val="Lista2"/>
        <w:rPr>
          <w:lang w:eastAsia="en-US" w:bidi="ar-SA"/>
        </w:rPr>
      </w:pPr>
      <w:r>
        <w:rPr>
          <w:lang w:eastAsia="en-US" w:bidi="ar-SA"/>
        </w:rPr>
        <w:t>for a massive initial lacuna (i.e. where the beginning of an inscription is lost): §</w:t>
      </w:r>
      <w:r>
        <w:rPr>
          <w:lang w:eastAsia="en-US" w:bidi="ar-SA"/>
        </w:rPr>
        <w:fldChar w:fldCharType="begin"/>
      </w:r>
      <w:r>
        <w:rPr>
          <w:lang w:eastAsia="en-US" w:bidi="ar-SA"/>
        </w:rPr>
        <w:instrText xml:space="preserve"> REF _Ref228453546 \r \h </w:instrText>
      </w:r>
      <w:r>
        <w:rPr>
          <w:lang w:eastAsia="en-US" w:bidi="ar-SA"/>
        </w:rPr>
      </w:r>
      <w:r>
        <w:rPr>
          <w:lang w:eastAsia="en-US" w:bidi="ar-SA"/>
        </w:rPr>
        <w:fldChar w:fldCharType="separate"/>
      </w:r>
      <w:r>
        <w:rPr>
          <w:lang w:eastAsia="en-US" w:bidi="ar-SA"/>
        </w:rPr>
        <w:t>6.5.4.4</w:t>
      </w:r>
      <w:r>
        <w:rPr>
          <w:lang w:eastAsia="en-US" w:bidi="ar-SA"/>
        </w:rPr>
        <w:fldChar w:fldCharType="end"/>
      </w:r>
    </w:p>
    <w:p w14:paraId="73271978" w14:textId="3A384351">
      <w:pPr>
        <w:pStyle w:val="Lista2"/>
        <w:rPr>
          <w:lang w:eastAsia="en-US" w:bidi="ar-SA"/>
        </w:rPr>
      </w:pPr>
      <w:r>
        <w:rPr>
          <w:lang w:eastAsia="en-US" w:bidi="ar-SA"/>
        </w:rPr>
        <w:t>for a massive medial lacuna (i.e. where the middle of an inscription is lost): §</w:t>
      </w:r>
      <w:r>
        <w:rPr>
          <w:lang w:eastAsia="en-US" w:bidi="ar-SA"/>
        </w:rPr>
        <w:fldChar w:fldCharType="begin"/>
      </w:r>
      <w:r>
        <w:rPr>
          <w:lang w:eastAsia="en-US" w:bidi="ar-SA"/>
        </w:rPr>
        <w:instrText xml:space="preserve"> REF _Ref228453535 \r \h </w:instrText>
      </w:r>
      <w:r>
        <w:rPr>
          <w:lang w:eastAsia="en-US" w:bidi="ar-SA"/>
        </w:rPr>
      </w:r>
      <w:r>
        <w:rPr>
          <w:lang w:eastAsia="en-US" w:bidi="ar-SA"/>
        </w:rPr>
        <w:fldChar w:fldCharType="separate"/>
      </w:r>
      <w:r>
        <w:rPr>
          <w:lang w:eastAsia="en-US" w:bidi="ar-SA"/>
        </w:rPr>
        <w:t>6.5.4.3</w:t>
      </w:r>
      <w:r>
        <w:rPr>
          <w:lang w:eastAsia="en-US" w:bidi="ar-SA"/>
        </w:rPr>
        <w:fldChar w:fldCharType="end"/>
      </w:r>
      <w:r>
        <w:rPr>
          <w:lang w:eastAsia="en-US" w:bidi="ar-SA"/>
        </w:rPr>
        <w:t xml:space="preserve"> and §</w:t>
      </w:r>
      <w:r>
        <w:rPr>
          <w:lang w:eastAsia="en-US" w:bidi="ar-SA"/>
        </w:rPr>
        <w:fldChar w:fldCharType="begin"/>
      </w:r>
      <w:r>
        <w:rPr>
          <w:lang w:eastAsia="en-US" w:bidi="ar-SA"/>
        </w:rPr>
        <w:instrText xml:space="preserve"> REF _Ref228453546 \r \h </w:instrText>
      </w:r>
      <w:r>
        <w:rPr>
          <w:lang w:eastAsia="en-US" w:bidi="ar-SA"/>
        </w:rPr>
      </w:r>
      <w:r>
        <w:rPr>
          <w:lang w:eastAsia="en-US" w:bidi="ar-SA"/>
        </w:rPr>
        <w:fldChar w:fldCharType="separate"/>
      </w:r>
      <w:r>
        <w:rPr>
          <w:lang w:eastAsia="en-US" w:bidi="ar-SA"/>
        </w:rPr>
        <w:t>6.5.4.4</w:t>
      </w:r>
      <w:r>
        <w:rPr>
          <w:lang w:eastAsia="en-US" w:bidi="ar-SA"/>
        </w:rPr>
        <w:fldChar w:fldCharType="end"/>
      </w:r>
    </w:p>
    <w:p w14:paraId="3E0902C9" w14:textId="2605E564">
      <w:pPr>
        <w:pStyle w:val="Lista2"/>
        <w:rPr>
          <w:lang w:eastAsia="en-US" w:bidi="ar-SA"/>
        </w:rPr>
      </w:pPr>
      <w:r>
        <w:rPr>
          <w:lang w:eastAsia="en-US" w:bidi="ar-SA"/>
        </w:rPr>
        <w:t>for a massive bilateral lacuna (i.e. where the beginning and end of an inscription are both lost): §</w:t>
      </w:r>
      <w:r>
        <w:rPr>
          <w:lang w:eastAsia="en-US" w:bidi="ar-SA"/>
        </w:rPr>
        <w:fldChar w:fldCharType="begin"/>
      </w:r>
      <w:r>
        <w:rPr>
          <w:lang w:eastAsia="en-US" w:bidi="ar-SA"/>
        </w:rPr>
        <w:instrText xml:space="preserve"> REF _Ref228453546 \r \h </w:instrText>
      </w:r>
      <w:r>
        <w:rPr>
          <w:lang w:eastAsia="en-US" w:bidi="ar-SA"/>
        </w:rPr>
      </w:r>
      <w:r>
        <w:rPr>
          <w:lang w:eastAsia="en-US" w:bidi="ar-SA"/>
        </w:rPr>
        <w:fldChar w:fldCharType="separate"/>
      </w:r>
      <w:r>
        <w:rPr>
          <w:lang w:eastAsia="en-US" w:bidi="ar-SA"/>
        </w:rPr>
        <w:t>6.5.4.4</w:t>
      </w:r>
      <w:r>
        <w:rPr>
          <w:lang w:eastAsia="en-US" w:bidi="ar-SA"/>
        </w:rPr>
        <w:fldChar w:fldCharType="end"/>
      </w:r>
      <w:r>
        <w:rPr>
          <w:lang w:eastAsia="en-US" w:bidi="ar-SA"/>
        </w:rPr>
        <w:t xml:space="preserve"> and §</w:t>
      </w:r>
      <w:r>
        <w:rPr>
          <w:lang w:eastAsia="en-US" w:bidi="ar-SA"/>
        </w:rPr>
        <w:fldChar w:fldCharType="begin"/>
      </w:r>
      <w:r>
        <w:rPr>
          <w:lang w:eastAsia="en-US" w:bidi="ar-SA"/>
        </w:rPr>
        <w:instrText xml:space="preserve"> REF _Ref228453535 \r \h </w:instrText>
      </w:r>
      <w:r>
        <w:rPr>
          <w:lang w:eastAsia="en-US" w:bidi="ar-SA"/>
        </w:rPr>
      </w:r>
      <w:r>
        <w:rPr>
          <w:lang w:eastAsia="en-US" w:bidi="ar-SA"/>
        </w:rPr>
        <w:fldChar w:fldCharType="separate"/>
      </w:r>
      <w:r>
        <w:rPr>
          <w:lang w:eastAsia="en-US" w:bidi="ar-SA"/>
        </w:rPr>
        <w:t>6.5.4.3</w:t>
      </w:r>
      <w:r>
        <w:rPr>
          <w:lang w:eastAsia="en-US" w:bidi="ar-SA"/>
        </w:rPr>
        <w:fldChar w:fldCharType="end"/>
      </w:r>
    </w:p>
    <w:p w14:paraId="7ABCABF6" w14:textId="77777777">
      <w:pPr>
        <w:pStyle w:val="Cmsor4"/>
      </w:pPr>
      <w:bookmarkStart w:id="590" w:name="_Ref228458226"/>
      <w:r>
        <w:t>Alternatives to encoding a massive lacuna</w:t>
      </w:r>
      <w:bookmarkEnd w:id="589"/>
      <w:bookmarkEnd w:id="590"/>
    </w:p>
    <w:p w14:paraId="331DFF7E" w14:textId="236CA7E7">
      <w:pPr>
        <w:pStyle w:val="Lista"/>
      </w:pPr>
      <w:r>
        <w:t xml:space="preserve">when the extrinsic structure of the unavailable text (including line beginnings by default and the beginnings of pages or other larger structural units when applicable) can be reconstructed with fair confidence, then it is preferable to create the applicable structural milestones and encode inline lacunae </w:t>
      </w:r>
      <w:r>
        <w:rPr>
          <w:lang w:eastAsia="en-US" w:bidi="ar-SA"/>
        </w:rPr>
        <w:t>as per §</w:t>
      </w:r>
      <w:r>
        <w:rPr>
          <w:lang w:eastAsia="en-US" w:bidi="ar-SA"/>
        </w:rPr>
        <w:fldChar w:fldCharType="begin"/>
      </w:r>
      <w:r>
        <w:rPr>
          <w:lang w:eastAsia="en-US" w:bidi="ar-SA"/>
        </w:rPr>
        <w:instrText xml:space="preserve"> REF _Ref228368995 \r \h </w:instrText>
      </w:r>
      <w:r>
        <w:rPr>
          <w:lang w:eastAsia="en-US" w:bidi="ar-SA"/>
        </w:rPr>
      </w:r>
      <w:r>
        <w:rPr>
          <w:lang w:eastAsia="en-US" w:bidi="ar-SA"/>
        </w:rPr>
        <w:fldChar w:fldCharType="separate"/>
      </w:r>
      <w:r>
        <w:rPr>
          <w:lang w:eastAsia="en-US" w:bidi="ar-SA"/>
        </w:rPr>
        <w:t>6.5.3.1</w:t>
      </w:r>
      <w:r>
        <w:rPr>
          <w:lang w:eastAsia="en-US" w:bidi="ar-SA"/>
        </w:rPr>
        <w:fldChar w:fldCharType="end"/>
      </w:r>
    </w:p>
    <w:p w14:paraId="20DF59D2" w14:textId="77777777">
      <w:pPr>
        <w:pStyle w:val="Lista2"/>
      </w:pPr>
      <w:r>
        <w:t>however, if this would result in a large number of empty lines (as a rule of thumb: more than half of the edition), then feel free to forego this and encode a massive lacuna instead</w:t>
      </w:r>
    </w:p>
    <w:p w14:paraId="338586FC" w14:textId="2367EF4B">
      <w:pPr>
        <w:pStyle w:val="Lista2"/>
      </w:pPr>
      <w:r>
        <w:t>the structural milestones must be contained within the usual block-level containers for text (§</w:t>
      </w:r>
      <w:r>
        <w:fldChar w:fldCharType="begin"/>
      </w:r>
      <w:r>
        <w:instrText xml:space="preserve"> REF _Ref225502709 \r \h </w:instrText>
      </w:r>
      <w:r>
        <w:fldChar w:fldCharType="separate"/>
      </w:r>
      <w:r>
        <w:t>4.3.3.1</w:t>
      </w:r>
      <w:r>
        <w:fldChar w:fldCharType="end"/>
      </w:r>
      <w:r>
        <w:t>)</w:t>
      </w:r>
    </w:p>
    <w:p w14:paraId="24984625" w14:textId="5E2E6C56">
      <w:pPr>
        <w:pStyle w:val="Lista3"/>
      </w:pPr>
      <w:r>
        <w:t xml:space="preserve">occasionally, it may be possible to reconstruct the intrinsic structure of the unavailable text (especially when physical lines correspond to verse lines), in which case feel free to do so and create separate </w:t>
      </w:r>
      <w:r>
        <w:rPr>
          <w:rStyle w:val="Code"/>
        </w:rPr>
        <w:t>&lt;gap/&gt;</w:t>
      </w:r>
      <w:r>
        <w:t xml:space="preserve"> elements within each container as per §</w:t>
      </w:r>
      <w:r>
        <w:fldChar w:fldCharType="begin"/>
      </w:r>
      <w:r>
        <w:instrText xml:space="preserve"> REF _Ref228267821 \r \h </w:instrText>
      </w:r>
      <w:r>
        <w:fldChar w:fldCharType="separate"/>
      </w:r>
      <w:r>
        <w:t>6.5.2.2</w:t>
      </w:r>
      <w:r>
        <w:fldChar w:fldCharType="end"/>
      </w:r>
    </w:p>
    <w:p w14:paraId="00C7AFB2" w14:textId="149D4A29">
      <w:pPr>
        <w:pStyle w:val="Lista3"/>
      </w:pPr>
      <w:r>
        <w:t xml:space="preserve">but if this is impossible or impracticable, simply create a single </w:t>
      </w:r>
      <w:r>
        <w:rPr>
          <w:rStyle w:val="Code"/>
        </w:rPr>
        <w:t>&lt;ab&gt;</w:t>
      </w:r>
      <w:r>
        <w:t xml:space="preserve"> element (§</w:t>
      </w:r>
      <w:r>
        <w:fldChar w:fldCharType="begin"/>
      </w:r>
      <w:r>
        <w:instrText xml:space="preserve"> REF _Ref43981028 \r \h </w:instrText>
      </w:r>
      <w:r>
        <w:fldChar w:fldCharType="separate"/>
      </w:r>
      <w:r>
        <w:t>3.2.1.2</w:t>
      </w:r>
      <w:r>
        <w:fldChar w:fldCharType="end"/>
      </w:r>
      <w:r>
        <w:t>) as a container for the reconstructed lines without available text</w:t>
      </w:r>
    </w:p>
    <w:p w14:paraId="07ABE043" w14:textId="77777777">
      <w:pPr>
        <w:pStyle w:val="Lista"/>
        <w:rPr>
          <w:lang w:eastAsia="en-US" w:bidi="ar-SA"/>
        </w:rPr>
      </w:pPr>
      <w:r>
        <w:rPr>
          <w:lang w:eastAsia="en-US" w:bidi="ar-SA"/>
        </w:rPr>
        <w:lastRenderedPageBreak/>
        <w:t>when an inscription is interrupted by a massive medial lacuna in such a way that the number of lost lines cannot be counted or estimated reliably, then creating textpart divisions for the extant parts is a viable alternative to encoding a massive lacuna</w:t>
      </w:r>
    </w:p>
    <w:p w14:paraId="67C71E57" w14:textId="45C2368A">
      <w:pPr>
        <w:pStyle w:val="Lista2"/>
      </w:pPr>
      <w:r>
        <w:t>this, in effect, treats the inscription as consisting of unconnected fragments (§</w:t>
      </w:r>
      <w:r>
        <w:fldChar w:fldCharType="begin"/>
      </w:r>
      <w:r>
        <w:instrText xml:space="preserve"> REF _Ref225346692 \r \h </w:instrText>
      </w:r>
      <w:r>
        <w:fldChar w:fldCharType="separate"/>
      </w:r>
      <w:r>
        <w:t>4.7.3.2</w:t>
      </w:r>
      <w:r>
        <w:fldChar w:fldCharType="end"/>
      </w:r>
      <w:r>
        <w:t>), even if the massive lacuna is merely due to surface damage</w:t>
      </w:r>
    </w:p>
    <w:p w14:paraId="5CE3D731" w14:textId="77777777">
      <w:pPr>
        <w:pStyle w:val="Lista2"/>
      </w:pPr>
      <w:r>
        <w:t xml:space="preserve">putting the final extant chunk in a new textpart division allows </w:t>
      </w:r>
      <w:r>
        <w:rPr>
          <w:noProof/>
        </w:rPr>
        <w:t>(</w:t>
      </w:r>
      <w:r>
        <w:t>and compels) you to restart line and stanza numbering from 1, thus avoiding complications arising from being unable to count the number of unavailable lines and stanzas</w:t>
      </w:r>
    </w:p>
    <w:p w14:paraId="2BC36465" w14:textId="77777777">
      <w:pPr>
        <w:pStyle w:val="Lista2"/>
      </w:pPr>
      <w:r>
        <w:t>since textpart divisions encoded as fragments necessarily imply the presence of lacunae between the textparts, lines lost between the fragments shall not be encoded explicitly</w:t>
      </w:r>
    </w:p>
    <w:p w14:paraId="01EF3842" w14:textId="77777777">
      <w:pPr>
        <w:pStyle w:val="Lista3"/>
      </w:pPr>
      <w:r>
        <w:t xml:space="preserve">the use of </w:t>
      </w:r>
      <w:r>
        <w:rPr>
          <w:rStyle w:val="Codeattribute"/>
        </w:rPr>
        <w:t>@part</w:t>
      </w:r>
      <w:r>
        <w:t xml:space="preserve"> on incomplete block-level containers before and after the lacuna applies as described below </w:t>
      </w:r>
    </w:p>
    <w:p w14:paraId="514DECFB" w14:textId="77777777">
      <w:pPr>
        <w:pStyle w:val="Lista3"/>
      </w:pPr>
      <w:r>
        <w:t xml:space="preserve">any partially available lines (i.e. those that contain extant or restored text at the end or beginning) must be completed by encoding an inline lacuna for the part of the line where text is not available </w:t>
      </w:r>
    </w:p>
    <w:p w14:paraId="35892B15" w14:textId="77777777">
      <w:pPr>
        <w:pStyle w:val="Cmsor4"/>
      </w:pPr>
      <w:bookmarkStart w:id="591" w:name="_Ref228453535"/>
      <w:r>
        <w:t>Structure before a massive lacuna</w:t>
      </w:r>
      <w:bookmarkEnd w:id="591"/>
    </w:p>
    <w:p w14:paraId="6A46A390" w14:textId="2BA810DE">
      <w:pPr>
        <w:rPr>
          <w:lang w:eastAsia="en-US" w:bidi="ar-SA"/>
        </w:rPr>
      </w:pPr>
      <w:r>
        <w:rPr>
          <w:lang w:eastAsia="en-US" w:bidi="ar-SA"/>
        </w:rPr>
        <w:t xml:space="preserve">The encoding of a massive final lacuna is illustrated in </w:t>
      </w:r>
      <w:r>
        <w:rPr>
          <w:lang w:eastAsia="en-US" w:bidi="ar-SA"/>
        </w:rPr>
        <w:fldChar w:fldCharType="begin"/>
      </w:r>
      <w:r>
        <w:rPr>
          <w:lang w:eastAsia="en-US" w:bidi="ar-SA"/>
        </w:rPr>
        <w:instrText xml:space="preserve"> REF _Ref228450971 \h </w:instrText>
      </w:r>
      <w:r>
        <w:rPr>
          <w:lang w:eastAsia="en-US" w:bidi="ar-SA"/>
        </w:rPr>
      </w:r>
      <w:r>
        <w:rPr>
          <w:lang w:eastAsia="en-US" w:bidi="ar-SA"/>
        </w:rPr>
        <w:fldChar w:fldCharType="separate"/>
      </w:r>
      <w:r>
        <w:t xml:space="preserve">Exhibit </w:t>
      </w:r>
      <w:r>
        <w:rPr>
          <w:noProof/>
        </w:rPr>
        <w:t>6.5</w:t>
      </w:r>
      <w:r>
        <w:t>.</w:t>
      </w:r>
      <w:r>
        <w:rPr>
          <w:noProof/>
        </w:rPr>
        <w:t>G</w:t>
      </w:r>
      <w:r>
        <w:rPr>
          <w:lang w:eastAsia="en-US" w:bidi="ar-SA"/>
        </w:rPr>
        <w:fldChar w:fldCharType="end"/>
      </w:r>
      <w:r>
        <w:rPr>
          <w:lang w:eastAsia="en-US" w:bidi="ar-SA"/>
        </w:rPr>
        <w:t>.</w:t>
      </w:r>
    </w:p>
    <w:p w14:paraId="32FDAA79" w14:textId="77777777">
      <w:pPr>
        <w:pStyle w:val="Lista"/>
        <w:rPr>
          <w:lang w:eastAsia="en-US" w:bidi="ar-SA"/>
        </w:rPr>
      </w:pPr>
      <w:r>
        <w:rPr>
          <w:b/>
          <w:bCs/>
          <w:lang w:eastAsia="en-US" w:bidi="ar-SA"/>
        </w:rPr>
        <w:t>intrinsic structure</w:t>
      </w:r>
    </w:p>
    <w:p w14:paraId="4881B1A8" w14:textId="1A504EAB">
      <w:pPr>
        <w:pStyle w:val="Lista2"/>
        <w:rPr>
          <w:lang w:eastAsia="en-US" w:bidi="ar-SA"/>
        </w:rPr>
      </w:pPr>
      <w:r>
        <w:rPr>
          <w:lang w:eastAsia="en-US" w:bidi="ar-SA"/>
        </w:rPr>
        <w:t>because all available text must be within a container for intrinsic structure (§</w:t>
      </w:r>
      <w:r>
        <w:rPr>
          <w:lang w:eastAsia="en-US" w:bidi="ar-SA"/>
        </w:rPr>
        <w:fldChar w:fldCharType="begin"/>
      </w:r>
      <w:r>
        <w:rPr>
          <w:lang w:eastAsia="en-US" w:bidi="ar-SA"/>
        </w:rPr>
        <w:instrText xml:space="preserve"> REF _Ref225153755 \r \h </w:instrText>
      </w:r>
      <w:r>
        <w:rPr>
          <w:lang w:eastAsia="en-US" w:bidi="ar-SA"/>
        </w:rPr>
      </w:r>
      <w:r>
        <w:rPr>
          <w:lang w:eastAsia="en-US" w:bidi="ar-SA"/>
        </w:rPr>
        <w:fldChar w:fldCharType="separate"/>
      </w:r>
      <w:r>
        <w:rPr>
          <w:lang w:eastAsia="en-US" w:bidi="ar-SA"/>
        </w:rPr>
        <w:t>3.1</w:t>
      </w:r>
      <w:r>
        <w:rPr>
          <w:lang w:eastAsia="en-US" w:bidi="ar-SA"/>
        </w:rPr>
        <w:fldChar w:fldCharType="end"/>
      </w:r>
      <w:r>
        <w:rPr>
          <w:lang w:eastAsia="en-US" w:bidi="ar-SA"/>
        </w:rPr>
        <w:t>) but intrinsic structure is not reconstructed within a massive lacuna, any open block-level containers must be closed after all text ends and before the lacuna is encoded</w:t>
      </w:r>
    </w:p>
    <w:p w14:paraId="328961BC" w14:textId="4E1BF7B5">
      <w:pPr>
        <w:pStyle w:val="Lista2"/>
        <w:rPr>
          <w:lang w:eastAsia="en-US" w:bidi="ar-SA"/>
        </w:rPr>
      </w:pPr>
      <w:r>
        <w:rPr>
          <w:lang w:eastAsia="en-US" w:bidi="ar-SA"/>
        </w:rPr>
        <w:t xml:space="preserve">if the end of the available text does not coincide with the natural (semantic or metrical) end of the container, so the container ends prematurely, then the interrupted container must be encoded with </w:t>
      </w:r>
      <w:r>
        <w:rPr>
          <w:rStyle w:val="Codeattribute"/>
        </w:rPr>
        <w:t>@part</w:t>
      </w:r>
      <w:r>
        <w:rPr>
          <w:rStyle w:val="Code"/>
        </w:rPr>
        <w:t>=</w:t>
      </w:r>
      <w:r>
        <w:rPr>
          <w:rStyle w:val="Codevalue"/>
        </w:rPr>
        <w:t>"I"</w:t>
      </w:r>
      <w:r>
        <w:t xml:space="preserve"> (or </w:t>
      </w:r>
      <w:r>
        <w:rPr>
          <w:rStyle w:val="Codeattribute"/>
        </w:rPr>
        <w:t>@part</w:t>
      </w:r>
      <w:r>
        <w:rPr>
          <w:rStyle w:val="Code"/>
        </w:rPr>
        <w:t>=</w:t>
      </w:r>
      <w:r>
        <w:rPr>
          <w:rStyle w:val="Codevalue"/>
        </w:rPr>
        <w:t>"M"</w:t>
      </w:r>
      <w:r>
        <w:t xml:space="preserve"> if the beginning of the same container is lost to another lacuna) as per §</w:t>
      </w:r>
      <w:r>
        <w:fldChar w:fldCharType="begin"/>
      </w:r>
      <w:r>
        <w:instrText xml:space="preserve"> REF _Ref228980509 \r \h </w:instrText>
      </w:r>
      <w:r>
        <w:fldChar w:fldCharType="separate"/>
      </w:r>
      <w:r>
        <w:t>3.2.3.1</w:t>
      </w:r>
      <w:r>
        <w:fldChar w:fldCharType="end"/>
      </w:r>
      <w:r>
        <w:rPr>
          <w:lang w:eastAsia="en-US" w:bidi="ar-SA"/>
        </w:rPr>
        <w:t xml:space="preserve"> </w:t>
      </w:r>
    </w:p>
    <w:p w14:paraId="5B772BC2" w14:textId="77777777">
      <w:pPr>
        <w:pStyle w:val="Lista2"/>
        <w:rPr>
          <w:lang w:eastAsia="en-US" w:bidi="ar-SA"/>
        </w:rPr>
      </w:pPr>
      <w:r>
        <w:t>if the available text is in more than one nested container (verse lines in a stanza or a list in a paragraph), then care must be taken</w:t>
      </w:r>
    </w:p>
    <w:p w14:paraId="05D68FBD" w14:textId="77777777">
      <w:pPr>
        <w:pStyle w:val="Lista3"/>
        <w:rPr>
          <w:lang w:eastAsia="en-US" w:bidi="ar-SA"/>
        </w:rPr>
      </w:pPr>
      <w:r>
        <w:t>to add the end tag for all containers</w:t>
      </w:r>
    </w:p>
    <w:p w14:paraId="13550C78" w14:textId="77777777">
      <w:pPr>
        <w:pStyle w:val="Lista3"/>
        <w:rPr>
          <w:lang w:eastAsia="en-US" w:bidi="ar-SA"/>
        </w:rPr>
      </w:pPr>
      <w:r>
        <w:t xml:space="preserve">and to add </w:t>
      </w:r>
      <w:r>
        <w:rPr>
          <w:rStyle w:val="Codeattribute"/>
        </w:rPr>
        <w:t>@part</w:t>
      </w:r>
      <w:r>
        <w:t xml:space="preserve"> to all containers which end prematurely</w:t>
      </w:r>
    </w:p>
    <w:p w14:paraId="40CC2405" w14:textId="77777777">
      <w:pPr>
        <w:pStyle w:val="Lista4"/>
      </w:pPr>
      <w:r>
        <w:t xml:space="preserve">if the end of the available text coincides with the end of a verse line, then </w:t>
      </w:r>
      <w:r>
        <w:rPr>
          <w:rStyle w:val="Codeattribute"/>
        </w:rPr>
        <w:t>@part</w:t>
      </w:r>
      <w:r>
        <w:t xml:space="preserve"> is not applicable to that </w:t>
      </w:r>
      <w:r>
        <w:rPr>
          <w:rStyle w:val="Code"/>
        </w:rPr>
        <w:t>&lt;l&gt;</w:t>
      </w:r>
      <w:r>
        <w:t xml:space="preserve"> element, but may still be applicable to the enclosing </w:t>
      </w:r>
      <w:r>
        <w:rPr>
          <w:rStyle w:val="Code"/>
        </w:rPr>
        <w:t>&lt;lg&gt;</w:t>
      </w:r>
      <w:r>
        <w:t xml:space="preserve"> element if the stanza had subsequent lines lost to the lacuna</w:t>
      </w:r>
    </w:p>
    <w:p w14:paraId="728EB825" w14:textId="2D337742">
      <w:pPr>
        <w:pStyle w:val="Lista2"/>
        <w:rPr>
          <w:lang w:eastAsia="en-US" w:bidi="ar-SA"/>
        </w:rPr>
      </w:pPr>
      <w:r>
        <w:rPr>
          <w:lang w:eastAsia="en-US" w:bidi="ar-SA"/>
        </w:rPr>
        <w:t xml:space="preserve">because structure is not reconstructed within a massive lacuna and interrupted containers are tagged with </w:t>
      </w:r>
      <w:r>
        <w:rPr>
          <w:rStyle w:val="Codeattribute"/>
        </w:rPr>
        <w:t>@part</w:t>
      </w:r>
      <w:r>
        <w:t xml:space="preserve"> to show that they are incomplete, additional containers for unavailable verse lines need not and must not be created (unlike the case in §</w:t>
      </w:r>
      <w:r>
        <w:fldChar w:fldCharType="begin"/>
      </w:r>
      <w:r>
        <w:instrText xml:space="preserve"> REF _Ref228267821 \r \h </w:instrText>
      </w:r>
      <w:r>
        <w:fldChar w:fldCharType="separate"/>
      </w:r>
      <w:r>
        <w:t>6.5.2.2</w:t>
      </w:r>
      <w:r>
        <w:fldChar w:fldCharType="end"/>
      </w:r>
      <w:r>
        <w:t>)</w:t>
      </w:r>
    </w:p>
    <w:p w14:paraId="683B4598" w14:textId="77777777">
      <w:pPr>
        <w:pStyle w:val="Lista"/>
      </w:pPr>
      <w:r>
        <w:rPr>
          <w:b/>
          <w:bCs/>
          <w:lang w:eastAsia="en-US" w:bidi="ar-SA"/>
        </w:rPr>
        <w:t>extrinsic structure</w:t>
      </w:r>
    </w:p>
    <w:p w14:paraId="44E9D69F" w14:textId="1630AD94">
      <w:pPr>
        <w:pStyle w:val="Lista2"/>
      </w:pPr>
      <w:r>
        <w:t>the elements representing extrinsic structure are milestones that mark transition points (§</w:t>
      </w:r>
      <w:r>
        <w:fldChar w:fldCharType="begin"/>
      </w:r>
      <w:r>
        <w:instrText xml:space="preserve"> REF _Ref182923075 \r \h </w:instrText>
      </w:r>
      <w:r>
        <w:fldChar w:fldCharType="separate"/>
      </w:r>
      <w:r>
        <w:t>4.1</w:t>
      </w:r>
      <w:r>
        <w:fldChar w:fldCharType="end"/>
      </w:r>
      <w:r>
        <w:t>), so units of extrinsic structure do not have endpoints represented in the encoding and therefore cannot be “closed” before a lacuna</w:t>
      </w:r>
    </w:p>
    <w:p w14:paraId="59DB7C02" w14:textId="12A2D380">
      <w:pPr>
        <w:pStyle w:val="Lista2"/>
      </w:pPr>
      <w:r>
        <w:t>line numbering is mandatory in all our editions (§</w:t>
      </w:r>
      <w:r>
        <w:fldChar w:fldCharType="begin"/>
      </w:r>
      <w:r>
        <w:instrText xml:space="preserve"> REF _Ref225761016 \r \h </w:instrText>
      </w:r>
      <w:r>
        <w:fldChar w:fldCharType="separate"/>
      </w:r>
      <w:r>
        <w:t>4.5.2</w:t>
      </w:r>
      <w:r>
        <w:fldChar w:fldCharType="end"/>
      </w:r>
      <w:r>
        <w:t>), so all available text must belong to a numbered line</w:t>
      </w:r>
    </w:p>
    <w:p w14:paraId="5431484B" w14:textId="77777777">
      <w:pPr>
        <w:pStyle w:val="Lista3"/>
      </w:pPr>
      <w:r>
        <w:t>thus, if any text is restored after the last extant line, a line beginning must be created for the line containing that restored text</w:t>
      </w:r>
    </w:p>
    <w:p w14:paraId="01AF50D9" w14:textId="780D767F">
      <w:pPr>
        <w:pStyle w:val="Lista3"/>
      </w:pPr>
      <w:r>
        <w:t>however, see §</w:t>
      </w:r>
      <w:r>
        <w:fldChar w:fldCharType="begin"/>
      </w:r>
      <w:r>
        <w:instrText xml:space="preserve"> REF _Ref228367464 \r \h </w:instrText>
      </w:r>
      <w:r>
        <w:fldChar w:fldCharType="separate"/>
      </w:r>
      <w:r>
        <w:t>6.5.4.5</w:t>
      </w:r>
      <w:r>
        <w:fldChar w:fldCharType="end"/>
      </w:r>
      <w:r>
        <w:t xml:space="preserve"> for an alternative</w:t>
      </w:r>
    </w:p>
    <w:p w14:paraId="3DBD4204" w14:textId="70243163">
      <w:pPr>
        <w:pStyle w:val="Lista2"/>
      </w:pPr>
      <w:r>
        <w:t>if any line has available text (whether extant or restored) at the beginning but no available text later on, then an inline lacuna (§</w:t>
      </w:r>
      <w:r>
        <w:fldChar w:fldCharType="begin"/>
      </w:r>
      <w:r>
        <w:instrText xml:space="preserve"> REF _Ref43988016 \r \h </w:instrText>
      </w:r>
      <w:r>
        <w:fldChar w:fldCharType="separate"/>
      </w:r>
      <w:r>
        <w:t>6.5.2</w:t>
      </w:r>
      <w:r>
        <w:fldChar w:fldCharType="end"/>
      </w:r>
      <w:r>
        <w:t>) must be encoded for the remainder of that line</w:t>
      </w:r>
    </w:p>
    <w:p w14:paraId="209A5B3D" w14:textId="77777777">
      <w:pPr>
        <w:pStyle w:val="Lista3"/>
      </w:pPr>
      <w:r>
        <w:t>the inline lacuna is an entity separate from the massive lacuna and must, as usual, be within and not outside the block level text containers</w:t>
      </w:r>
    </w:p>
    <w:p w14:paraId="5CAAFE16" w14:textId="66EDB893">
      <w:pPr>
        <w:pStyle w:val="Lista4"/>
      </w:pPr>
      <w:r>
        <w:t>if this happens in a verse context, attempt to reconstruct verse structure as per §</w:t>
      </w:r>
      <w:r>
        <w:fldChar w:fldCharType="begin"/>
      </w:r>
      <w:r>
        <w:instrText xml:space="preserve"> REF _Ref228267821 \r \h </w:instrText>
      </w:r>
      <w:r>
        <w:fldChar w:fldCharType="separate"/>
      </w:r>
      <w:r>
        <w:t>6.5.2.2</w:t>
      </w:r>
      <w:r>
        <w:fldChar w:fldCharType="end"/>
      </w:r>
      <w:r>
        <w:t xml:space="preserve"> for the duration of the inline lacuna, even though structure is not reconstructed for the massive lacuna itself</w:t>
      </w:r>
    </w:p>
    <w:p w14:paraId="26E28469" w14:textId="77777777">
      <w:pPr>
        <w:pStyle w:val="Lista4"/>
      </w:pPr>
      <w:r>
        <w:lastRenderedPageBreak/>
        <w:t xml:space="preserve">however, if this proves problematic, you may alternatively choose to encode the incomplete stanza as above, then create an </w:t>
      </w:r>
      <w:r>
        <w:rPr>
          <w:rStyle w:val="Code"/>
        </w:rPr>
        <w:t>&lt;ab&gt;</w:t>
      </w:r>
      <w:r>
        <w:t xml:space="preserve"> element after it (and before the massive lacuna) to contain only the inline lacuna</w:t>
      </w:r>
    </w:p>
    <w:p w14:paraId="5AFE71A1" w14:textId="3FD5D7FA">
      <w:pPr>
        <w:pStyle w:val="Lista2"/>
      </w:pPr>
      <w:r>
        <w:t>if an inscription with a massive lacuna contains pages or pagelike milestones, handle it according to the considerations offered for incomplete copperplate sets (§</w:t>
      </w:r>
      <w:r>
        <w:fldChar w:fldCharType="begin"/>
      </w:r>
      <w:r>
        <w:instrText xml:space="preserve"> REF _Ref228453273 \r \h </w:instrText>
      </w:r>
      <w:r>
        <w:fldChar w:fldCharType="separate"/>
      </w:r>
      <w:r>
        <w:t>6.5.5</w:t>
      </w:r>
      <w:r>
        <w:fldChar w:fldCharType="end"/>
      </w:r>
      <w:r>
        <w:t>)</w:t>
      </w:r>
    </w:p>
    <w:p w14:paraId="6E5A243F" w14:textId="77777777">
      <w:pPr>
        <w:pStyle w:val="Lista2"/>
      </w:pPr>
      <w:r>
        <w:t>if an inscription with a massive lacuna contains lower-level structural boundaries (gridlike milestones), these must be ignored for the extent of the massive lacuna itself, but</w:t>
      </w:r>
    </w:p>
    <w:p w14:paraId="132D8145" w14:textId="77777777">
      <w:pPr>
        <w:pStyle w:val="Lista3"/>
      </w:pPr>
      <w:r>
        <w:t>must be reconstructed as applicable to any restored text</w:t>
      </w:r>
    </w:p>
    <w:p w14:paraId="46F5EE82" w14:textId="4DC9BAEA">
      <w:pPr>
        <w:pStyle w:val="Lista3"/>
      </w:pPr>
      <w:r>
        <w:t>may be optionally reconstructed for the segmentation of inline lacunae adjacent to the massive lacuna, when this is feasible</w:t>
      </w:r>
    </w:p>
    <w:tbl>
      <w:tblPr>
        <w:tblStyle w:val="CodeSampleTable"/>
        <w:tblW w:w="5000" w:type="pct"/>
        <w:tblLook w:val="04A0" w:firstRow="1" w:lastRow="0" w:firstColumn="1" w:lastColumn="0" w:noHBand="0" w:noVBand="1"/>
      </w:tblPr>
      <w:tblGrid>
        <w:gridCol w:w="9628"/>
      </w:tblGrid>
      <w:tr w14:paraId="1D5F4FA9"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3CBD2B5" w14:textId="1AD44971">
            <w:pPr>
              <w:pStyle w:val="Kpalrs"/>
            </w:pPr>
            <w:bookmarkStart w:id="592" w:name="_Ref228450971"/>
            <w:r>
              <w:t xml:space="preserve">Exhibit </w:t>
            </w:r>
            <w:fldSimple w:instr=" STYLEREF 2 \s ">
              <w:r>
                <w:rPr>
                  <w:noProof/>
                </w:rPr>
                <w:t>6.5</w:t>
              </w:r>
            </w:fldSimple>
            <w:r>
              <w:t>.</w:t>
            </w:r>
            <w:fldSimple w:instr=" SEQ Exhibit \* ALPHABETIC \s 2 ">
              <w:r>
                <w:rPr>
                  <w:noProof/>
                </w:rPr>
                <w:t>G</w:t>
              </w:r>
            </w:fldSimple>
            <w:bookmarkEnd w:id="592"/>
            <w:r>
              <w:t>: massive final lacuna</w:t>
            </w:r>
          </w:p>
        </w:tc>
      </w:tr>
      <w:tr w14:paraId="3F1EBE5D" w14:textId="77777777">
        <w:tc>
          <w:tcPr>
            <w:tcW w:w="5000" w:type="pct"/>
          </w:tcPr>
          <w:p w14:paraId="6C7FBB11" w14:textId="77777777">
            <w:pPr>
              <w:pStyle w:val="CodeParagraph"/>
              <w:rPr>
                <w:rStyle w:val="Code"/>
              </w:rPr>
            </w:pPr>
            <w:r>
              <w:rPr>
                <w:rStyle w:val="Code"/>
              </w:rPr>
              <w:t xml:space="preserve">&lt;p </w:t>
            </w:r>
            <w:r>
              <w:rPr>
                <w:rStyle w:val="Codeattribute"/>
              </w:rPr>
              <w:t>part</w:t>
            </w:r>
            <w:r>
              <w:rPr>
                <w:rStyle w:val="Code"/>
              </w:rPr>
              <w:t>=</w:t>
            </w:r>
            <w:r>
              <w:rPr>
                <w:rStyle w:val="Codevalue"/>
              </w:rPr>
              <w:t>"I"</w:t>
            </w:r>
            <w:r>
              <w:rPr>
                <w:rStyle w:val="Code"/>
              </w:rPr>
              <w:t>&gt;</w:t>
            </w:r>
            <w:r>
              <w:rPr>
                <w:rStyle w:val="Codetext"/>
              </w:rPr>
              <w:t>...</w:t>
            </w:r>
            <w:r>
              <w:rPr>
                <w:rStyle w:val="Codetext"/>
              </w:rPr>
              <w:br/>
            </w:r>
            <w:r>
              <w:rPr>
                <w:rStyle w:val="Code"/>
              </w:rPr>
              <w:t xml:space="preserve">  &lt;lb </w:t>
            </w:r>
            <w:r>
              <w:rPr>
                <w:rStyle w:val="Codeattribute"/>
              </w:rPr>
              <w:t>n</w:t>
            </w:r>
            <w:r>
              <w:rPr>
                <w:rStyle w:val="Code"/>
              </w:rPr>
              <w:t>=</w:t>
            </w:r>
            <w:r>
              <w:rPr>
                <w:rStyle w:val="Codevalue"/>
              </w:rPr>
              <w:t>"5"</w:t>
            </w:r>
            <w:r>
              <w:rPr>
                <w:rStyle w:val="Code"/>
              </w:rPr>
              <w:t>/&gt;</w:t>
            </w:r>
            <w:r>
              <w:rPr>
                <w:rStyle w:val="Codetext"/>
              </w:rPr>
              <w:t>tāpasāśrama-va</w:t>
            </w:r>
            <w:r>
              <w:rPr>
                <w:rStyle w:val="Code"/>
              </w:rPr>
              <w:t>&lt;supplied&gt;</w:t>
            </w:r>
            <w:r>
              <w:rPr>
                <w:rStyle w:val="Codetext"/>
              </w:rPr>
              <w:t>ne</w:t>
            </w:r>
            <w:r>
              <w:rPr>
                <w:rStyle w:val="Code"/>
              </w:rPr>
              <w:t xml:space="preserve">&lt;/supplied&gt; </w:t>
            </w:r>
          </w:p>
          <w:p w14:paraId="7B386F9C" w14:textId="77777777">
            <w:pPr>
              <w:pStyle w:val="CodeParagraph"/>
            </w:pPr>
            <w:r>
              <w:rPr>
                <w:rStyle w:val="Code"/>
              </w:rPr>
              <w:t xml:space="preserve">  &lt;gap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 xml:space="preserve"> </w:t>
            </w:r>
            <w:r>
              <w:rPr>
                <w:rStyle w:val="Codeattribute"/>
              </w:rPr>
              <w:t>unit</w:t>
            </w:r>
            <w:r>
              <w:rPr>
                <w:rStyle w:val="Code"/>
              </w:rPr>
              <w:t>=</w:t>
            </w:r>
            <w:r>
              <w:rPr>
                <w:rStyle w:val="Codevalue"/>
              </w:rPr>
              <w:t>"character"</w:t>
            </w:r>
            <w:r>
              <w:rPr>
                <w:rStyle w:val="Code"/>
              </w:rPr>
              <w:t>&gt;</w:t>
            </w:r>
            <w:r>
              <w:rPr>
                <w:rStyle w:val="Codetext"/>
              </w:rPr>
              <w:br/>
            </w:r>
            <w:r>
              <w:rPr>
                <w:rStyle w:val="Code"/>
              </w:rPr>
              <w:t>&lt;/p&gt;</w:t>
            </w:r>
            <w:r>
              <w:rPr>
                <w:rStyle w:val="Codetext"/>
              </w:rPr>
              <w:br/>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 xml:space="preserve"> </w:t>
            </w:r>
            <w:r>
              <w:rPr>
                <w:rStyle w:val="Codeattribute"/>
              </w:rPr>
              <w:t>unit</w:t>
            </w:r>
            <w:r>
              <w:rPr>
                <w:rStyle w:val="Code"/>
              </w:rPr>
              <w:t>=</w:t>
            </w:r>
            <w:r>
              <w:rPr>
                <w:rStyle w:val="Codevalue"/>
              </w:rPr>
              <w:t>"line"</w:t>
            </w:r>
            <w:r>
              <w:rPr>
                <w:rStyle w:val="Code"/>
              </w:rPr>
              <w:t>/&gt;</w:t>
            </w:r>
          </w:p>
        </w:tc>
      </w:tr>
      <w:tr w14:paraId="0BF00542" w14:textId="77777777">
        <w:tc>
          <w:tcPr>
            <w:tcW w:w="5000" w:type="pct"/>
          </w:tcPr>
          <w:p w14:paraId="1979D805" w14:textId="77777777">
            <w:pPr>
              <w:pStyle w:val="TableNote"/>
            </w:pPr>
            <w:r>
              <w:t>line 5 is the last extant line, containing some text followed by a partial restoration and an inline lacuna</w:t>
            </w:r>
          </w:p>
          <w:p w14:paraId="7260F04F" w14:textId="77777777">
            <w:pPr>
              <w:pStyle w:val="TableNote"/>
            </w:pPr>
            <w:r>
              <w:t>after the end-tag for the block-level container, a massive lacuna of unknown size is encoded</w:t>
            </w:r>
          </w:p>
        </w:tc>
      </w:tr>
    </w:tbl>
    <w:p w14:paraId="19B14986" w14:textId="77777777">
      <w:pPr>
        <w:pStyle w:val="Cmsor4"/>
      </w:pPr>
      <w:bookmarkStart w:id="593" w:name="_Ref228453546"/>
      <w:r>
        <w:t>Structure after a massive lacuna</w:t>
      </w:r>
      <w:bookmarkEnd w:id="593"/>
    </w:p>
    <w:p w14:paraId="415E5B8B" w14:textId="2A15DC8F">
      <w:pPr>
        <w:rPr>
          <w:lang w:eastAsia="en-US" w:bidi="ar-SA"/>
        </w:rPr>
      </w:pPr>
      <w:r>
        <w:rPr>
          <w:lang w:eastAsia="en-US" w:bidi="ar-SA"/>
        </w:rPr>
        <w:t xml:space="preserve">The encoding of a massive initial lacuna is illustrated in </w:t>
      </w:r>
      <w:r>
        <w:rPr>
          <w:lang w:eastAsia="en-US" w:bidi="ar-SA"/>
        </w:rPr>
        <w:fldChar w:fldCharType="begin"/>
      </w:r>
      <w:r>
        <w:rPr>
          <w:lang w:eastAsia="en-US" w:bidi="ar-SA"/>
        </w:rPr>
        <w:instrText xml:space="preserve"> REF _Ref228450997 \h </w:instrText>
      </w:r>
      <w:r>
        <w:rPr>
          <w:lang w:eastAsia="en-US" w:bidi="ar-SA"/>
        </w:rPr>
      </w:r>
      <w:r>
        <w:rPr>
          <w:lang w:eastAsia="en-US" w:bidi="ar-SA"/>
        </w:rPr>
        <w:fldChar w:fldCharType="separate"/>
      </w:r>
      <w:r>
        <w:t xml:space="preserve">Exhibit </w:t>
      </w:r>
      <w:r>
        <w:rPr>
          <w:noProof/>
        </w:rPr>
        <w:t>6.5</w:t>
      </w:r>
      <w:r>
        <w:t>.</w:t>
      </w:r>
      <w:r>
        <w:rPr>
          <w:noProof/>
        </w:rPr>
        <w:t>H</w:t>
      </w:r>
      <w:r>
        <w:rPr>
          <w:lang w:eastAsia="en-US" w:bidi="ar-SA"/>
        </w:rPr>
        <w:fldChar w:fldCharType="end"/>
      </w:r>
      <w:r>
        <w:rPr>
          <w:lang w:eastAsia="en-US" w:bidi="ar-SA"/>
        </w:rPr>
        <w:t>.</w:t>
      </w:r>
    </w:p>
    <w:p w14:paraId="5BEAB05F" w14:textId="77777777">
      <w:pPr>
        <w:pStyle w:val="Lista"/>
        <w:rPr>
          <w:lang w:eastAsia="en-US" w:bidi="ar-SA"/>
        </w:rPr>
      </w:pPr>
      <w:r>
        <w:rPr>
          <w:b/>
          <w:bCs/>
          <w:lang w:eastAsia="en-US" w:bidi="ar-SA"/>
        </w:rPr>
        <w:t>intrinsic structure</w:t>
      </w:r>
    </w:p>
    <w:p w14:paraId="557D1449" w14:textId="5C7743D1">
      <w:pPr>
        <w:pStyle w:val="Lista2"/>
        <w:rPr>
          <w:lang w:eastAsia="en-US" w:bidi="ar-SA"/>
        </w:rPr>
      </w:pPr>
      <w:r>
        <w:rPr>
          <w:lang w:eastAsia="en-US" w:bidi="ar-SA"/>
        </w:rPr>
        <w:t>because all available text must be within a container for intrinsic structure (§</w:t>
      </w:r>
      <w:r>
        <w:rPr>
          <w:lang w:eastAsia="en-US" w:bidi="ar-SA"/>
        </w:rPr>
        <w:fldChar w:fldCharType="begin"/>
      </w:r>
      <w:r>
        <w:rPr>
          <w:lang w:eastAsia="en-US" w:bidi="ar-SA"/>
        </w:rPr>
        <w:instrText xml:space="preserve"> REF _Ref225153755 \r \h </w:instrText>
      </w:r>
      <w:r>
        <w:rPr>
          <w:lang w:eastAsia="en-US" w:bidi="ar-SA"/>
        </w:rPr>
      </w:r>
      <w:r>
        <w:rPr>
          <w:lang w:eastAsia="en-US" w:bidi="ar-SA"/>
        </w:rPr>
        <w:fldChar w:fldCharType="separate"/>
      </w:r>
      <w:r>
        <w:rPr>
          <w:lang w:eastAsia="en-US" w:bidi="ar-SA"/>
        </w:rPr>
        <w:t>3.1</w:t>
      </w:r>
      <w:r>
        <w:rPr>
          <w:lang w:eastAsia="en-US" w:bidi="ar-SA"/>
        </w:rPr>
        <w:fldChar w:fldCharType="end"/>
      </w:r>
      <w:r>
        <w:rPr>
          <w:lang w:eastAsia="en-US" w:bidi="ar-SA"/>
        </w:rPr>
        <w:t>) but intrinsic structure is not reconstructed within a massive lacuna, block-level containers must be opened right after the lacuna, before any text begins</w:t>
      </w:r>
    </w:p>
    <w:p w14:paraId="3A802450" w14:textId="2DBD9357">
      <w:pPr>
        <w:pStyle w:val="Lista2"/>
        <w:rPr>
          <w:lang w:eastAsia="en-US" w:bidi="ar-SA"/>
        </w:rPr>
      </w:pPr>
      <w:r>
        <w:rPr>
          <w:lang w:eastAsia="en-US" w:bidi="ar-SA"/>
        </w:rPr>
        <w:t xml:space="preserve">if the beginning of the available text does not coincide with the natural (semantic or metrical) end of the container, so the container begins late, then the interrupted container must be encoded with </w:t>
      </w:r>
      <w:r>
        <w:rPr>
          <w:rStyle w:val="Codeattribute"/>
        </w:rPr>
        <w:t>@part</w:t>
      </w:r>
      <w:r>
        <w:rPr>
          <w:rStyle w:val="Code"/>
        </w:rPr>
        <w:t>=</w:t>
      </w:r>
      <w:r>
        <w:rPr>
          <w:rStyle w:val="Codevalue"/>
        </w:rPr>
        <w:t>"F"</w:t>
      </w:r>
      <w:r>
        <w:t xml:space="preserve"> (or </w:t>
      </w:r>
      <w:r>
        <w:rPr>
          <w:rStyle w:val="Codeattribute"/>
        </w:rPr>
        <w:t>@part</w:t>
      </w:r>
      <w:r>
        <w:rPr>
          <w:rStyle w:val="Code"/>
        </w:rPr>
        <w:t>=</w:t>
      </w:r>
      <w:r>
        <w:rPr>
          <w:rStyle w:val="Codevalue"/>
        </w:rPr>
        <w:t>"M"</w:t>
      </w:r>
      <w:r>
        <w:t xml:space="preserve"> if the end of the same container is lost to another lacuna) as per §</w:t>
      </w:r>
      <w:r>
        <w:fldChar w:fldCharType="begin"/>
      </w:r>
      <w:r>
        <w:instrText xml:space="preserve"> REF _Ref228980509 \r \h </w:instrText>
      </w:r>
      <w:r>
        <w:fldChar w:fldCharType="separate"/>
      </w:r>
      <w:r>
        <w:t>3.2.3.1</w:t>
      </w:r>
      <w:r>
        <w:fldChar w:fldCharType="end"/>
      </w:r>
      <w:r>
        <w:rPr>
          <w:lang w:eastAsia="en-US" w:bidi="ar-SA"/>
        </w:rPr>
        <w:t xml:space="preserve"> </w:t>
      </w:r>
    </w:p>
    <w:p w14:paraId="60FDEB33" w14:textId="77777777">
      <w:pPr>
        <w:pStyle w:val="Lista2"/>
        <w:rPr>
          <w:lang w:eastAsia="en-US" w:bidi="ar-SA"/>
        </w:rPr>
      </w:pPr>
      <w:r>
        <w:t>if the available text needs more than one nested container (verse lines in a stanza or a list in a paragraph), then care must be taken</w:t>
      </w:r>
    </w:p>
    <w:p w14:paraId="0834F114" w14:textId="77777777">
      <w:pPr>
        <w:pStyle w:val="Lista3"/>
        <w:rPr>
          <w:lang w:eastAsia="en-US" w:bidi="ar-SA"/>
        </w:rPr>
      </w:pPr>
      <w:r>
        <w:t>to create the start tag for all containers</w:t>
      </w:r>
    </w:p>
    <w:p w14:paraId="72112ECE" w14:textId="77777777">
      <w:pPr>
        <w:pStyle w:val="Lista3"/>
        <w:rPr>
          <w:lang w:eastAsia="en-US" w:bidi="ar-SA"/>
        </w:rPr>
      </w:pPr>
      <w:r>
        <w:t xml:space="preserve">and to add </w:t>
      </w:r>
      <w:r>
        <w:rPr>
          <w:rStyle w:val="Codeattribute"/>
        </w:rPr>
        <w:t>@part</w:t>
      </w:r>
      <w:r>
        <w:t xml:space="preserve"> to all containers which begin late</w:t>
      </w:r>
    </w:p>
    <w:p w14:paraId="183D8AED" w14:textId="77777777">
      <w:pPr>
        <w:pStyle w:val="Lista4"/>
      </w:pPr>
      <w:r>
        <w:t xml:space="preserve">if the beginning of the available text coincides with the beginning of a line, then </w:t>
      </w:r>
      <w:r>
        <w:rPr>
          <w:rStyle w:val="Codeattribute"/>
        </w:rPr>
        <w:t>@part</w:t>
      </w:r>
      <w:r>
        <w:t xml:space="preserve"> is not applicable to that </w:t>
      </w:r>
      <w:r>
        <w:rPr>
          <w:rStyle w:val="Code"/>
        </w:rPr>
        <w:t>&lt;l&gt;</w:t>
      </w:r>
      <w:r>
        <w:t xml:space="preserve"> element, but may still be applicable to the enclosing </w:t>
      </w:r>
      <w:r>
        <w:rPr>
          <w:rStyle w:val="Code"/>
        </w:rPr>
        <w:t>&lt;lg&gt;</w:t>
      </w:r>
      <w:r>
        <w:t xml:space="preserve"> element if the stanza had previous lines lost to the lacuna</w:t>
      </w:r>
    </w:p>
    <w:p w14:paraId="0C0763C4" w14:textId="545AEE55">
      <w:pPr>
        <w:pStyle w:val="Lista2"/>
        <w:rPr>
          <w:lang w:eastAsia="en-US" w:bidi="ar-SA"/>
        </w:rPr>
      </w:pPr>
      <w:r>
        <w:rPr>
          <w:lang w:eastAsia="en-US" w:bidi="ar-SA"/>
        </w:rPr>
        <w:t xml:space="preserve">because structure is not reconstructed within a massive lacuna and interrupted containers are tagged with </w:t>
      </w:r>
      <w:r>
        <w:rPr>
          <w:rStyle w:val="Codeattribute"/>
        </w:rPr>
        <w:t>@part</w:t>
      </w:r>
      <w:r>
        <w:t xml:space="preserve"> to show that they are incomplete, additional containers for unavailable verse lines need not and must not be created (unlike the case in §</w:t>
      </w:r>
      <w:r>
        <w:fldChar w:fldCharType="begin"/>
      </w:r>
      <w:r>
        <w:instrText xml:space="preserve"> REF _Ref228267821 \r \h </w:instrText>
      </w:r>
      <w:r>
        <w:fldChar w:fldCharType="separate"/>
      </w:r>
      <w:r>
        <w:t>6.5.2.2</w:t>
      </w:r>
      <w:r>
        <w:fldChar w:fldCharType="end"/>
      </w:r>
      <w:r>
        <w:t>)</w:t>
      </w:r>
    </w:p>
    <w:p w14:paraId="128B1C7D" w14:textId="77777777">
      <w:pPr>
        <w:pStyle w:val="Lista"/>
      </w:pPr>
      <w:r>
        <w:rPr>
          <w:b/>
          <w:bCs/>
          <w:lang w:eastAsia="en-US" w:bidi="ar-SA"/>
        </w:rPr>
        <w:t>extrinsic structure</w:t>
      </w:r>
    </w:p>
    <w:p w14:paraId="7DD0A96B" w14:textId="2E65856E">
      <w:pPr>
        <w:pStyle w:val="Lista2"/>
      </w:pPr>
      <w:r>
        <w:t>the elements representing extrinsic structure are milestones that mark transition points (§</w:t>
      </w:r>
      <w:r>
        <w:fldChar w:fldCharType="begin"/>
      </w:r>
      <w:r>
        <w:instrText xml:space="preserve"> REF _Ref182923075 \r \h </w:instrText>
      </w:r>
      <w:r>
        <w:fldChar w:fldCharType="separate"/>
      </w:r>
      <w:r>
        <w:t>4.1</w:t>
      </w:r>
      <w:r>
        <w:fldChar w:fldCharType="end"/>
      </w:r>
      <w:r>
        <w:t>), so units of extrinsic structure are represented in the encoding at their start and must be created after a lacuna</w:t>
      </w:r>
    </w:p>
    <w:p w14:paraId="49006F0C" w14:textId="6BBF537D">
      <w:pPr>
        <w:pStyle w:val="Lista2"/>
      </w:pPr>
      <w:r>
        <w:t>line numbering is mandatory in all our editions (§</w:t>
      </w:r>
      <w:r>
        <w:fldChar w:fldCharType="begin"/>
      </w:r>
      <w:r>
        <w:instrText xml:space="preserve"> REF _Ref225761016 \r \h </w:instrText>
      </w:r>
      <w:r>
        <w:fldChar w:fldCharType="separate"/>
      </w:r>
      <w:r>
        <w:t>4.5.2</w:t>
      </w:r>
      <w:r>
        <w:fldChar w:fldCharType="end"/>
      </w:r>
      <w:r>
        <w:t>), so all available text must belong to a numbered line</w:t>
      </w:r>
    </w:p>
    <w:p w14:paraId="30B0FEE5" w14:textId="77777777">
      <w:pPr>
        <w:pStyle w:val="Lista2"/>
      </w:pPr>
      <w:r>
        <w:t>all applicable milestones must be present for all available text, even if a structural unit contains only a (partial) restoration</w:t>
      </w:r>
    </w:p>
    <w:p w14:paraId="112F6160" w14:textId="77777777">
      <w:pPr>
        <w:pStyle w:val="Lista3"/>
      </w:pPr>
      <w:r>
        <w:t>thus, if any text is restored before the first extant line, a line beginning must be created for the line containing that restored text</w:t>
      </w:r>
    </w:p>
    <w:p w14:paraId="61B74C9B" w14:textId="6CDEECFA">
      <w:pPr>
        <w:pStyle w:val="Lista3"/>
      </w:pPr>
      <w:r>
        <w:t>however, see §</w:t>
      </w:r>
      <w:r>
        <w:fldChar w:fldCharType="begin"/>
      </w:r>
      <w:r>
        <w:instrText xml:space="preserve"> REF _Ref228367464 \r \h </w:instrText>
      </w:r>
      <w:r>
        <w:fldChar w:fldCharType="separate"/>
      </w:r>
      <w:r>
        <w:t>6.5.4.5</w:t>
      </w:r>
      <w:r>
        <w:fldChar w:fldCharType="end"/>
      </w:r>
      <w:r>
        <w:t xml:space="preserve"> for an alternative</w:t>
      </w:r>
    </w:p>
    <w:p w14:paraId="5002C101" w14:textId="77777777">
      <w:pPr>
        <w:pStyle w:val="Lista2"/>
      </w:pPr>
      <w:r>
        <w:t>line beginnings (as well as all structural milestones) after the lacuna must, as usual, be contained within block-level containers</w:t>
      </w:r>
    </w:p>
    <w:p w14:paraId="14B33662" w14:textId="1A7EBF51">
      <w:pPr>
        <w:pStyle w:val="Lista2"/>
      </w:pPr>
      <w:r>
        <w:lastRenderedPageBreak/>
        <w:t xml:space="preserve">if the available text begins within a word, then </w:t>
      </w:r>
      <w:r>
        <w:rPr>
          <w:rStyle w:val="Codeattribute"/>
        </w:rPr>
        <w:t>@break</w:t>
      </w:r>
      <w:r>
        <w:rPr>
          <w:rStyle w:val="Code"/>
        </w:rPr>
        <w:t>=</w:t>
      </w:r>
      <w:r>
        <w:rPr>
          <w:rStyle w:val="Codevalue"/>
        </w:rPr>
        <w:t>"no"</w:t>
      </w:r>
      <w:r>
        <w:t xml:space="preserve"> must be used normally (§</w:t>
      </w:r>
      <w:r>
        <w:fldChar w:fldCharType="begin"/>
      </w:r>
      <w:r>
        <w:instrText xml:space="preserve"> REF _Ref225519777 \r \h </w:instrText>
      </w:r>
      <w:r>
        <w:fldChar w:fldCharType="separate"/>
      </w:r>
      <w:r>
        <w:t>4.3.2.1</w:t>
      </w:r>
      <w:r>
        <w:fldChar w:fldCharType="end"/>
      </w:r>
      <w:r>
        <w:t>) on the line beginning (as well as any higher-level structural milestone) preceding it</w:t>
      </w:r>
    </w:p>
    <w:p w14:paraId="3A39FA1C" w14:textId="043847D4">
      <w:pPr>
        <w:pStyle w:val="Lista2"/>
      </w:pPr>
      <w:r>
        <w:t>if any line has available text (whether extant or restored) at the end but no available text earlier, then an inline lacuna (§</w:t>
      </w:r>
      <w:r>
        <w:fldChar w:fldCharType="begin"/>
      </w:r>
      <w:r>
        <w:instrText xml:space="preserve"> REF _Ref43988016 \r \h </w:instrText>
      </w:r>
      <w:r>
        <w:fldChar w:fldCharType="separate"/>
      </w:r>
      <w:r>
        <w:t>6.5.2</w:t>
      </w:r>
      <w:r>
        <w:fldChar w:fldCharType="end"/>
      </w:r>
      <w:r>
        <w:t>) must be encoded for the beginning of that line</w:t>
      </w:r>
    </w:p>
    <w:p w14:paraId="5D3CD9F7" w14:textId="77777777">
      <w:pPr>
        <w:pStyle w:val="Lista3"/>
      </w:pPr>
      <w:r>
        <w:t>the inline lacuna is an entity separate from the massive lacuna and must, as usual, be within and not outside the block level text containers</w:t>
      </w:r>
    </w:p>
    <w:p w14:paraId="0282B1C0" w14:textId="67D2000A">
      <w:pPr>
        <w:pStyle w:val="Lista4"/>
      </w:pPr>
      <w:r>
        <w:t>if this happens in a verse context, attempt to reconstruct verse structure as per §</w:t>
      </w:r>
      <w:r>
        <w:fldChar w:fldCharType="begin"/>
      </w:r>
      <w:r>
        <w:instrText xml:space="preserve"> REF _Ref228267821 \r \h </w:instrText>
      </w:r>
      <w:r>
        <w:fldChar w:fldCharType="separate"/>
      </w:r>
      <w:r>
        <w:t>6.5.2.2</w:t>
      </w:r>
      <w:r>
        <w:fldChar w:fldCharType="end"/>
      </w:r>
      <w:r>
        <w:t xml:space="preserve"> for the duration of the inline lacuna, even though structure is not reconstructed for the massive lacuna itself</w:t>
      </w:r>
    </w:p>
    <w:p w14:paraId="6AE9BE22" w14:textId="77777777">
      <w:pPr>
        <w:pStyle w:val="Lista4"/>
      </w:pPr>
      <w:r>
        <w:t xml:space="preserve">however, if this proves problematic, you may alternatively choose to encode the incomplete stanza as above, then create an </w:t>
      </w:r>
      <w:r>
        <w:rPr>
          <w:rStyle w:val="Code"/>
        </w:rPr>
        <w:t>&lt;ab&gt;</w:t>
      </w:r>
      <w:r>
        <w:t xml:space="preserve"> element after it (and before the massive lacuna) to contain only the inline lacuna</w:t>
      </w:r>
    </w:p>
    <w:p w14:paraId="242FFEB7" w14:textId="23C58B12">
      <w:pPr>
        <w:pStyle w:val="Lista2"/>
      </w:pPr>
      <w:r>
        <w:t>if an inscription with a massive lacuna contains pages or pagelike milestones, handle it according to the considerations offered for incomplete copperplate sets (§</w:t>
      </w:r>
      <w:r>
        <w:fldChar w:fldCharType="begin"/>
      </w:r>
      <w:r>
        <w:instrText xml:space="preserve"> REF _Ref228453273 \r \h </w:instrText>
      </w:r>
      <w:r>
        <w:fldChar w:fldCharType="separate"/>
      </w:r>
      <w:r>
        <w:t>6.5.5</w:t>
      </w:r>
      <w:r>
        <w:fldChar w:fldCharType="end"/>
      </w:r>
      <w:r>
        <w:t>)</w:t>
      </w:r>
    </w:p>
    <w:p w14:paraId="604B6D4C" w14:textId="77777777">
      <w:pPr>
        <w:pStyle w:val="Lista2"/>
      </w:pPr>
      <w:r>
        <w:t>if an inscription with a massive lacuna contains lower-level structural boundaries (gridlike milestones), these must be ignored for the extent of the massive lacuna itself, but</w:t>
      </w:r>
    </w:p>
    <w:p w14:paraId="48ACED00" w14:textId="77777777">
      <w:pPr>
        <w:pStyle w:val="Lista3"/>
      </w:pPr>
      <w:r>
        <w:t>must be reconstructed as applicable to any restored text</w:t>
      </w:r>
    </w:p>
    <w:p w14:paraId="67735541" w14:textId="377B2D01">
      <w:pPr>
        <w:pStyle w:val="Lista3"/>
      </w:pPr>
      <w:r>
        <w:t>may be optionally reconstructed for the segmentation of inline lacunae adjacent to the massive lacuna, when this is feasible</w:t>
      </w:r>
    </w:p>
    <w:tbl>
      <w:tblPr>
        <w:tblStyle w:val="CodeSampleTable"/>
        <w:tblW w:w="5000" w:type="pct"/>
        <w:tblLook w:val="04A0" w:firstRow="1" w:lastRow="0" w:firstColumn="1" w:lastColumn="0" w:noHBand="0" w:noVBand="1"/>
      </w:tblPr>
      <w:tblGrid>
        <w:gridCol w:w="9628"/>
      </w:tblGrid>
      <w:tr w14:paraId="1AB4E1A8"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E9A90E1" w14:textId="5800397F">
            <w:pPr>
              <w:pStyle w:val="Kpalrs"/>
            </w:pPr>
            <w:bookmarkStart w:id="594" w:name="_Ref228450997"/>
            <w:r>
              <w:t xml:space="preserve">Exhibit </w:t>
            </w:r>
            <w:fldSimple w:instr=" STYLEREF 2 \s ">
              <w:r>
                <w:rPr>
                  <w:noProof/>
                </w:rPr>
                <w:t>6.5</w:t>
              </w:r>
            </w:fldSimple>
            <w:r>
              <w:t>.</w:t>
            </w:r>
            <w:fldSimple w:instr=" SEQ Exhibit \* ALPHABETIC \s 2 ">
              <w:r>
                <w:rPr>
                  <w:noProof/>
                </w:rPr>
                <w:t>H</w:t>
              </w:r>
            </w:fldSimple>
            <w:bookmarkEnd w:id="594"/>
            <w:r>
              <w:t>: massive initial lacuna</w:t>
            </w:r>
          </w:p>
        </w:tc>
      </w:tr>
      <w:tr w14:paraId="1B7A9DCD" w14:textId="77777777">
        <w:tc>
          <w:tcPr>
            <w:tcW w:w="5000" w:type="pct"/>
          </w:tcPr>
          <w:p w14:paraId="28419C4F" w14:textId="77777777">
            <w:pPr>
              <w:pStyle w:val="CodeParagraph"/>
              <w:rPr>
                <w:rStyle w:val="Code"/>
              </w:rPr>
            </w:pP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 xml:space="preserve"> </w:t>
            </w:r>
            <w:r>
              <w:rPr>
                <w:rStyle w:val="Codeattribute"/>
              </w:rPr>
              <w:t>unit</w:t>
            </w:r>
            <w:r>
              <w:rPr>
                <w:rStyle w:val="Code"/>
              </w:rPr>
              <w:t>=</w:t>
            </w:r>
            <w:r>
              <w:rPr>
                <w:rStyle w:val="Codevalue"/>
              </w:rPr>
              <w:t>"line"</w:t>
            </w:r>
            <w:r>
              <w:rPr>
                <w:rStyle w:val="Code"/>
              </w:rPr>
              <w:t>/&gt;</w:t>
            </w:r>
            <w:r>
              <w:rPr>
                <w:rStyle w:val="Codetext"/>
              </w:rPr>
              <w:br/>
            </w:r>
            <w:r>
              <w:rPr>
                <w:rStyle w:val="Code"/>
              </w:rPr>
              <w:t xml:space="preserve">&lt;p </w:t>
            </w:r>
            <w:r>
              <w:rPr>
                <w:rStyle w:val="Codeattribute"/>
              </w:rPr>
              <w:t>part</w:t>
            </w:r>
            <w:r>
              <w:rPr>
                <w:rStyle w:val="Code"/>
              </w:rPr>
              <w:t>=</w:t>
            </w:r>
            <w:r>
              <w:rPr>
                <w:rStyle w:val="Codevalue"/>
              </w:rPr>
              <w:t>"F"</w:t>
            </w:r>
            <w:r>
              <w:rPr>
                <w:rStyle w:val="Code"/>
              </w:rPr>
              <w:t>&gt;</w:t>
            </w:r>
          </w:p>
          <w:p w14:paraId="781657F7" w14:textId="77777777">
            <w:pPr>
              <w:pStyle w:val="CodeParagraph"/>
              <w:rPr>
                <w:rStyle w:val="Codetext"/>
              </w:rPr>
            </w:pPr>
            <w:r>
              <w:rPr>
                <w:rStyle w:val="Code"/>
              </w:rPr>
              <w:t xml:space="preserve">  &lt;lb </w:t>
            </w:r>
            <w:r>
              <w:rPr>
                <w:rStyle w:val="Codeattribute"/>
              </w:rPr>
              <w:t>n</w:t>
            </w:r>
            <w:r>
              <w:rPr>
                <w:rStyle w:val="Code"/>
              </w:rPr>
              <w:t>=</w:t>
            </w:r>
            <w:r>
              <w:rPr>
                <w:rStyle w:val="Codevalue"/>
              </w:rPr>
              <w:t>"1"</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precision</w:t>
            </w:r>
            <w:r>
              <w:rPr>
                <w:rStyle w:val="Code"/>
              </w:rPr>
              <w:t>=</w:t>
            </w:r>
            <w:r>
              <w:rPr>
                <w:rStyle w:val="Codevalue"/>
              </w:rPr>
              <w:t>"low"</w:t>
            </w:r>
            <w:r>
              <w:rPr>
                <w:rStyle w:val="Code"/>
              </w:rPr>
              <w:t xml:space="preserve"> </w:t>
            </w:r>
            <w:r>
              <w:rPr>
                <w:rStyle w:val="Codeattribute"/>
              </w:rPr>
              <w:t>quantity</w:t>
            </w:r>
            <w:r>
              <w:rPr>
                <w:rStyle w:val="Code"/>
              </w:rPr>
              <w:t>=</w:t>
            </w:r>
            <w:r>
              <w:rPr>
                <w:rStyle w:val="Codevalue"/>
              </w:rPr>
              <w:t>"7"</w:t>
            </w:r>
            <w:r>
              <w:rPr>
                <w:rStyle w:val="Code"/>
              </w:rPr>
              <w:t xml:space="preserve"> </w:t>
            </w:r>
            <w:r>
              <w:rPr>
                <w:rStyle w:val="Codeattribute"/>
              </w:rPr>
              <w:t>unit</w:t>
            </w:r>
            <w:r>
              <w:rPr>
                <w:rStyle w:val="Code"/>
              </w:rPr>
              <w:t>=</w:t>
            </w:r>
            <w:r>
              <w:rPr>
                <w:rStyle w:val="Codevalue"/>
              </w:rPr>
              <w:t>"character"</w:t>
            </w:r>
            <w:r>
              <w:rPr>
                <w:rStyle w:val="Code"/>
              </w:rPr>
              <w:t>/&gt;</w:t>
            </w:r>
            <w:r>
              <w:rPr>
                <w:rStyle w:val="Codetext"/>
              </w:rPr>
              <w:br/>
              <w:t xml:space="preserve">  bhagavat-paśupati-bhaṭṭāraka-pādānugr̥hīto bappa-pādānu</w:t>
            </w:r>
          </w:p>
          <w:p w14:paraId="0C3993B2" w14:textId="77777777">
            <w:pPr>
              <w:pStyle w:val="CodeParagraph"/>
              <w:rPr>
                <w:rStyle w:val="Codetext"/>
              </w:rPr>
            </w:pPr>
            <w:r>
              <w:rPr>
                <w:rStyle w:val="Codetext"/>
              </w:rPr>
              <w:t xml:space="preserve">  </w:t>
            </w:r>
            <w:r>
              <w:rPr>
                <w:rStyle w:val="Code"/>
              </w:rPr>
              <w:t xml:space="preserve">&lt;lb </w:t>
            </w:r>
            <w:r>
              <w:rPr>
                <w:rStyle w:val="Codeattribute"/>
              </w:rPr>
              <w:t>n</w:t>
            </w:r>
            <w:r>
              <w:rPr>
                <w:rStyle w:val="Code"/>
              </w:rPr>
              <w:t>=</w:t>
            </w:r>
            <w:r>
              <w:rPr>
                <w:rStyle w:val="Codevalue"/>
              </w:rPr>
              <w:t>"12"</w:t>
            </w:r>
            <w:r>
              <w:rPr>
                <w:rStyle w:val="Code"/>
              </w:rPr>
              <w:t xml:space="preserve"> </w:t>
            </w:r>
            <w:r>
              <w:rPr>
                <w:rStyle w:val="Codeattribute"/>
              </w:rPr>
              <w:t>break</w:t>
            </w:r>
            <w:r>
              <w:rPr>
                <w:rStyle w:val="Code"/>
              </w:rPr>
              <w:t>=</w:t>
            </w:r>
            <w:r>
              <w:rPr>
                <w:rStyle w:val="Codevalue"/>
              </w:rPr>
              <w:t>"no"</w:t>
            </w:r>
            <w:r>
              <w:rPr>
                <w:rStyle w:val="Code"/>
              </w:rPr>
              <w:t>/&gt;</w:t>
            </w:r>
            <w:r>
              <w:rPr>
                <w:rStyle w:val="Codetext"/>
              </w:rPr>
              <w:t>dhyātaḥ parama-bhaṭṭāraka-mahārājādhirāja-śrī-narendradevaḥ kuśali ...</w:t>
            </w:r>
          </w:p>
          <w:p w14:paraId="17E3DBF9" w14:textId="77777777">
            <w:pPr>
              <w:pStyle w:val="CodeParagraph"/>
            </w:pPr>
            <w:r>
              <w:rPr>
                <w:rStyle w:val="Code"/>
              </w:rPr>
              <w:t>&lt;/p&gt;</w:t>
            </w:r>
          </w:p>
        </w:tc>
      </w:tr>
      <w:tr w14:paraId="5EFE6952" w14:textId="77777777">
        <w:tc>
          <w:tcPr>
            <w:tcW w:w="5000" w:type="pct"/>
          </w:tcPr>
          <w:p w14:paraId="4A0479BE" w14:textId="77777777">
            <w:pPr>
              <w:pStyle w:val="TableNote"/>
            </w:pPr>
            <w:r>
              <w:t>an unknown number of lines have been lost before the first extant line</w:t>
            </w:r>
          </w:p>
          <w:p w14:paraId="28BF57AD" w14:textId="77777777">
            <w:pPr>
              <w:pStyle w:val="TableNote"/>
            </w:pPr>
            <w:r>
              <w:t>the initial part of the fist extant line is also illegible, encoded as an inline lacuna</w:t>
            </w:r>
          </w:p>
          <w:p w14:paraId="4F933FAB" w14:textId="77777777">
            <w:pPr>
              <w:pStyle w:val="TableNote"/>
            </w:pPr>
            <w:r>
              <w:t>a block-level container is opened after the massive lacuna</w:t>
            </w:r>
          </w:p>
        </w:tc>
      </w:tr>
    </w:tbl>
    <w:p w14:paraId="611B65B3" w14:textId="77777777">
      <w:pPr>
        <w:pStyle w:val="Cmsor4"/>
      </w:pPr>
      <w:bookmarkStart w:id="595" w:name="_Ref228367464"/>
      <w:r>
        <w:t>Avoiding the need to reconstruct structure for restored text</w:t>
      </w:r>
      <w:bookmarkEnd w:id="595"/>
    </w:p>
    <w:p w14:paraId="731967FB" w14:textId="77777777">
      <w:pPr>
        <w:rPr>
          <w:lang w:eastAsia="en-US" w:bidi="ar-SA"/>
        </w:rPr>
      </w:pPr>
      <w:r>
        <w:rPr>
          <w:lang w:eastAsia="en-US" w:bidi="ar-SA"/>
        </w:rPr>
        <w:t>The procedure for encoding a massive lacuna allows you not to reconstruct the document’s intrinsic and extrinsic structure within the stretch lost to the lacuna, but requires you to reconstruct both structures for all available text. A consequence of this is that when a lacuna’s physical beginning or end coincides with a structural boundary, then a separate structural unit must be created for any restored text, even if that text is just the beginning or end of a partially extant word. In order to avoid this complication, we suggest the following workaround.</w:t>
      </w:r>
    </w:p>
    <w:p w14:paraId="30B6EDDD" w14:textId="60736338">
      <w:pPr>
        <w:pStyle w:val="Lista"/>
      </w:pPr>
      <w:r>
        <w:t xml:space="preserve">instead of including the restoration in the text of your edition, mention it in an apparatus note </w:t>
      </w:r>
      <w:r>
        <w:rPr>
          <w:noProof/>
        </w:rPr>
        <w:t>(</w:t>
      </w:r>
      <w:r>
        <w:t>§</w:t>
      </w:r>
      <w:r>
        <w:fldChar w:fldCharType="begin"/>
      </w:r>
      <w:r>
        <w:instrText xml:space="preserve"> REF _Ref43988104 \w \h  \* MERGEFORMAT </w:instrText>
      </w:r>
      <w:r>
        <w:fldChar w:fldCharType="separate"/>
      </w:r>
      <w:r>
        <w:t>10.7</w:t>
      </w:r>
      <w:r>
        <w:fldChar w:fldCharType="end"/>
      </w:r>
      <w:r>
        <w:t>)</w:t>
      </w:r>
    </w:p>
    <w:p w14:paraId="74CFFD7D" w14:textId="77777777">
      <w:pPr>
        <w:pStyle w:val="Lista"/>
      </w:pPr>
      <w:r>
        <w:t>this method is recommended especially in the following cases:</w:t>
      </w:r>
    </w:p>
    <w:p w14:paraId="6A3CAC2E" w14:textId="77777777">
      <w:pPr>
        <w:pStyle w:val="Lista2"/>
      </w:pPr>
      <w:r>
        <w:t xml:space="preserve">for very short restorations </w:t>
      </w:r>
      <w:r>
        <w:rPr>
          <w:noProof/>
        </w:rPr>
        <w:t>(</w:t>
      </w:r>
      <w:r>
        <w:t>smaller than one word)</w:t>
      </w:r>
    </w:p>
    <w:p w14:paraId="34A63FA5" w14:textId="77777777">
      <w:pPr>
        <w:pStyle w:val="Lista2"/>
      </w:pPr>
      <w:r>
        <w:t>for the restoration of widely occurring text such as standardised genealogies or stock admonitory verses in land grants</w:t>
      </w:r>
    </w:p>
    <w:p w14:paraId="68E47C19" w14:textId="77777777">
      <w:pPr>
        <w:pStyle w:val="Lista2"/>
      </w:pPr>
      <w:r>
        <w:t>for restorations where several alternatives are deemed possible, so including them in the text of the edition would be difficult anyway</w:t>
      </w:r>
    </w:p>
    <w:p w14:paraId="2079BF26" w14:textId="77777777">
      <w:pPr>
        <w:pStyle w:val="Cmsor4"/>
      </w:pPr>
      <w:r>
        <w:t>Massive lacunae affecting the numbering of structural elements</w:t>
      </w:r>
    </w:p>
    <w:p w14:paraId="79A6D624" w14:textId="77777777">
      <w:pPr>
        <w:rPr>
          <w:lang w:eastAsia="en-US" w:bidi="ar-SA"/>
        </w:rPr>
      </w:pPr>
      <w:r>
        <w:rPr>
          <w:lang w:eastAsia="en-US" w:bidi="ar-SA"/>
        </w:rPr>
        <w:t>DHARMA editions mandatorily include editorial numbering for units of extrinsic structure and for stanzas of verse. A massive final lacuna has no relevance to such numeration, but if a large chunk of text is unavailable at the beginning or middle of the document, then the numbers assigned to these units require an editorial decision. This subsection presents rules of thumb for that decision.</w:t>
      </w:r>
    </w:p>
    <w:p w14:paraId="10720BE8" w14:textId="77777777">
      <w:pPr>
        <w:pStyle w:val="Lista"/>
        <w:rPr>
          <w:lang w:eastAsia="en-US" w:bidi="ar-SA"/>
        </w:rPr>
      </w:pPr>
      <w:r>
        <w:rPr>
          <w:lang w:eastAsia="en-US" w:bidi="ar-SA"/>
        </w:rPr>
        <w:t>after an initial lacuna</w:t>
      </w:r>
    </w:p>
    <w:p w14:paraId="023F7B42" w14:textId="77777777">
      <w:pPr>
        <w:pStyle w:val="Lista2"/>
      </w:pPr>
      <w:r>
        <w:lastRenderedPageBreak/>
        <w:t>if it is possible to calculate or estimate how many units are unavailable, then feel free to number the extant units from the next greater number onward</w:t>
      </w:r>
    </w:p>
    <w:p w14:paraId="58683A63" w14:textId="77777777">
      <w:pPr>
        <w:pStyle w:val="Lista2"/>
      </w:pPr>
      <w:r>
        <w:t>if such an estimate is not possible, or for any reason you prefer not to rely on it, then treat the lacuna as a black box and start numbering the extant units from 1</w:t>
      </w:r>
    </w:p>
    <w:p w14:paraId="3194D6A3" w14:textId="77777777">
      <w:pPr>
        <w:pStyle w:val="Lista2"/>
      </w:pPr>
      <w:r>
        <w:t>any mix of these numeration schemes may be used</w:t>
      </w:r>
    </w:p>
    <w:p w14:paraId="35FB008F" w14:textId="77777777">
      <w:pPr>
        <w:pStyle w:val="Lista3"/>
      </w:pPr>
      <w:r>
        <w:t>for example you may choose to number lines from the next greater number because the unavailable lines can be counted with fair confidence, but number stanzas from 1 because there is no way to tell how many, if any, stanzas were present in the unavailable text</w:t>
      </w:r>
    </w:p>
    <w:p w14:paraId="79514384" w14:textId="77777777">
      <w:pPr>
        <w:pStyle w:val="Lista"/>
      </w:pPr>
      <w:r>
        <w:t>after a medial lacuna</w:t>
      </w:r>
    </w:p>
    <w:p w14:paraId="3D98096D" w14:textId="77777777">
      <w:pPr>
        <w:pStyle w:val="Lista2"/>
      </w:pPr>
      <w:r>
        <w:t>if it is possible to calculate or estimate how many units are unavailable, then preferably add their number to the number of extant units before the lacuna, and number the extant units after the lacuna from the next greater number onward</w:t>
      </w:r>
    </w:p>
    <w:p w14:paraId="0CAE78C9" w14:textId="77777777">
      <w:pPr>
        <w:pStyle w:val="Lista2"/>
      </w:pPr>
      <w:r>
        <w:t>if such an estimate is not possible, or you strongly prefer not to rely on it, then treat the lacuna as a black box and start numbering the extant units after the lacuna from the next higher number following the extant units before the lacuna</w:t>
      </w:r>
    </w:p>
    <w:p w14:paraId="1C5C76DC" w14:textId="77777777">
      <w:pPr>
        <w:pStyle w:val="Lista2"/>
      </w:pPr>
      <w:r>
        <w:t>any mix of the above numeration schemes may be used</w:t>
      </w:r>
    </w:p>
    <w:p w14:paraId="2248A679" w14:textId="64DC6DA3">
      <w:pPr>
        <w:pStyle w:val="Lista2"/>
      </w:pPr>
      <w:r>
        <w:t>if neither seems satisfactory, you may opt to create complex numbers (analogous to repetitive line numbering, §</w:t>
      </w:r>
      <w:r>
        <w:fldChar w:fldCharType="begin"/>
      </w:r>
      <w:r>
        <w:instrText xml:space="preserve"> REF _Ref182228380 \r \h </w:instrText>
      </w:r>
      <w:r>
        <w:fldChar w:fldCharType="separate"/>
      </w:r>
      <w:r>
        <w:t>4.5.2.2</w:t>
      </w:r>
      <w:r>
        <w:fldChar w:fldCharType="end"/>
      </w:r>
      <w:r>
        <w:t>) for all units that require numeration</w:t>
      </w:r>
    </w:p>
    <w:p w14:paraId="58272D8C" w14:textId="40D688F3">
      <w:pPr>
        <w:pStyle w:val="Lista2"/>
      </w:pPr>
      <w:r>
        <w:t>keep in mind that if you choose to create textparts instead of encoding a massive lacuna (§</w:t>
      </w:r>
      <w:r>
        <w:fldChar w:fldCharType="begin"/>
      </w:r>
      <w:r>
        <w:instrText xml:space="preserve"> REF _Ref228452369 \r \h </w:instrText>
      </w:r>
      <w:r>
        <w:fldChar w:fldCharType="separate"/>
      </w:r>
      <w:r>
        <w:t>6.5.4.1</w:t>
      </w:r>
      <w:r>
        <w:fldChar w:fldCharType="end"/>
      </w:r>
      <w:r>
        <w:t>), then numeration of all units must be restarted in every textpart division</w:t>
      </w:r>
    </w:p>
    <w:p w14:paraId="720B3989" w14:textId="77777777">
      <w:pPr>
        <w:pStyle w:val="Cmsor3"/>
      </w:pPr>
      <w:bookmarkStart w:id="596" w:name="_ogtcaja4eie" w:colFirst="0" w:colLast="0"/>
      <w:bookmarkStart w:id="597" w:name="_Ref228453273"/>
      <w:bookmarkStart w:id="598" w:name="_Toc243922680"/>
      <w:bookmarkEnd w:id="596"/>
      <w:r>
        <w:t>Managing incomplete copperplate sets</w:t>
      </w:r>
      <w:bookmarkEnd w:id="597"/>
      <w:bookmarkEnd w:id="598"/>
    </w:p>
    <w:p w14:paraId="33AB2944" w14:textId="77777777">
      <w:r>
        <w:rPr>
          <w:lang w:eastAsia="en-US" w:bidi="ar-SA"/>
        </w:rPr>
        <w:t xml:space="preserve">Essentially, sets of copper plates of which one or more plates are missing are no different from any other document with a massive lacuna. However, the existence of discrete and separable plates complicates the encoding of structure. It </w:t>
      </w:r>
      <w:r>
        <w:t xml:space="preserve">would be theoretically permissible to use </w:t>
      </w:r>
      <w:r>
        <w:rPr>
          <w:rStyle w:val="Codevalue"/>
        </w:rPr>
        <w:t>"plate"</w:t>
      </w:r>
      <w:r>
        <w:t xml:space="preserve"> or a related concept as the value of </w:t>
      </w:r>
      <w:r>
        <w:rPr>
          <w:rStyle w:val="Codeattribute"/>
        </w:rPr>
        <w:t>@unit</w:t>
      </w:r>
      <w:r>
        <w:t xml:space="preserve"> in a </w:t>
      </w:r>
      <w:r>
        <w:rPr>
          <w:rStyle w:val="Code"/>
        </w:rPr>
        <w:t>&lt;gap/&gt;</w:t>
      </w:r>
      <w:r>
        <w:t xml:space="preserve"> element for encoding plate-level lacunae, but we see no practical advantage to doing so. Instead, proceed as instructed in this section.</w:t>
      </w:r>
    </w:p>
    <w:p w14:paraId="485AF024" w14:textId="77777777">
      <w:pPr>
        <w:pStyle w:val="Cmsor4"/>
      </w:pPr>
      <w:bookmarkStart w:id="599" w:name="_Ref228457421"/>
      <w:r>
        <w:t>Lost final plates</w:t>
      </w:r>
      <w:bookmarkEnd w:id="599"/>
    </w:p>
    <w:p w14:paraId="63BB7822" w14:textId="0BF0EEB7">
      <w:pPr>
        <w:rPr>
          <w:b/>
          <w:bCs/>
        </w:rPr>
      </w:pPr>
      <w:r>
        <w:t>Lost final plates shall normally be ignored in the encoding. However it is, at least in some corpora, possible to confidently estimate the number of lost pages, and even that of lines on each lost page. In such a case you may choose at your discretion to reconstruct the structure for all lost pages as per §</w:t>
      </w:r>
      <w:r>
        <w:fldChar w:fldCharType="begin"/>
      </w:r>
      <w:r>
        <w:instrText xml:space="preserve"> REF _Ref228455432 \r \h </w:instrText>
      </w:r>
      <w:r>
        <w:fldChar w:fldCharType="separate"/>
      </w:r>
      <w:r>
        <w:t>6.5.5.4</w:t>
      </w:r>
      <w:r>
        <w:fldChar w:fldCharType="end"/>
      </w:r>
      <w:r>
        <w:t>.</w:t>
      </w:r>
    </w:p>
    <w:p w14:paraId="29FC8F23" w14:textId="77777777">
      <w:pPr>
        <w:pStyle w:val="Lista"/>
      </w:pPr>
      <w:r>
        <w:t>as a rule, simply end your edition at the end of the extant text</w:t>
      </w:r>
    </w:p>
    <w:p w14:paraId="590C02F0" w14:textId="77777777">
      <w:pPr>
        <w:pStyle w:val="Lista2"/>
      </w:pPr>
      <w:r>
        <w:t>closing the currently open block-level container</w:t>
      </w:r>
    </w:p>
    <w:p w14:paraId="3CD98721" w14:textId="413F5E28">
      <w:pPr>
        <w:pStyle w:val="Lista2"/>
      </w:pPr>
      <w:r>
        <w:t xml:space="preserve">and adding </w:t>
      </w:r>
      <w:r>
        <w:rPr>
          <w:rStyle w:val="Codeattribute"/>
        </w:rPr>
        <w:t>@part</w:t>
      </w:r>
      <w:r>
        <w:rPr>
          <w:rStyle w:val="Code"/>
        </w:rPr>
        <w:t>=</w:t>
      </w:r>
      <w:r>
        <w:rPr>
          <w:rStyle w:val="Codevalue"/>
        </w:rPr>
        <w:t>"I"</w:t>
      </w:r>
      <w:r>
        <w:t xml:space="preserve"> if it is incomplete, as per §</w:t>
      </w:r>
      <w:r>
        <w:fldChar w:fldCharType="begin"/>
      </w:r>
      <w:r>
        <w:instrText xml:space="preserve"> REF _Ref228980509 \r \h </w:instrText>
      </w:r>
      <w:r>
        <w:fldChar w:fldCharType="separate"/>
      </w:r>
      <w:r>
        <w:t>3.2.3.1</w:t>
      </w:r>
      <w:r>
        <w:fldChar w:fldCharType="end"/>
      </w:r>
      <w:r>
        <w:t xml:space="preserve"> </w:t>
      </w:r>
    </w:p>
    <w:p w14:paraId="0021E3F2" w14:textId="77777777">
      <w:pPr>
        <w:pStyle w:val="Lista"/>
      </w:pPr>
      <w:r>
        <w:t>mention in your annotation that the subsequent plate(s) are lost</w:t>
      </w:r>
    </w:p>
    <w:p w14:paraId="2F325E0F" w14:textId="77777777">
      <w:pPr>
        <w:pStyle w:val="Lista"/>
      </w:pPr>
      <w:r>
        <w:t>if you are able to restore any text following the last extant plate</w:t>
      </w:r>
    </w:p>
    <w:p w14:paraId="3A4F2032" w14:textId="6398D3BB">
      <w:pPr>
        <w:pStyle w:val="Lista2"/>
      </w:pPr>
      <w:r>
        <w:t>preferably record it outside the edition as suggested in §</w:t>
      </w:r>
      <w:r>
        <w:fldChar w:fldCharType="begin"/>
      </w:r>
      <w:r>
        <w:instrText xml:space="preserve"> REF _Ref228367464 \r \h </w:instrText>
      </w:r>
      <w:r>
        <w:fldChar w:fldCharType="separate"/>
      </w:r>
      <w:r>
        <w:t>6.5.4.5</w:t>
      </w:r>
      <w:r>
        <w:fldChar w:fldCharType="end"/>
      </w:r>
    </w:p>
    <w:p w14:paraId="0892EF9D" w14:textId="00159242">
      <w:pPr>
        <w:pStyle w:val="Lista2"/>
      </w:pPr>
      <w:r>
        <w:t>alternatively, reconstruct the structure for the following page as per §</w:t>
      </w:r>
      <w:r>
        <w:fldChar w:fldCharType="begin"/>
      </w:r>
      <w:r>
        <w:instrText xml:space="preserve"> REF _Ref228455432 \r \h </w:instrText>
      </w:r>
      <w:r>
        <w:fldChar w:fldCharType="separate"/>
      </w:r>
      <w:r>
        <w:t>6.5.5.4</w:t>
      </w:r>
      <w:r>
        <w:fldChar w:fldCharType="end"/>
      </w:r>
    </w:p>
    <w:p w14:paraId="07FF1E86" w14:textId="77777777">
      <w:pPr>
        <w:pStyle w:val="Cmsor4"/>
      </w:pPr>
      <w:bookmarkStart w:id="600" w:name="_Ref228457448"/>
      <w:r>
        <w:t>Lost initial plates</w:t>
      </w:r>
      <w:bookmarkEnd w:id="600"/>
    </w:p>
    <w:p w14:paraId="6142AEE7" w14:textId="381AB4F4">
      <w:pPr>
        <w:rPr>
          <w:lang w:eastAsia="en-US" w:bidi="ar-SA"/>
        </w:rPr>
      </w:pPr>
      <w:r>
        <w:rPr>
          <w:lang w:eastAsia="en-US" w:bidi="ar-SA"/>
        </w:rPr>
        <w:t xml:space="preserve">Lost initial plates shall preferably be ignored in the encoding, but may affect the editorial numbering of extrinsic and intrinsic structural units in the extant text. </w:t>
      </w:r>
      <w:r>
        <w:t>At least in some corpora, it may be possible to confidently estimate the number of lost pages, and even that of lines on each lost page. In such a case you may choose at your discretion to reconstruct the structure for all lost pages as per §</w:t>
      </w:r>
      <w:r>
        <w:fldChar w:fldCharType="begin"/>
      </w:r>
      <w:r>
        <w:instrText xml:space="preserve"> REF _Ref228455432 \r \h </w:instrText>
      </w:r>
      <w:r>
        <w:fldChar w:fldCharType="separate"/>
      </w:r>
      <w:r>
        <w:t>6.5.5.4</w:t>
      </w:r>
      <w:r>
        <w:fldChar w:fldCharType="end"/>
      </w:r>
      <w:r>
        <w:t>.</w:t>
      </w:r>
    </w:p>
    <w:p w14:paraId="563CC4E9" w14:textId="77777777">
      <w:pPr>
        <w:pStyle w:val="Lista"/>
      </w:pPr>
      <w:r>
        <w:t>as a rule, simply start your edition at the beginning of the extant text</w:t>
      </w:r>
    </w:p>
    <w:p w14:paraId="745AF52F" w14:textId="77777777">
      <w:pPr>
        <w:pStyle w:val="Lista2"/>
      </w:pPr>
      <w:r>
        <w:t>creating the applicable block-level container(s)</w:t>
      </w:r>
    </w:p>
    <w:p w14:paraId="607D0468" w14:textId="606824D7">
      <w:pPr>
        <w:pStyle w:val="Lista3"/>
      </w:pPr>
      <w:r>
        <w:t xml:space="preserve">and adding </w:t>
      </w:r>
      <w:r>
        <w:rPr>
          <w:rStyle w:val="Codeattribute"/>
        </w:rPr>
        <w:t>@part</w:t>
      </w:r>
      <w:r>
        <w:rPr>
          <w:rStyle w:val="Code"/>
        </w:rPr>
        <w:t>=</w:t>
      </w:r>
      <w:r>
        <w:rPr>
          <w:rStyle w:val="Codevalue"/>
        </w:rPr>
        <w:t>"F"</w:t>
      </w:r>
      <w:r>
        <w:t xml:space="preserve"> if they are incomplete, as per §</w:t>
      </w:r>
      <w:r>
        <w:fldChar w:fldCharType="begin"/>
      </w:r>
      <w:r>
        <w:instrText xml:space="preserve"> REF _Ref228980509 \r \h </w:instrText>
      </w:r>
      <w:r>
        <w:fldChar w:fldCharType="separate"/>
      </w:r>
      <w:r>
        <w:t>3.2.3.1</w:t>
      </w:r>
      <w:r>
        <w:fldChar w:fldCharType="end"/>
      </w:r>
      <w:r>
        <w:t xml:space="preserve"> </w:t>
      </w:r>
    </w:p>
    <w:p w14:paraId="371EFF32" w14:textId="77777777">
      <w:pPr>
        <w:pStyle w:val="Lista2"/>
      </w:pPr>
      <w:r>
        <w:t>and creating page and line beginnings normally</w:t>
      </w:r>
    </w:p>
    <w:p w14:paraId="3B30ECD8" w14:textId="1B910509">
      <w:pPr>
        <w:pStyle w:val="Lista3"/>
      </w:pPr>
      <w:r>
        <w:t xml:space="preserve">adding </w:t>
      </w:r>
      <w:r>
        <w:rPr>
          <w:rStyle w:val="Codeattribute"/>
        </w:rPr>
        <w:t>@break</w:t>
      </w:r>
      <w:r>
        <w:rPr>
          <w:rStyle w:val="Code"/>
        </w:rPr>
        <w:t>=</w:t>
      </w:r>
      <w:r>
        <w:rPr>
          <w:rStyle w:val="Codevalue"/>
        </w:rPr>
        <w:t>"no"</w:t>
      </w:r>
      <w:r>
        <w:t xml:space="preserve"> to both if applicable (§</w:t>
      </w:r>
      <w:r>
        <w:fldChar w:fldCharType="begin"/>
      </w:r>
      <w:r>
        <w:instrText xml:space="preserve"> REF _Ref225519777 \r \h </w:instrText>
      </w:r>
      <w:r>
        <w:fldChar w:fldCharType="separate"/>
      </w:r>
      <w:r>
        <w:t>4.3.2.1</w:t>
      </w:r>
      <w:r>
        <w:fldChar w:fldCharType="end"/>
      </w:r>
      <w:r>
        <w:t>)</w:t>
      </w:r>
    </w:p>
    <w:p w14:paraId="5EFADF7A" w14:textId="77777777">
      <w:pPr>
        <w:pStyle w:val="Lista"/>
      </w:pPr>
      <w:r>
        <w:t>if you are able to restore any text preceding the first extant plate</w:t>
      </w:r>
    </w:p>
    <w:p w14:paraId="595C3053" w14:textId="799ECBC2">
      <w:pPr>
        <w:pStyle w:val="Lista2"/>
      </w:pPr>
      <w:r>
        <w:lastRenderedPageBreak/>
        <w:t>preferably record it outside the edition as suggested in §</w:t>
      </w:r>
      <w:r>
        <w:fldChar w:fldCharType="begin"/>
      </w:r>
      <w:r>
        <w:instrText xml:space="preserve"> REF _Ref228367464 \r \h </w:instrText>
      </w:r>
      <w:r>
        <w:fldChar w:fldCharType="separate"/>
      </w:r>
      <w:r>
        <w:t>6.5.4.5</w:t>
      </w:r>
      <w:r>
        <w:fldChar w:fldCharType="end"/>
      </w:r>
    </w:p>
    <w:p w14:paraId="40B6B44C" w14:textId="63F5F0FE">
      <w:pPr>
        <w:pStyle w:val="Lista2"/>
      </w:pPr>
      <w:r>
        <w:t>alternatively, reconstruct the structure for the preceding page as per §</w:t>
      </w:r>
      <w:r>
        <w:fldChar w:fldCharType="begin"/>
      </w:r>
      <w:r>
        <w:instrText xml:space="preserve"> REF _Ref228455432 \r \h </w:instrText>
      </w:r>
      <w:r>
        <w:fldChar w:fldCharType="separate"/>
      </w:r>
      <w:r>
        <w:t>6.5.5.4</w:t>
      </w:r>
      <w:r>
        <w:fldChar w:fldCharType="end"/>
      </w:r>
    </w:p>
    <w:p w14:paraId="3C2FA0C6" w14:textId="77777777">
      <w:pPr>
        <w:pStyle w:val="Lista"/>
      </w:pPr>
      <w:r>
        <w:t>depending on your corpus, it may be possible to confidently estimate the number of lost pages, and even that of lines on each lost page</w:t>
      </w:r>
    </w:p>
    <w:p w14:paraId="0A37AB9E" w14:textId="2F0D7D3A">
      <w:pPr>
        <w:pStyle w:val="Lista2"/>
      </w:pPr>
      <w:r>
        <w:t>if this is the case, you may choose at your discretion to reconstruct all lost pages as per §</w:t>
      </w:r>
      <w:r>
        <w:fldChar w:fldCharType="begin"/>
      </w:r>
      <w:r>
        <w:instrText xml:space="preserve"> REF _Ref228455432 \r \h </w:instrText>
      </w:r>
      <w:r>
        <w:fldChar w:fldCharType="separate"/>
      </w:r>
      <w:r>
        <w:t>6.5.5.4</w:t>
      </w:r>
      <w:r>
        <w:fldChar w:fldCharType="end"/>
      </w:r>
    </w:p>
    <w:p w14:paraId="14BF7E27" w14:textId="77777777">
      <w:pPr>
        <w:pStyle w:val="Lista"/>
      </w:pPr>
      <w:r>
        <w:t>number pages as follows</w:t>
      </w:r>
    </w:p>
    <w:p w14:paraId="11576906" w14:textId="77777777">
      <w:pPr>
        <w:pStyle w:val="Lista2"/>
      </w:pPr>
      <w:r>
        <w:t>preferably: calculate or estimate the number of lost initial plates and start the numbering of the extant plates with the next higher number</w:t>
      </w:r>
    </w:p>
    <w:p w14:paraId="6164D043" w14:textId="77777777">
      <w:pPr>
        <w:pStyle w:val="Lista3"/>
      </w:pPr>
      <w:r>
        <w:t>thus, if you estimate that two plates were lost at the beginning of a set, then</w:t>
      </w:r>
    </w:p>
    <w:p w14:paraId="7396864F" w14:textId="77777777">
      <w:pPr>
        <w:pStyle w:val="Lista4"/>
      </w:pPr>
      <w:r>
        <w:t>the extant text will be encoded as beginning on page 3r</w:t>
      </w:r>
    </w:p>
    <w:p w14:paraId="70AB7B15" w14:textId="4C81D8C9">
      <w:pPr>
        <w:pStyle w:val="Lista4"/>
      </w:pPr>
      <w:r>
        <w:t>any restoration preceding the extant text (when not recorded outside the edition as per §</w:t>
      </w:r>
      <w:r>
        <w:fldChar w:fldCharType="begin"/>
      </w:r>
      <w:r>
        <w:instrText xml:space="preserve"> REF _Ref228367464 \r \h </w:instrText>
      </w:r>
      <w:r>
        <w:fldChar w:fldCharType="separate"/>
      </w:r>
      <w:r>
        <w:t>6.5.4.5</w:t>
      </w:r>
      <w:r>
        <w:fldChar w:fldCharType="end"/>
      </w:r>
      <w:r>
        <w:t>) will be encoded as being at the bottom of page 2v</w:t>
      </w:r>
    </w:p>
    <w:p w14:paraId="7D9DD487" w14:textId="77777777">
      <w:pPr>
        <w:pStyle w:val="Lista2"/>
      </w:pPr>
      <w:r>
        <w:t>if no reliable estimate can be made, start the numbering of the plates with available text from 1, thus</w:t>
      </w:r>
    </w:p>
    <w:p w14:paraId="2AEF41A5" w14:textId="77777777">
      <w:pPr>
        <w:pStyle w:val="Lista3"/>
      </w:pPr>
      <w:r>
        <w:t>if no restoration precedes the extant text, then extant text will be encoded as beginning on page 1r</w:t>
      </w:r>
    </w:p>
    <w:p w14:paraId="37B6217F" w14:textId="6FFC057D">
      <w:pPr>
        <w:pStyle w:val="Lista3"/>
      </w:pPr>
      <w:r>
        <w:t>any restoration preceding the extant text (when not recorded outside the edition as per §</w:t>
      </w:r>
      <w:r>
        <w:fldChar w:fldCharType="begin"/>
      </w:r>
      <w:r>
        <w:instrText xml:space="preserve"> REF _Ref228367464 \r \h </w:instrText>
      </w:r>
      <w:r>
        <w:fldChar w:fldCharType="separate"/>
      </w:r>
      <w:r>
        <w:t>6.5.4.5</w:t>
      </w:r>
      <w:r>
        <w:fldChar w:fldCharType="end"/>
      </w:r>
      <w:r>
        <w:t>) will be encoded as beginning at the bottom of page 1v, while the extant text will be encoded as beginning on page 2r</w:t>
      </w:r>
    </w:p>
    <w:p w14:paraId="612FD4B5" w14:textId="77777777">
      <w:pPr>
        <w:pStyle w:val="Lista"/>
      </w:pPr>
      <w:r>
        <w:t>number lines as follows</w:t>
      </w:r>
    </w:p>
    <w:p w14:paraId="03002037" w14:textId="77777777">
      <w:pPr>
        <w:pStyle w:val="Lista2"/>
      </w:pPr>
      <w:r>
        <w:t>if the number of lost lines can be calculated or at least estimated confidently, then start the numbering of the extant lines with the next higher number</w:t>
      </w:r>
    </w:p>
    <w:p w14:paraId="36E08625" w14:textId="77777777">
      <w:pPr>
        <w:pStyle w:val="Lista3"/>
      </w:pPr>
      <w:r>
        <w:t>thus, if you estimate that twenty lines were lost at the beginning of a set, then</w:t>
      </w:r>
    </w:p>
    <w:p w14:paraId="5E86FAB4" w14:textId="77777777">
      <w:pPr>
        <w:pStyle w:val="Lista4"/>
      </w:pPr>
      <w:r>
        <w:t>the extant text will be encoded as beginning in line 21</w:t>
      </w:r>
    </w:p>
    <w:p w14:paraId="7B4CC43F" w14:textId="62407D51">
      <w:pPr>
        <w:pStyle w:val="Lista4"/>
      </w:pPr>
      <w:r>
        <w:t>any restoration preceding the extant text (when not recorded outside the edition as per §</w:t>
      </w:r>
      <w:r>
        <w:fldChar w:fldCharType="begin"/>
      </w:r>
      <w:r>
        <w:instrText xml:space="preserve"> REF _Ref228367464 \r \h </w:instrText>
      </w:r>
      <w:r>
        <w:fldChar w:fldCharType="separate"/>
      </w:r>
      <w:r>
        <w:t>6.5.4.5</w:t>
      </w:r>
      <w:r>
        <w:fldChar w:fldCharType="end"/>
      </w:r>
      <w:r>
        <w:t>) will be encoded as being at the end of line 20</w:t>
      </w:r>
    </w:p>
    <w:p w14:paraId="4B11A490" w14:textId="77777777">
      <w:pPr>
        <w:pStyle w:val="Lista2"/>
      </w:pPr>
      <w:r>
        <w:t>if no reliable estimate can be made, start the numbering of the lines with available text from 1, thus</w:t>
      </w:r>
    </w:p>
    <w:p w14:paraId="7EE315EE" w14:textId="77777777">
      <w:pPr>
        <w:pStyle w:val="Lista3"/>
      </w:pPr>
      <w:r>
        <w:t>if no restoration precedes the extant text, then the extant text will be encoded as beginning in line 1</w:t>
      </w:r>
    </w:p>
    <w:p w14:paraId="68CD41B2" w14:textId="2E225F2D">
      <w:pPr>
        <w:pStyle w:val="Lista3"/>
      </w:pPr>
      <w:r>
        <w:t>any restoration (covering less than a full line) preceding the extant text (when not recorded outside the edition as per §</w:t>
      </w:r>
      <w:r>
        <w:fldChar w:fldCharType="begin"/>
      </w:r>
      <w:r>
        <w:instrText xml:space="preserve"> REF _Ref228367464 \r \h </w:instrText>
      </w:r>
      <w:r>
        <w:fldChar w:fldCharType="separate"/>
      </w:r>
      <w:r>
        <w:t>6.5.4.5</w:t>
      </w:r>
      <w:r>
        <w:fldChar w:fldCharType="end"/>
      </w:r>
      <w:r>
        <w:t>) will be encoded as beginning at the end of line 1, while the extant text will be encoded as beginning in line 2</w:t>
      </w:r>
    </w:p>
    <w:p w14:paraId="255E3BC8" w14:textId="522A05E5">
      <w:pPr>
        <w:pStyle w:val="Lista2"/>
      </w:pPr>
      <w:r>
        <w:t>alternatively, especially if the number of lost plates can be estimated but that of lost lines cannot, use complex line numbering (§</w:t>
      </w:r>
      <w:r>
        <w:fldChar w:fldCharType="begin"/>
      </w:r>
      <w:r>
        <w:instrText xml:space="preserve"> REF _Ref182228380 \r \h </w:instrText>
      </w:r>
      <w:r>
        <w:fldChar w:fldCharType="separate"/>
      </w:r>
      <w:r>
        <w:t>4.5.2.2</w:t>
      </w:r>
      <w:r>
        <w:fldChar w:fldCharType="end"/>
      </w:r>
      <w:r>
        <w:t>) even if the rest of your corpus uses consecutive line numbers</w:t>
      </w:r>
    </w:p>
    <w:p w14:paraId="2B2833A3" w14:textId="77777777">
      <w:pPr>
        <w:pStyle w:val="Lista"/>
      </w:pPr>
      <w:r>
        <w:t>number stanzas as follows</w:t>
      </w:r>
    </w:p>
    <w:p w14:paraId="4051AEBC" w14:textId="77777777">
      <w:pPr>
        <w:pStyle w:val="Lista2"/>
      </w:pPr>
      <w:r>
        <w:t>if on the basis of related texts you can estimate the number of lost stanzas with great confidence, start numbering extant stanzas with the next higher number</w:t>
      </w:r>
    </w:p>
    <w:p w14:paraId="18A936D2" w14:textId="77777777">
      <w:pPr>
        <w:pStyle w:val="Lista2"/>
      </w:pPr>
      <w:r>
        <w:t>in all other cases, number extant stanzas from 1</w:t>
      </w:r>
    </w:p>
    <w:p w14:paraId="2EA8C592" w14:textId="77777777">
      <w:pPr>
        <w:pStyle w:val="Cmsor4"/>
      </w:pPr>
      <w:bookmarkStart w:id="601" w:name="_Ref149918878"/>
      <w:r>
        <w:t>Lost medial plates</w:t>
      </w:r>
      <w:bookmarkEnd w:id="601"/>
    </w:p>
    <w:p w14:paraId="1BB03D1F" w14:textId="77777777">
      <w:r>
        <w:t>Unlike incomplete copperplate sets with only the end and/or only the beginning missing, we prefer not to ignore lost medial plates in our encoding.</w:t>
      </w:r>
    </w:p>
    <w:p w14:paraId="532581E3" w14:textId="77777777">
      <w:pPr>
        <w:pStyle w:val="Lista"/>
      </w:pPr>
      <w:r>
        <w:t xml:space="preserve">if the number of lost plates is known or can be estimated with at least some confidence, then </w:t>
      </w:r>
    </w:p>
    <w:p w14:paraId="60F4C112" w14:textId="41B43463">
      <w:pPr>
        <w:pStyle w:val="Lista2"/>
      </w:pPr>
      <w:r>
        <w:t>reconstruct the structure for the lost plates as per §</w:t>
      </w:r>
      <w:r>
        <w:fldChar w:fldCharType="begin"/>
      </w:r>
      <w:r>
        <w:instrText xml:space="preserve"> REF _Ref228455432 \r \h </w:instrText>
      </w:r>
      <w:r>
        <w:fldChar w:fldCharType="separate"/>
      </w:r>
      <w:r>
        <w:t>6.5.5.4</w:t>
      </w:r>
      <w:r>
        <w:fldChar w:fldCharType="end"/>
      </w:r>
    </w:p>
    <w:p w14:paraId="289FC70D" w14:textId="7A9CB3F5">
      <w:pPr>
        <w:pStyle w:val="Lista3"/>
      </w:pPr>
      <w:r>
        <w:t xml:space="preserve">the Case Study in </w:t>
      </w:r>
      <w:r>
        <w:fldChar w:fldCharType="begin"/>
      </w:r>
      <w:r>
        <w:instrText xml:space="preserve"> REF _Ref239844389 \r \h </w:instrText>
      </w:r>
      <w:r>
        <w:fldChar w:fldCharType="separate"/>
      </w:r>
      <w:r>
        <w:t>Appendix A.3</w:t>
      </w:r>
      <w:r>
        <w:fldChar w:fldCharType="end"/>
      </w:r>
      <w:r>
        <w:t xml:space="preserve"> shows a fully encoded illustration of a reconstructed medial plate </w:t>
      </w:r>
    </w:p>
    <w:p w14:paraId="14A40CB3" w14:textId="5D502217">
      <w:pPr>
        <w:pStyle w:val="Lista2"/>
      </w:pPr>
      <w:r>
        <w:t>before the first lost plate, encode the text as you would for lost final plates (§</w:t>
      </w:r>
      <w:r>
        <w:fldChar w:fldCharType="begin"/>
      </w:r>
      <w:r>
        <w:instrText xml:space="preserve"> REF _Ref228457421 \r \h </w:instrText>
      </w:r>
      <w:r>
        <w:fldChar w:fldCharType="separate"/>
      </w:r>
      <w:r>
        <w:t>6.5.5.1</w:t>
      </w:r>
      <w:r>
        <w:fldChar w:fldCharType="end"/>
      </w:r>
      <w:r>
        <w:t>)</w:t>
      </w:r>
    </w:p>
    <w:p w14:paraId="7487F3BC" w14:textId="265AFD31">
      <w:pPr>
        <w:pStyle w:val="Lista2"/>
      </w:pPr>
      <w:r>
        <w:t>after the last lost plate, encode the text as you would for lost initial plates (§</w:t>
      </w:r>
      <w:r>
        <w:fldChar w:fldCharType="begin"/>
      </w:r>
      <w:r>
        <w:instrText xml:space="preserve"> REF _Ref228457448 \r \h </w:instrText>
      </w:r>
      <w:r>
        <w:fldChar w:fldCharType="separate"/>
      </w:r>
      <w:r>
        <w:t>6.5.5.2</w:t>
      </w:r>
      <w:r>
        <w:fldChar w:fldCharType="end"/>
      </w:r>
      <w:r>
        <w:t>)</w:t>
      </w:r>
    </w:p>
    <w:p w14:paraId="1E9E62CB" w14:textId="77777777">
      <w:pPr>
        <w:pStyle w:val="Lista2"/>
      </w:pPr>
      <w:r>
        <w:t>since the structure of the lost plates is reconstructed, any restored text on a lost plate can be integrated into that structure, so do not resort to recording restorations outside the edition</w:t>
      </w:r>
    </w:p>
    <w:p w14:paraId="3D40C403" w14:textId="77777777">
      <w:pPr>
        <w:pStyle w:val="Lista2"/>
      </w:pPr>
      <w:r>
        <w:t>in the section after the last lost plate, number units as follows</w:t>
      </w:r>
    </w:p>
    <w:p w14:paraId="78AC7EC1" w14:textId="77777777">
      <w:pPr>
        <w:pStyle w:val="Lista3"/>
      </w:pPr>
      <w:r>
        <w:t>continue page numbering after the reconstructed numbering for the lost plates</w:t>
      </w:r>
    </w:p>
    <w:p w14:paraId="0C879FE3" w14:textId="77777777">
      <w:pPr>
        <w:pStyle w:val="Lista3"/>
      </w:pPr>
      <w:r>
        <w:t>continue line numbering after the reconstructed numbering for the lost plates</w:t>
      </w:r>
    </w:p>
    <w:p w14:paraId="4A0D7EFD" w14:textId="7AD31B96">
      <w:pPr>
        <w:pStyle w:val="Lista4"/>
      </w:pPr>
      <w:r>
        <w:t>or use complex line numbering (§</w:t>
      </w:r>
      <w:r>
        <w:fldChar w:fldCharType="begin"/>
      </w:r>
      <w:r>
        <w:instrText xml:space="preserve"> REF _Ref182228380 \r \h </w:instrText>
      </w:r>
      <w:r>
        <w:fldChar w:fldCharType="separate"/>
      </w:r>
      <w:r>
        <w:t>4.5.2.2</w:t>
      </w:r>
      <w:r>
        <w:fldChar w:fldCharType="end"/>
      </w:r>
      <w:r>
        <w:t>) if the number of lost pages could be estimated but that of lost lines could not</w:t>
      </w:r>
    </w:p>
    <w:p w14:paraId="02CD7A3E" w14:textId="77777777">
      <w:pPr>
        <w:pStyle w:val="Lista3"/>
      </w:pPr>
      <w:r>
        <w:lastRenderedPageBreak/>
        <w:t>continue stanza numbering with the next greater number after that of the last extant stanza</w:t>
      </w:r>
    </w:p>
    <w:p w14:paraId="1FD75732" w14:textId="77777777">
      <w:pPr>
        <w:pStyle w:val="Lista4"/>
      </w:pPr>
      <w:r>
        <w:t>unless you can estimate the number of stanzas in the lost plates with great confidence, in which case skip their numbers and continue numeration with the next higher number</w:t>
      </w:r>
    </w:p>
    <w:p w14:paraId="2338D543" w14:textId="4A2D9E1F">
      <w:pPr>
        <w:pStyle w:val="Lista"/>
      </w:pPr>
      <w:r>
        <w:t xml:space="preserve">if the total number of lost medial pages cannot be estimated with any confidence, encode the extant sections as textpart divisions </w:t>
      </w:r>
      <w:r>
        <w:rPr>
          <w:noProof/>
        </w:rPr>
        <w:t>(</w:t>
      </w:r>
      <w:r>
        <w:t>§</w:t>
      </w:r>
      <w:r>
        <w:fldChar w:fldCharType="begin"/>
      </w:r>
      <w:r>
        <w:instrText xml:space="preserve"> REF _Ref225778181 \r \h </w:instrText>
      </w:r>
      <w:r>
        <w:fldChar w:fldCharType="separate"/>
      </w:r>
      <w:r>
        <w:t>4.2</w:t>
      </w:r>
      <w:r>
        <w:fldChar w:fldCharType="end"/>
      </w:r>
      <w:r>
        <w:t>, §</w:t>
      </w:r>
      <w:r>
        <w:fldChar w:fldCharType="begin"/>
      </w:r>
      <w:r>
        <w:instrText xml:space="preserve"> REF _Ref228458226 \r \h </w:instrText>
      </w:r>
      <w:r>
        <w:fldChar w:fldCharType="separate"/>
      </w:r>
      <w:r>
        <w:t>6.5.4.2</w:t>
      </w:r>
      <w:r>
        <w:fldChar w:fldCharType="end"/>
      </w:r>
      <w:r>
        <w:t>) to eliminate difficulties with page and line numbering</w:t>
      </w:r>
    </w:p>
    <w:p w14:paraId="565A2961" w14:textId="59662977">
      <w:pPr>
        <w:pStyle w:val="Lista2"/>
      </w:pPr>
      <w:r>
        <w:t xml:space="preserve">the Case Study in </w:t>
      </w:r>
      <w:r>
        <w:fldChar w:fldCharType="begin"/>
      </w:r>
      <w:r>
        <w:instrText xml:space="preserve"> REF _Ref239844430 \r \h </w:instrText>
      </w:r>
      <w:r>
        <w:fldChar w:fldCharType="separate"/>
      </w:r>
      <w:r>
        <w:t>Appendix A.4</w:t>
      </w:r>
      <w:r>
        <w:fldChar w:fldCharType="end"/>
      </w:r>
      <w:r>
        <w:t xml:space="preserve"> shows a fully encoded illustration of a missing medial plate encoded with textpart divisions</w:t>
      </w:r>
    </w:p>
    <w:p w14:paraId="5BF2575C" w14:textId="77777777">
      <w:pPr>
        <w:pStyle w:val="Lista2"/>
      </w:pPr>
      <w:r>
        <w:t>within each textpart, encode only the pages pertaining to that part of the edition and do not reconstruct any page or line beginnings believed or known to be lost unless you find it essential to show a restoration in the edition</w:t>
      </w:r>
    </w:p>
    <w:p w14:paraId="7B0E5E8D" w14:textId="77777777">
      <w:pPr>
        <w:pStyle w:val="Lista2"/>
      </w:pPr>
      <w:r>
        <w:t>if you are able to restore any text preceding the first extant plate</w:t>
      </w:r>
    </w:p>
    <w:p w14:paraId="714E4A45" w14:textId="3AB5452A">
      <w:pPr>
        <w:pStyle w:val="Lista3"/>
      </w:pPr>
      <w:r>
        <w:t>preferably record it outside the edition as suggested in §</w:t>
      </w:r>
      <w:r>
        <w:fldChar w:fldCharType="begin"/>
      </w:r>
      <w:r>
        <w:instrText xml:space="preserve"> REF _Ref228367464 \r \h </w:instrText>
      </w:r>
      <w:r>
        <w:fldChar w:fldCharType="separate"/>
      </w:r>
      <w:r>
        <w:t>6.5.4.5</w:t>
      </w:r>
      <w:r>
        <w:fldChar w:fldCharType="end"/>
      </w:r>
    </w:p>
    <w:p w14:paraId="63842D6E" w14:textId="2F1216E7">
      <w:pPr>
        <w:pStyle w:val="Lista3"/>
      </w:pPr>
      <w:r>
        <w:t>alternatively, reconstruct the structure for the preceding page as per §</w:t>
      </w:r>
      <w:r>
        <w:fldChar w:fldCharType="begin"/>
      </w:r>
      <w:r>
        <w:instrText xml:space="preserve"> REF _Ref228455432 \r \h </w:instrText>
      </w:r>
      <w:r>
        <w:fldChar w:fldCharType="separate"/>
      </w:r>
      <w:r>
        <w:t>6.5.5.4</w:t>
      </w:r>
      <w:r>
        <w:fldChar w:fldCharType="end"/>
      </w:r>
    </w:p>
    <w:p w14:paraId="60CFB23F" w14:textId="77777777">
      <w:pPr>
        <w:pStyle w:val="Cmsor4"/>
      </w:pPr>
      <w:bookmarkStart w:id="602" w:name="_Ref228455432"/>
      <w:r>
        <w:t>Reconstructing structure for lost copper plates</w:t>
      </w:r>
      <w:bookmarkEnd w:id="602"/>
    </w:p>
    <w:p w14:paraId="1AF5FA33" w14:textId="77777777">
      <w:pPr>
        <w:rPr>
          <w:lang w:eastAsia="en-US" w:bidi="ar-SA"/>
        </w:rPr>
      </w:pPr>
      <w:r>
        <w:rPr>
          <w:lang w:eastAsia="en-US" w:bidi="ar-SA"/>
        </w:rPr>
        <w:t>Reconstruction of the page and line beginnings for lost copper plates is the less preferred option for missing final and initial plates and the preferred option for missing medial plates unless it is impossible to estimate their number.</w:t>
      </w:r>
    </w:p>
    <w:p w14:paraId="698C2BCD" w14:textId="77777777">
      <w:pPr>
        <w:pStyle w:val="Lista"/>
      </w:pPr>
      <w:r>
        <w:t xml:space="preserve">to reconstruct the page structure for one or more missing plates, estimate the number of missing plates and create </w:t>
      </w:r>
      <w:r>
        <w:rPr>
          <w:rStyle w:val="Code"/>
        </w:rPr>
        <w:t>&lt;pb/&gt;</w:t>
      </w:r>
      <w:r>
        <w:t xml:space="preserve"> elements for both the recto and the verso face of each</w:t>
      </w:r>
    </w:p>
    <w:p w14:paraId="417936EE" w14:textId="3F1C1551">
      <w:pPr>
        <w:pStyle w:val="Lista"/>
      </w:pPr>
      <w:r>
        <w:t>to reconstruct a single page in order to accommodate a restoration (when not using the option to record such a restoration outside the edition, §</w:t>
      </w:r>
      <w:r>
        <w:fldChar w:fldCharType="begin"/>
      </w:r>
      <w:r>
        <w:instrText xml:space="preserve"> REF _Ref228367464 \r \h </w:instrText>
      </w:r>
      <w:r>
        <w:fldChar w:fldCharType="separate"/>
      </w:r>
      <w:r>
        <w:t>6.5.4.5</w:t>
      </w:r>
      <w:r>
        <w:fldChar w:fldCharType="end"/>
      </w:r>
      <w:r>
        <w:t>), create only the single (recto or verso) page beginning for the page on which the restored text would have been located</w:t>
      </w:r>
    </w:p>
    <w:p w14:paraId="623D3208" w14:textId="77777777">
      <w:pPr>
        <w:pStyle w:val="Lista"/>
      </w:pPr>
      <w:r>
        <w:t>handle the line structure on reconstructed pages as follows</w:t>
      </w:r>
    </w:p>
    <w:p w14:paraId="60B55A7C" w14:textId="18EAEF0C">
      <w:pPr>
        <w:pStyle w:val="Lista2"/>
      </w:pPr>
      <w:r>
        <w:t xml:space="preserve">the default option is to create no </w:t>
      </w:r>
      <w:r>
        <w:rPr>
          <w:rStyle w:val="Code"/>
        </w:rPr>
        <w:t>&lt;lb/&gt;</w:t>
      </w:r>
      <w:r>
        <w:t xml:space="preserve"> elements and instead encode a multiline lacuna (§</w:t>
      </w:r>
      <w:r>
        <w:fldChar w:fldCharType="begin"/>
      </w:r>
      <w:r>
        <w:instrText xml:space="preserve"> REF _Ref228349461 \r \h </w:instrText>
      </w:r>
      <w:r>
        <w:fldChar w:fldCharType="separate"/>
      </w:r>
      <w:r>
        <w:t>6.5.3.2</w:t>
      </w:r>
      <w:r>
        <w:fldChar w:fldCharType="end"/>
      </w:r>
      <w:r>
        <w:t>) on each lost page, with an extent of a known, estimated or unknown number of lines</w:t>
      </w:r>
    </w:p>
    <w:p w14:paraId="285D315F" w14:textId="77777777">
      <w:pPr>
        <w:pStyle w:val="Lista2"/>
      </w:pPr>
      <w:r>
        <w:t>if the page has been reconstructed in order to accommodate a restoration, then a line beginning must be reconstructed for the line(s) in which the restored text would have been located</w:t>
      </w:r>
    </w:p>
    <w:p w14:paraId="1A3BD9B0" w14:textId="6AD1C64C">
      <w:pPr>
        <w:pStyle w:val="Lista3"/>
      </w:pPr>
      <w:r>
        <w:t>for the remaining lines on the same page, encode a multiline lacuna (§</w:t>
      </w:r>
      <w:r>
        <w:fldChar w:fldCharType="begin"/>
      </w:r>
      <w:r>
        <w:instrText xml:space="preserve"> REF _Ref228349461 \r \h </w:instrText>
      </w:r>
      <w:r>
        <w:fldChar w:fldCharType="separate"/>
      </w:r>
      <w:r>
        <w:t>6.5.3.2</w:t>
      </w:r>
      <w:r>
        <w:fldChar w:fldCharType="end"/>
      </w:r>
      <w:r>
        <w:t>) on each lost page, with an extent of a known, estimated or unknown number of lines</w:t>
      </w:r>
    </w:p>
    <w:p w14:paraId="051AF60E" w14:textId="0A1244F0">
      <w:pPr>
        <w:pStyle w:val="Lista3"/>
      </w:pPr>
      <w:r>
        <w:t>the part of the line outside the restored reading must be encoded as an inline lacuna (§</w:t>
      </w:r>
      <w:r>
        <w:fldChar w:fldCharType="begin"/>
      </w:r>
      <w:r>
        <w:instrText xml:space="preserve"> REF _Ref43988016 \r \h </w:instrText>
      </w:r>
      <w:r>
        <w:fldChar w:fldCharType="separate"/>
      </w:r>
      <w:r>
        <w:t>6.5.2</w:t>
      </w:r>
      <w:r>
        <w:fldChar w:fldCharType="end"/>
      </w:r>
      <w:r>
        <w:t>)</w:t>
      </w:r>
    </w:p>
    <w:p w14:paraId="765E24A4" w14:textId="77777777">
      <w:pPr>
        <w:pStyle w:val="Lista2"/>
      </w:pPr>
      <w:r>
        <w:t>alternatively, if it is feasible to do so, you may choose to reconstruct line beginnings for all lines on every lost page, encoding an inline lacuna for each line</w:t>
      </w:r>
    </w:p>
    <w:p w14:paraId="14B09234" w14:textId="77777777">
      <w:pPr>
        <w:pStyle w:val="Cmsor1"/>
      </w:pPr>
      <w:bookmarkStart w:id="603" w:name="_m2k3hdqjm9zb" w:colFirst="0" w:colLast="0"/>
      <w:bookmarkStart w:id="604" w:name="_v1clk7602zin" w:colFirst="0" w:colLast="0"/>
      <w:bookmarkStart w:id="605" w:name="_Ref43978565"/>
      <w:bookmarkStart w:id="606" w:name="_Ref181694670"/>
      <w:bookmarkStart w:id="607" w:name="_Toc243922681"/>
      <w:bookmarkEnd w:id="603"/>
      <w:bookmarkEnd w:id="604"/>
      <w:r>
        <w:lastRenderedPageBreak/>
        <w:t>Editorial intervention</w:t>
      </w:r>
      <w:bookmarkEnd w:id="605"/>
      <w:bookmarkEnd w:id="606"/>
      <w:bookmarkEnd w:id="607"/>
    </w:p>
    <w:p w14:paraId="54E59AA6" w14:textId="5FD0C9A3">
      <w:pPr>
        <w:rPr>
          <w:lang w:eastAsia="en-US" w:bidi="ar-SA"/>
        </w:rPr>
      </w:pPr>
      <w:r>
        <w:rPr>
          <w:lang w:eastAsia="en-US" w:bidi="ar-SA"/>
        </w:rPr>
        <w:t>The editor intervenes in the text of a document because she perceives that there is something anomalous in the language of the text as received. The kind of editorial intervention, and thus the manner of its encoding, differs depending on the nature of the perceived anomaly (§</w:t>
      </w:r>
      <w:r>
        <w:rPr>
          <w:lang w:eastAsia="en-US" w:bidi="ar-SA"/>
        </w:rPr>
        <w:fldChar w:fldCharType="begin"/>
      </w:r>
      <w:r>
        <w:rPr>
          <w:lang w:eastAsia="en-US" w:bidi="ar-SA"/>
        </w:rPr>
        <w:instrText xml:space="preserve"> REF _Ref229054160 \r \h </w:instrText>
      </w:r>
      <w:r>
        <w:rPr>
          <w:lang w:eastAsia="en-US" w:bidi="ar-SA"/>
        </w:rPr>
      </w:r>
      <w:r>
        <w:rPr>
          <w:lang w:eastAsia="en-US" w:bidi="ar-SA"/>
        </w:rPr>
        <w:fldChar w:fldCharType="separate"/>
      </w:r>
      <w:r>
        <w:rPr>
          <w:lang w:eastAsia="en-US" w:bidi="ar-SA"/>
        </w:rPr>
        <w:t>7.1</w:t>
      </w:r>
      <w:r>
        <w:rPr>
          <w:lang w:eastAsia="en-US" w:bidi="ar-SA"/>
        </w:rPr>
        <w:fldChar w:fldCharType="end"/>
      </w:r>
      <w:r>
        <w:rPr>
          <w:lang w:eastAsia="en-US" w:bidi="ar-SA"/>
        </w:rPr>
        <w:t>): does the text contain an inadvertent scribal mistake, or is its unusualness likely to be deliberate on the part of its composer? Once an anomaly and its nature have been identified, you as editor must decide what to do about it and encode the intervention accordingly (§</w:t>
      </w:r>
      <w:r>
        <w:rPr>
          <w:lang w:eastAsia="en-US" w:bidi="ar-SA"/>
        </w:rPr>
        <w:fldChar w:fldCharType="begin"/>
      </w:r>
      <w:r>
        <w:rPr>
          <w:lang w:eastAsia="en-US" w:bidi="ar-SA"/>
        </w:rPr>
        <w:instrText xml:space="preserve"> REF _Ref229054270 \r \h </w:instrText>
      </w:r>
      <w:r>
        <w:rPr>
          <w:lang w:eastAsia="en-US" w:bidi="ar-SA"/>
        </w:rPr>
      </w:r>
      <w:r>
        <w:rPr>
          <w:lang w:eastAsia="en-US" w:bidi="ar-SA"/>
        </w:rPr>
        <w:fldChar w:fldCharType="separate"/>
      </w:r>
      <w:r>
        <w:rPr>
          <w:lang w:eastAsia="en-US" w:bidi="ar-SA"/>
        </w:rPr>
        <w:t>7.2</w:t>
      </w:r>
      <w:r>
        <w:rPr>
          <w:lang w:eastAsia="en-US" w:bidi="ar-SA"/>
        </w:rPr>
        <w:fldChar w:fldCharType="end"/>
      </w:r>
      <w:r>
        <w:rPr>
          <w:lang w:eastAsia="en-US" w:bidi="ar-SA"/>
        </w:rPr>
        <w:t>). Additional guidelines for good practice applicable to all editorial intervention are collected in §</w:t>
      </w:r>
      <w:r>
        <w:rPr>
          <w:lang w:eastAsia="en-US" w:bidi="ar-SA"/>
        </w:rPr>
        <w:fldChar w:fldCharType="begin"/>
      </w:r>
      <w:r>
        <w:rPr>
          <w:lang w:eastAsia="en-US" w:bidi="ar-SA"/>
        </w:rPr>
        <w:instrText xml:space="preserve"> REF _Ref43991017 \r \h </w:instrText>
      </w:r>
      <w:r>
        <w:rPr>
          <w:lang w:eastAsia="en-US" w:bidi="ar-SA"/>
        </w:rPr>
      </w:r>
      <w:r>
        <w:rPr>
          <w:lang w:eastAsia="en-US" w:bidi="ar-SA"/>
        </w:rPr>
        <w:fldChar w:fldCharType="separate"/>
      </w:r>
      <w:r>
        <w:rPr>
          <w:lang w:eastAsia="en-US" w:bidi="ar-SA"/>
        </w:rPr>
        <w:t>7.7</w:t>
      </w:r>
      <w:r>
        <w:rPr>
          <w:lang w:eastAsia="en-US" w:bidi="ar-SA"/>
        </w:rPr>
        <w:fldChar w:fldCharType="end"/>
      </w:r>
      <w:r>
        <w:rPr>
          <w:lang w:eastAsia="en-US" w:bidi="ar-SA"/>
        </w:rPr>
        <w:t>, while §</w:t>
      </w:r>
      <w:r>
        <w:rPr>
          <w:lang w:eastAsia="en-US" w:bidi="ar-SA"/>
        </w:rPr>
        <w:fldChar w:fldCharType="begin"/>
      </w:r>
      <w:r>
        <w:rPr>
          <w:lang w:eastAsia="en-US" w:bidi="ar-SA"/>
        </w:rPr>
        <w:instrText xml:space="preserve"> REF _Ref229056523 \r \h </w:instrText>
      </w:r>
      <w:r>
        <w:rPr>
          <w:lang w:eastAsia="en-US" w:bidi="ar-SA"/>
        </w:rPr>
      </w:r>
      <w:r>
        <w:rPr>
          <w:lang w:eastAsia="en-US" w:bidi="ar-SA"/>
        </w:rPr>
        <w:fldChar w:fldCharType="separate"/>
      </w:r>
      <w:r>
        <w:rPr>
          <w:lang w:eastAsia="en-US" w:bidi="ar-SA"/>
        </w:rPr>
        <w:t>7.8</w:t>
      </w:r>
      <w:r>
        <w:rPr>
          <w:lang w:eastAsia="en-US" w:bidi="ar-SA"/>
        </w:rPr>
        <w:fldChar w:fldCharType="end"/>
      </w:r>
      <w:r>
        <w:rPr>
          <w:lang w:eastAsia="en-US" w:bidi="ar-SA"/>
        </w:rPr>
        <w:t xml:space="preserve"> discusses “curatorial” modifications the editor can make in the text without encoding them as editorial.</w:t>
      </w:r>
    </w:p>
    <w:p w14:paraId="076AB045" w14:textId="77777777">
      <w:pPr>
        <w:pStyle w:val="Cmsor2"/>
      </w:pPr>
      <w:bookmarkStart w:id="608" w:name="_syuqjrbqvtf4" w:colFirst="0" w:colLast="0"/>
      <w:bookmarkStart w:id="609" w:name="_Ref229054160"/>
      <w:bookmarkStart w:id="610" w:name="_Toc243922682"/>
      <w:bookmarkEnd w:id="608"/>
      <w:r>
        <w:t>Distinguishing correction from normalisation</w:t>
      </w:r>
      <w:bookmarkEnd w:id="609"/>
      <w:bookmarkEnd w:id="610"/>
    </w:p>
    <w:p w14:paraId="22F8F201" w14:textId="77777777">
      <w:pPr>
        <w:rPr>
          <w:lang w:eastAsia="en-US" w:bidi="ar-SA"/>
        </w:rPr>
      </w:pPr>
      <w:r>
        <w:rPr>
          <w:lang w:eastAsia="en-US" w:bidi="ar-SA"/>
        </w:rPr>
        <w:t xml:space="preserve">While classical editions of Indic epigraphic texts rarely make such a distinction, TEI allows us to differentiate text written in error from non-standard usage. To set the two apart, you as editor must, informed by your expertise, establish the text as intended by the persons(s) who composed it. Doing so </w:t>
      </w:r>
      <w:r>
        <w:t>may be problematic and will often involve a subjective decision, which may be supported by the guidelines presented below.</w:t>
      </w:r>
    </w:p>
    <w:p w14:paraId="4368C6E9" w14:textId="77777777">
      <w:pPr>
        <w:pStyle w:val="Cmsor3"/>
      </w:pPr>
      <w:bookmarkStart w:id="611" w:name="_Toc243922683"/>
      <w:r>
        <w:t>Erroneous readings</w:t>
      </w:r>
      <w:bookmarkEnd w:id="611"/>
    </w:p>
    <w:p w14:paraId="25A3BB7A" w14:textId="77777777">
      <w:r>
        <w:rPr>
          <w:lang w:eastAsia="en-US" w:bidi="ar-SA"/>
        </w:rPr>
        <w:t>A received reading that deviates from the presumed intent of its composer is an erroneous reading, which may or may not be linguistically correct. An erroneous reading is of the nature of a typographic mistake: it is created inadvertently as a result of a mistake on the part of a scribe.</w:t>
      </w:r>
      <w:r>
        <w:rPr>
          <w:rStyle w:val="Lbjegyzet-hivatkozs"/>
          <w:lang w:eastAsia="en-US" w:bidi="ar-SA"/>
        </w:rPr>
        <w:footnoteReference w:id="33"/>
      </w:r>
      <w:r>
        <w:rPr>
          <w:lang w:eastAsia="en-US" w:bidi="ar-SA"/>
        </w:rPr>
        <w:t xml:space="preserve"> Correction is the editorial rectification of an erroneous reading by restoring the </w:t>
      </w:r>
      <w:r>
        <w:t>text to the form that you believe the composer of the text had intended.</w:t>
      </w:r>
    </w:p>
    <w:p w14:paraId="155C0134" w14:textId="77777777">
      <w:pPr>
        <w:pStyle w:val="Lista"/>
        <w:rPr>
          <w:lang w:eastAsia="en-US" w:bidi="ar-SA"/>
        </w:rPr>
      </w:pPr>
      <w:r>
        <w:rPr>
          <w:lang w:eastAsia="en-US" w:bidi="ar-SA"/>
        </w:rPr>
        <w:t>the correction of scribal mistakes is on the whole strongly recommended in our editions, because doing so may be necessary in order to make the text intelligible and, when the text is intelligible as received, can clarify the editor’s notion of what the text had been intended to be</w:t>
      </w:r>
    </w:p>
    <w:p w14:paraId="05A6DF1E" w14:textId="77777777">
      <w:pPr>
        <w:pStyle w:val="Lista"/>
        <w:rPr>
          <w:lang w:eastAsia="en-US" w:bidi="ar-SA"/>
        </w:rPr>
      </w:pPr>
      <w:r>
        <w:rPr>
          <w:lang w:eastAsia="en-US" w:bidi="ar-SA"/>
        </w:rPr>
        <w:t>when judging whether an unexpected reading is erroneous or non-standard, it may be helpful to keep in mind that scribal errors often (though not necessarily) have one or more of the following features</w:t>
      </w:r>
    </w:p>
    <w:p w14:paraId="6DCA305A" w14:textId="77777777">
      <w:pPr>
        <w:pStyle w:val="Lista2"/>
        <w:rPr>
          <w:lang w:eastAsia="en-US" w:bidi="ar-SA"/>
        </w:rPr>
      </w:pPr>
      <w:r>
        <w:rPr>
          <w:lang w:eastAsia="en-US" w:bidi="ar-SA"/>
        </w:rPr>
        <w:t>they occur inconsistently through a document and deviate from the expected form randomly, producing readings which are meaningless or inappropriate to the context</w:t>
      </w:r>
    </w:p>
    <w:p w14:paraId="00ADDE37" w14:textId="77777777">
      <w:pPr>
        <w:pStyle w:val="Lista3"/>
        <w:rPr>
          <w:lang w:eastAsia="en-US" w:bidi="ar-SA"/>
        </w:rPr>
      </w:pPr>
      <w:r>
        <w:rPr>
          <w:lang w:eastAsia="en-US" w:bidi="ar-SA"/>
        </w:rPr>
        <w:t>the expected (correct) form of the same word may thus also occur in the same document</w:t>
      </w:r>
    </w:p>
    <w:p w14:paraId="29329EA7" w14:textId="77777777">
      <w:pPr>
        <w:pStyle w:val="Lista2"/>
        <w:rPr>
          <w:lang w:eastAsia="en-US" w:bidi="ar-SA"/>
        </w:rPr>
      </w:pPr>
      <w:r>
        <w:rPr>
          <w:lang w:eastAsia="en-US" w:bidi="ar-SA"/>
        </w:rPr>
        <w:t>they involve a graphically similar glyph or graph instead of the expected one</w:t>
      </w:r>
    </w:p>
    <w:p w14:paraId="15FD28C4" w14:textId="77777777">
      <w:pPr>
        <w:pStyle w:val="Lista3"/>
        <w:rPr>
          <w:lang w:eastAsia="en-US" w:bidi="ar-SA"/>
        </w:rPr>
      </w:pPr>
      <w:r>
        <w:rPr>
          <w:lang w:eastAsia="en-US" w:bidi="ar-SA"/>
        </w:rPr>
        <w:t xml:space="preserve">e.g. </w:t>
      </w:r>
      <w:r>
        <w:rPr>
          <w:rStyle w:val="Foreign"/>
        </w:rPr>
        <w:t>ka</w:t>
      </w:r>
      <w:r>
        <w:t xml:space="preserve"> instead of </w:t>
      </w:r>
      <w:r>
        <w:rPr>
          <w:rStyle w:val="Foreign"/>
        </w:rPr>
        <w:t>ra</w:t>
      </w:r>
      <w:r>
        <w:t xml:space="preserve"> in a script where these look similar</w:t>
      </w:r>
    </w:p>
    <w:p w14:paraId="2C1199BE" w14:textId="77777777">
      <w:pPr>
        <w:pStyle w:val="Lista2"/>
        <w:rPr>
          <w:lang w:eastAsia="en-US" w:bidi="ar-SA"/>
        </w:rPr>
      </w:pPr>
      <w:r>
        <w:rPr>
          <w:lang w:eastAsia="en-US" w:bidi="ar-SA"/>
        </w:rPr>
        <w:t>they involve the omission of glyphs or sequences that ought to be repeated (haplography)</w:t>
      </w:r>
    </w:p>
    <w:p w14:paraId="3A43E880" w14:textId="77777777">
      <w:pPr>
        <w:pStyle w:val="Lista3"/>
        <w:rPr>
          <w:lang w:eastAsia="en-US" w:bidi="ar-SA"/>
        </w:rPr>
      </w:pPr>
      <w:r>
        <w:rPr>
          <w:lang w:eastAsia="en-US" w:bidi="ar-SA"/>
        </w:rPr>
        <w:t xml:space="preserve">e.g. </w:t>
      </w:r>
      <w:r>
        <w:rPr>
          <w:rStyle w:val="Foreign"/>
        </w:rPr>
        <w:t>varṣa</w:t>
      </w:r>
      <w:r>
        <w:t xml:space="preserve"> instead of </w:t>
      </w:r>
      <w:r>
        <w:rPr>
          <w:rStyle w:val="Foreign"/>
        </w:rPr>
        <w:t>vavarṣa</w:t>
      </w:r>
      <w:r>
        <w:t xml:space="preserve">; </w:t>
      </w:r>
      <w:r>
        <w:rPr>
          <w:rStyle w:val="Foreign"/>
        </w:rPr>
        <w:t>mandaṁ</w:t>
      </w:r>
      <w:r>
        <w:t xml:space="preserve"> instead of </w:t>
      </w:r>
      <w:r>
        <w:rPr>
          <w:rStyle w:val="Foreign"/>
        </w:rPr>
        <w:t>mandaṁ mandaṁ</w:t>
      </w:r>
    </w:p>
    <w:p w14:paraId="5A3B49DB" w14:textId="77777777">
      <w:pPr>
        <w:pStyle w:val="Lista2"/>
        <w:rPr>
          <w:lang w:eastAsia="en-US" w:bidi="ar-SA"/>
        </w:rPr>
      </w:pPr>
      <w:r>
        <w:rPr>
          <w:lang w:eastAsia="en-US" w:bidi="ar-SA"/>
        </w:rPr>
        <w:t>they involve the repetition of glyphs or sequences that ought to appear only once (dittography)</w:t>
      </w:r>
    </w:p>
    <w:p w14:paraId="2F8D4681" w14:textId="77777777">
      <w:pPr>
        <w:pStyle w:val="Lista3"/>
        <w:rPr>
          <w:lang w:eastAsia="en-US" w:bidi="ar-SA"/>
        </w:rPr>
      </w:pPr>
      <w:r>
        <w:rPr>
          <w:lang w:eastAsia="en-US" w:bidi="ar-SA"/>
        </w:rPr>
        <w:t xml:space="preserve">e.g. </w:t>
      </w:r>
      <w:r>
        <w:rPr>
          <w:rStyle w:val="Foreign"/>
          <w:lang w:eastAsia="en-US" w:bidi="ar-SA"/>
        </w:rPr>
        <w:t>sasarveṣāṁ</w:t>
      </w:r>
      <w:r>
        <w:t xml:space="preserve"> or </w:t>
      </w:r>
      <w:r>
        <w:rPr>
          <w:rStyle w:val="Foreign"/>
        </w:rPr>
        <w:t>sarvesarveṣāṁ</w:t>
      </w:r>
      <w:r>
        <w:t xml:space="preserve"> instead of </w:t>
      </w:r>
      <w:r>
        <w:rPr>
          <w:rStyle w:val="Foreign"/>
        </w:rPr>
        <w:t>sarveṣāṁ</w:t>
      </w:r>
    </w:p>
    <w:p w14:paraId="59D68493" w14:textId="77777777">
      <w:pPr>
        <w:pStyle w:val="Lista2"/>
        <w:rPr>
          <w:lang w:eastAsia="en-US" w:bidi="ar-SA"/>
        </w:rPr>
      </w:pPr>
      <w:r>
        <w:rPr>
          <w:lang w:eastAsia="en-US" w:bidi="ar-SA"/>
        </w:rPr>
        <w:t>they involve the omission of a chunk that is elsewhere preceded and followed by the same (or a very similar) glyph or sequence (eyeskip)</w:t>
      </w:r>
    </w:p>
    <w:p w14:paraId="15A8E0B5" w14:textId="77777777">
      <w:pPr>
        <w:pStyle w:val="Lista3"/>
        <w:rPr>
          <w:lang w:eastAsia="en-US" w:bidi="ar-SA"/>
        </w:rPr>
      </w:pPr>
      <w:r>
        <w:rPr>
          <w:lang w:eastAsia="en-US" w:bidi="ar-SA"/>
        </w:rPr>
        <w:t xml:space="preserve">e.g. </w:t>
      </w:r>
      <w:r>
        <w:rPr>
          <w:rStyle w:val="Foreign"/>
        </w:rPr>
        <w:t>mañjarī-puñjarita</w:t>
      </w:r>
      <w:r>
        <w:t xml:space="preserve"> instead of </w:t>
      </w:r>
      <w:r>
        <w:rPr>
          <w:rStyle w:val="Foreign"/>
        </w:rPr>
        <w:t>mañjarī-puñja-piñjarita</w:t>
      </w:r>
    </w:p>
    <w:p w14:paraId="0AC14969" w14:textId="77777777">
      <w:pPr>
        <w:pStyle w:val="Cmsor3"/>
      </w:pPr>
      <w:bookmarkStart w:id="612" w:name="_Ref242868067"/>
      <w:bookmarkStart w:id="613" w:name="_Toc243922684"/>
      <w:r>
        <w:t>Non-standard readings</w:t>
      </w:r>
      <w:bookmarkEnd w:id="612"/>
      <w:bookmarkEnd w:id="613"/>
    </w:p>
    <w:p w14:paraId="342A09D3" w14:textId="77777777">
      <w:r>
        <w:rPr>
          <w:lang w:eastAsia="en-US" w:bidi="ar-SA"/>
        </w:rPr>
        <w:t xml:space="preserve">A received reading that matches the presumed intent of its composer is not erroneous, but may be non-standard if it does not conform to generally established linguistic conventions. A non-standard reading is created deliberately, although not necessarily with awareness of its non-standard nature. That is to say, non-standard language is written usually when a composer’s individual concept of a language differs from the </w:t>
      </w:r>
      <w:r>
        <w:rPr>
          <w:lang w:eastAsia="en-US" w:bidi="ar-SA"/>
        </w:rPr>
        <w:lastRenderedPageBreak/>
        <w:t>general conventions governing that language, or occasionally when a composer chooses to transgress such conventions. Normalisation is the</w:t>
      </w:r>
      <w:r>
        <w:t xml:space="preserve"> editorial rectification of non-standard usage by alteration into something that fits the standard more closely.</w:t>
      </w:r>
    </w:p>
    <w:p w14:paraId="4BC7C4D5" w14:textId="77777777">
      <w:pPr>
        <w:pStyle w:val="Lista"/>
        <w:rPr>
          <w:lang w:eastAsia="en-US" w:bidi="ar-SA"/>
        </w:rPr>
      </w:pPr>
      <w:r>
        <w:rPr>
          <w:lang w:eastAsia="en-US" w:bidi="ar-SA"/>
        </w:rPr>
        <w:t>normalisation is always optional in our editions, but is recommended whenever you deem it helpful to the reader for understanding difficult non-standard language or for clarifying your editorial interpretation of it</w:t>
      </w:r>
    </w:p>
    <w:p w14:paraId="49D70FC5" w14:textId="77777777">
      <w:pPr>
        <w:pStyle w:val="Lista"/>
        <w:rPr>
          <w:lang w:eastAsia="en-US" w:bidi="ar-SA"/>
        </w:rPr>
      </w:pPr>
      <w:r>
        <w:rPr>
          <w:lang w:eastAsia="en-US" w:bidi="ar-SA"/>
        </w:rPr>
        <w:t>when judging whether an unexpected reading is erroneous or non-standard, it may be helpful to keep in mind that non-standard variations often (though not necessarily) have one or more of the following features</w:t>
      </w:r>
    </w:p>
    <w:p w14:paraId="5A84E416" w14:textId="77777777">
      <w:pPr>
        <w:pStyle w:val="Lista2"/>
      </w:pPr>
      <w:r>
        <w:t>they occur consistently through a document and deviate from the expected form systematically, producing readings which are meaningful and appropriate to the context once their systematic deviation has been taken into account</w:t>
      </w:r>
    </w:p>
    <w:p w14:paraId="372F12EF" w14:textId="77777777">
      <w:pPr>
        <w:pStyle w:val="Lista2"/>
      </w:pPr>
      <w:r>
        <w:t>they involve a plausible phonological alternative to the standard pronunciation of a word or sequence</w:t>
      </w:r>
    </w:p>
    <w:p w14:paraId="23F626BB" w14:textId="77777777">
      <w:pPr>
        <w:pStyle w:val="Lista3"/>
        <w:rPr>
          <w:rStyle w:val="Foreign"/>
          <w:i w:val="0"/>
          <w:iCs w:val="0"/>
          <w:noProof w:val="0"/>
        </w:rPr>
      </w:pPr>
      <w:r>
        <w:t xml:space="preserve">e.g. </w:t>
      </w:r>
      <w:r>
        <w:rPr>
          <w:rStyle w:val="Foreign"/>
        </w:rPr>
        <w:t>vacchara</w:t>
      </w:r>
      <w:r>
        <w:t xml:space="preserve"> instead of </w:t>
      </w:r>
      <w:r>
        <w:rPr>
          <w:rStyle w:val="Foreign"/>
        </w:rPr>
        <w:t>vatsara</w:t>
      </w:r>
      <w:r>
        <w:t xml:space="preserve">; </w:t>
      </w:r>
      <w:r>
        <w:rPr>
          <w:rStyle w:val="Foreign"/>
        </w:rPr>
        <w:t>kuṭiṁbin</w:t>
      </w:r>
      <w:r>
        <w:t xml:space="preserve"> instead of </w:t>
      </w:r>
      <w:r>
        <w:rPr>
          <w:rStyle w:val="Foreign"/>
        </w:rPr>
        <w:t>kuṭuṁbin</w:t>
      </w:r>
      <w:r>
        <w:t xml:space="preserve">; </w:t>
      </w:r>
      <w:r>
        <w:rPr>
          <w:rStyle w:val="Foreign"/>
        </w:rPr>
        <w:t>krita</w:t>
      </w:r>
      <w:r>
        <w:t xml:space="preserve"> (or </w:t>
      </w:r>
      <w:r>
        <w:rPr>
          <w:rStyle w:val="Foreign"/>
        </w:rPr>
        <w:t>kruta</w:t>
      </w:r>
      <w:r>
        <w:t xml:space="preserve"> or </w:t>
      </w:r>
      <w:r>
        <w:rPr>
          <w:rStyle w:val="Foreign"/>
        </w:rPr>
        <w:t>krata</w:t>
      </w:r>
      <w:r>
        <w:t xml:space="preserve">) instead of </w:t>
      </w:r>
      <w:r>
        <w:rPr>
          <w:rStyle w:val="Foreign"/>
        </w:rPr>
        <w:t>kr̥ta</w:t>
      </w:r>
    </w:p>
    <w:p w14:paraId="3538877C" w14:textId="77777777">
      <w:pPr>
        <w:pStyle w:val="Lista2"/>
      </w:pPr>
      <w:r>
        <w:t>they involve a plausible graphemic alternative to the standard orthography of a word or sequence</w:t>
      </w:r>
    </w:p>
    <w:p w14:paraId="54B278B0" w14:textId="77777777">
      <w:pPr>
        <w:pStyle w:val="Lista3"/>
      </w:pPr>
      <w:r>
        <w:t xml:space="preserve">e.g. </w:t>
      </w:r>
      <w:r>
        <w:rPr>
          <w:rStyle w:val="Foreign"/>
        </w:rPr>
        <w:t>satva</w:t>
      </w:r>
      <w:r>
        <w:t xml:space="preserve"> instead of </w:t>
      </w:r>
      <w:r>
        <w:rPr>
          <w:rStyle w:val="Foreign"/>
        </w:rPr>
        <w:t>sattva</w:t>
      </w:r>
      <w:r>
        <w:t xml:space="preserve">; </w:t>
      </w:r>
      <w:r>
        <w:rPr>
          <w:rStyle w:val="Foreign"/>
        </w:rPr>
        <w:t>sattya</w:t>
      </w:r>
      <w:r>
        <w:t xml:space="preserve"> instead of </w:t>
      </w:r>
      <w:r>
        <w:rPr>
          <w:rStyle w:val="Foreign"/>
        </w:rPr>
        <w:t>satya</w:t>
      </w:r>
    </w:p>
    <w:p w14:paraId="5DCCCD34" w14:textId="77777777">
      <w:pPr>
        <w:pStyle w:val="Lista2"/>
      </w:pPr>
      <w:r>
        <w:t>they involve the application of a generic grammatical rule where a specific rule (exception) is expected</w:t>
      </w:r>
    </w:p>
    <w:p w14:paraId="14E938DB" w14:textId="77777777">
      <w:pPr>
        <w:pStyle w:val="Lista3"/>
        <w:rPr>
          <w:rStyle w:val="Foreign"/>
          <w:i w:val="0"/>
          <w:iCs w:val="0"/>
          <w:noProof w:val="0"/>
        </w:rPr>
      </w:pPr>
      <w:r>
        <w:t xml:space="preserve">e.g. </w:t>
      </w:r>
      <w:r>
        <w:rPr>
          <w:rStyle w:val="Foreign"/>
        </w:rPr>
        <w:t>rājasya</w:t>
      </w:r>
      <w:r>
        <w:t xml:space="preserve"> instead of </w:t>
      </w:r>
      <w:r>
        <w:rPr>
          <w:rStyle w:val="Foreign"/>
        </w:rPr>
        <w:t>rājñaḥ</w:t>
      </w:r>
    </w:p>
    <w:p w14:paraId="5236F1CA" w14:textId="77777777">
      <w:pPr>
        <w:pStyle w:val="Lista2"/>
      </w:pPr>
      <w:r>
        <w:t>they involve the application of a specific grammatical rule where it is not expected to apply</w:t>
      </w:r>
    </w:p>
    <w:p w14:paraId="20E6B01F" w14:textId="77777777">
      <w:pPr>
        <w:pStyle w:val="Lista3"/>
      </w:pPr>
      <w:r>
        <w:t xml:space="preserve">e.g. </w:t>
      </w:r>
      <w:r>
        <w:rPr>
          <w:rStyle w:val="Foreign"/>
        </w:rPr>
        <w:t>mahārājñaḥ</w:t>
      </w:r>
      <w:r>
        <w:t xml:space="preserve"> instead of </w:t>
      </w:r>
      <w:r>
        <w:rPr>
          <w:rStyle w:val="Foreign"/>
        </w:rPr>
        <w:t>mahārājasya</w:t>
      </w:r>
    </w:p>
    <w:p w14:paraId="4CFF51A7" w14:textId="77777777">
      <w:pPr>
        <w:pStyle w:val="Cmsor2"/>
      </w:pPr>
      <w:bookmarkStart w:id="614" w:name="_8gcqc0hm9n9l" w:colFirst="0" w:colLast="0"/>
      <w:bookmarkStart w:id="615" w:name="_Ref229054270"/>
      <w:bookmarkStart w:id="616" w:name="_Toc243922685"/>
      <w:bookmarkEnd w:id="614"/>
      <w:r>
        <w:t>Encoding editorial intervention</w:t>
      </w:r>
      <w:bookmarkEnd w:id="615"/>
      <w:bookmarkEnd w:id="616"/>
    </w:p>
    <w:p w14:paraId="79EC5CF0" w14:textId="7C2437E4">
      <w:pPr>
        <w:rPr>
          <w:lang w:eastAsia="en-US" w:bidi="ar-SA"/>
        </w:rPr>
      </w:pPr>
      <w:r>
        <w:rPr>
          <w:lang w:eastAsia="en-US" w:bidi="ar-SA"/>
        </w:rPr>
        <w:t>In DHARMA digital editions, the literal reading of the source must always be present (i.e. never discarded in favour of a correction or normalisation), and any editorial alteration must be explicitly tagged as such (i.e. never silent), except for the small number of specific cases listed in §</w:t>
      </w:r>
      <w:r>
        <w:rPr>
          <w:lang w:eastAsia="en-US" w:bidi="ar-SA"/>
        </w:rPr>
        <w:fldChar w:fldCharType="begin"/>
      </w:r>
      <w:r>
        <w:rPr>
          <w:lang w:eastAsia="en-US" w:bidi="ar-SA"/>
        </w:rPr>
        <w:instrText xml:space="preserve"> REF _Ref229056523 \r \h </w:instrText>
      </w:r>
      <w:r>
        <w:rPr>
          <w:lang w:eastAsia="en-US" w:bidi="ar-SA"/>
        </w:rPr>
      </w:r>
      <w:r>
        <w:rPr>
          <w:lang w:eastAsia="en-US" w:bidi="ar-SA"/>
        </w:rPr>
        <w:fldChar w:fldCharType="separate"/>
      </w:r>
      <w:r>
        <w:rPr>
          <w:lang w:eastAsia="en-US" w:bidi="ar-SA"/>
        </w:rPr>
        <w:t>7.8</w:t>
      </w:r>
      <w:r>
        <w:rPr>
          <w:lang w:eastAsia="en-US" w:bidi="ar-SA"/>
        </w:rPr>
        <w:fldChar w:fldCharType="end"/>
      </w:r>
      <w:r>
        <w:rPr>
          <w:lang w:eastAsia="en-US" w:bidi="ar-SA"/>
        </w:rPr>
        <w:t xml:space="preserve"> below. This requirement leaves us with the following practical scenarios for the treatment of an anomalous reading: ignore it (§</w:t>
      </w:r>
      <w:r>
        <w:rPr>
          <w:lang w:eastAsia="en-US" w:bidi="ar-SA"/>
        </w:rPr>
        <w:fldChar w:fldCharType="begin"/>
      </w:r>
      <w:r>
        <w:rPr>
          <w:lang w:eastAsia="en-US" w:bidi="ar-SA"/>
        </w:rPr>
        <w:instrText xml:space="preserve"> REF _Ref228976848 \r \h </w:instrText>
      </w:r>
      <w:r>
        <w:rPr>
          <w:lang w:eastAsia="en-US" w:bidi="ar-SA"/>
        </w:rPr>
      </w:r>
      <w:r>
        <w:rPr>
          <w:lang w:eastAsia="en-US" w:bidi="ar-SA"/>
        </w:rPr>
        <w:fldChar w:fldCharType="separate"/>
      </w:r>
      <w:r>
        <w:rPr>
          <w:lang w:eastAsia="en-US" w:bidi="ar-SA"/>
        </w:rPr>
        <w:t>7.3</w:t>
      </w:r>
      <w:r>
        <w:rPr>
          <w:lang w:eastAsia="en-US" w:bidi="ar-SA"/>
        </w:rPr>
        <w:fldChar w:fldCharType="end"/>
      </w:r>
      <w:r>
        <w:rPr>
          <w:lang w:eastAsia="en-US" w:bidi="ar-SA"/>
        </w:rPr>
        <w:t>), flag it as anomalous (§</w:t>
      </w:r>
      <w:r>
        <w:rPr>
          <w:lang w:eastAsia="en-US" w:bidi="ar-SA"/>
        </w:rPr>
        <w:fldChar w:fldCharType="begin"/>
      </w:r>
      <w:r>
        <w:rPr>
          <w:lang w:eastAsia="en-US" w:bidi="ar-SA"/>
        </w:rPr>
        <w:instrText xml:space="preserve"> REF _Ref228872759 \r \h </w:instrText>
      </w:r>
      <w:r>
        <w:rPr>
          <w:lang w:eastAsia="en-US" w:bidi="ar-SA"/>
        </w:rPr>
      </w:r>
      <w:r>
        <w:rPr>
          <w:lang w:eastAsia="en-US" w:bidi="ar-SA"/>
        </w:rPr>
        <w:fldChar w:fldCharType="separate"/>
      </w:r>
      <w:r>
        <w:rPr>
          <w:lang w:eastAsia="en-US" w:bidi="ar-SA"/>
        </w:rPr>
        <w:t>7.4</w:t>
      </w:r>
      <w:r>
        <w:rPr>
          <w:lang w:eastAsia="en-US" w:bidi="ar-SA"/>
        </w:rPr>
        <w:fldChar w:fldCharType="end"/>
      </w:r>
      <w:r>
        <w:rPr>
          <w:lang w:eastAsia="en-US" w:bidi="ar-SA"/>
        </w:rPr>
        <w:t>) or rectify it by providing the corrected or normalised reading as an alternative to the received reading (§</w:t>
      </w:r>
      <w:r>
        <w:rPr>
          <w:lang w:eastAsia="en-US" w:bidi="ar-SA"/>
        </w:rPr>
        <w:fldChar w:fldCharType="begin"/>
      </w:r>
      <w:r>
        <w:rPr>
          <w:lang w:eastAsia="en-US" w:bidi="ar-SA"/>
        </w:rPr>
        <w:instrText xml:space="preserve"> REF _Ref228872858 \r \h </w:instrText>
      </w:r>
      <w:r>
        <w:rPr>
          <w:lang w:eastAsia="en-US" w:bidi="ar-SA"/>
        </w:rPr>
      </w:r>
      <w:r>
        <w:rPr>
          <w:lang w:eastAsia="en-US" w:bidi="ar-SA"/>
        </w:rPr>
        <w:fldChar w:fldCharType="separate"/>
      </w:r>
      <w:r>
        <w:rPr>
          <w:lang w:eastAsia="en-US" w:bidi="ar-SA"/>
        </w:rPr>
        <w:t>7.5</w:t>
      </w:r>
      <w:r>
        <w:rPr>
          <w:lang w:eastAsia="en-US" w:bidi="ar-SA"/>
        </w:rPr>
        <w:fldChar w:fldCharType="end"/>
      </w:r>
      <w:r>
        <w:rPr>
          <w:lang w:eastAsia="en-US" w:bidi="ar-SA"/>
        </w:rPr>
        <w:t>). All of the encoding introduced in this section must comply with the guidance on good practice in §</w:t>
      </w:r>
      <w:r>
        <w:rPr>
          <w:lang w:eastAsia="en-US" w:bidi="ar-SA"/>
        </w:rPr>
        <w:fldChar w:fldCharType="begin"/>
      </w:r>
      <w:r>
        <w:rPr>
          <w:lang w:eastAsia="en-US" w:bidi="ar-SA"/>
        </w:rPr>
        <w:instrText xml:space="preserve"> REF _Ref43991017 \r \h </w:instrText>
      </w:r>
      <w:r>
        <w:rPr>
          <w:lang w:eastAsia="en-US" w:bidi="ar-SA"/>
        </w:rPr>
      </w:r>
      <w:r>
        <w:rPr>
          <w:lang w:eastAsia="en-US" w:bidi="ar-SA"/>
        </w:rPr>
        <w:fldChar w:fldCharType="separate"/>
      </w:r>
      <w:r>
        <w:rPr>
          <w:lang w:eastAsia="en-US" w:bidi="ar-SA"/>
        </w:rPr>
        <w:t>7.7</w:t>
      </w:r>
      <w:r>
        <w:rPr>
          <w:lang w:eastAsia="en-US" w:bidi="ar-SA"/>
        </w:rPr>
        <w:fldChar w:fldCharType="end"/>
      </w:r>
      <w:r>
        <w:rPr>
          <w:lang w:eastAsia="en-US" w:bidi="ar-SA"/>
        </w:rPr>
        <w:t>.</w:t>
      </w:r>
    </w:p>
    <w:p w14:paraId="7BB66B41" w14:textId="77777777">
      <w:pPr>
        <w:pStyle w:val="Normlbehzs"/>
        <w:rPr>
          <w:lang w:eastAsia="en-US" w:bidi="ar-SA"/>
        </w:rPr>
      </w:pPr>
      <w:r>
        <w:rPr>
          <w:lang w:eastAsia="en-US" w:bidi="ar-SA"/>
        </w:rPr>
        <w:t xml:space="preserve">The action you take with regard to any linguistic anomaly must be selected at your discretion, depending on your perception of the relative commonness or uncommonness of the anomaly in your corpus and of its transparency to the scholarly target audience. </w:t>
      </w:r>
      <w:r>
        <w:t>No objective and universal criteria can be established for such a decision,</w:t>
      </w:r>
      <w:r>
        <w:rPr>
          <w:lang w:eastAsia="en-US" w:bidi="ar-SA"/>
        </w:rPr>
        <w:t xml:space="preserve"> but the following subsections provide some rules of thumb for the kinds of cases where each level of intervention is appropriate. The general aim is not to clutter the edition with code (and its display rendition with character-based markup) unless it serves a useful purpose. A lower level of intervention may be applied to phenomena that you perceive to be common in your particular text or subcorpus. Erring on the side of caution is always allowed, so in any individual case where you deem a higher level of intervention to be warranted, feel free to encode it.</w:t>
      </w:r>
    </w:p>
    <w:p w14:paraId="203D976C" w14:textId="77777777">
      <w:pPr>
        <w:pStyle w:val="Cmsor3"/>
      </w:pPr>
      <w:bookmarkStart w:id="617" w:name="_yyyl8vy3rih7" w:colFirst="0" w:colLast="0"/>
      <w:bookmarkStart w:id="618" w:name="_tebtz9jasa9y" w:colFirst="0" w:colLast="0"/>
      <w:bookmarkStart w:id="619" w:name="_Ref228885762"/>
      <w:bookmarkStart w:id="620" w:name="_Ref228868276"/>
      <w:bookmarkStart w:id="621" w:name="_Ref43988218"/>
      <w:bookmarkStart w:id="622" w:name="_Toc243922686"/>
      <w:bookmarkEnd w:id="617"/>
      <w:bookmarkEnd w:id="618"/>
      <w:r>
        <w:t>Encoding tools for anomalous readings</w:t>
      </w:r>
      <w:bookmarkEnd w:id="619"/>
      <w:bookmarkEnd w:id="622"/>
    </w:p>
    <w:p w14:paraId="75E6D8FB" w14:textId="77777777">
      <w:r>
        <w:t>TEI and EpiDoc provide the following elements for encoding the editorial treatment of incorrect or non-standard text.</w:t>
      </w:r>
    </w:p>
    <w:p w14:paraId="341F11B7" w14:textId="77777777">
      <w:pPr>
        <w:pStyle w:val="Lista"/>
      </w:pPr>
      <w:r>
        <w:t>for encoding anomalous readings in the received text,</w:t>
      </w:r>
    </w:p>
    <w:p w14:paraId="26F76F20" w14:textId="77777777">
      <w:pPr>
        <w:pStyle w:val="Lista2"/>
      </w:pPr>
      <w:r>
        <w:t xml:space="preserve">the element </w:t>
      </w:r>
      <w:r>
        <w:rPr>
          <w:rStyle w:val="Code"/>
        </w:rPr>
        <w:t>&lt;orig&gt;</w:t>
      </w:r>
      <w:r>
        <w:t xml:space="preserve"> (for “original form”) serves as a wrapper for text that is literally present in the source, but is deemed by the editor to be non-standard</w:t>
      </w:r>
    </w:p>
    <w:p w14:paraId="7D6EE9B3" w14:textId="77777777">
      <w:pPr>
        <w:pStyle w:val="Lista2"/>
      </w:pPr>
      <w:r>
        <w:t xml:space="preserve">the element </w:t>
      </w:r>
      <w:r>
        <w:rPr>
          <w:rStyle w:val="Code"/>
        </w:rPr>
        <w:t>&lt;sic&gt;</w:t>
      </w:r>
      <w:r>
        <w:t xml:space="preserve"> (Latin for “thus”) serves as a wrapper for text that is literally present in the source, but is deemed by the editor to be incorrect</w:t>
      </w:r>
    </w:p>
    <w:p w14:paraId="23087862" w14:textId="391B788C">
      <w:pPr>
        <w:pStyle w:val="Lista2"/>
      </w:pPr>
      <w:r>
        <w:t>on their own, these elements may be used for flagging a reading as anomalous (§</w:t>
      </w:r>
      <w:r>
        <w:fldChar w:fldCharType="begin"/>
      </w:r>
      <w:r>
        <w:instrText xml:space="preserve"> REF _Ref228872759 \r \h </w:instrText>
      </w:r>
      <w:r>
        <w:fldChar w:fldCharType="separate"/>
      </w:r>
      <w:r>
        <w:t>7.4</w:t>
      </w:r>
      <w:r>
        <w:fldChar w:fldCharType="end"/>
      </w:r>
      <w:r>
        <w:t>)</w:t>
      </w:r>
    </w:p>
    <w:p w14:paraId="16FF00ED" w14:textId="77777777">
      <w:pPr>
        <w:pStyle w:val="Lista"/>
      </w:pPr>
      <w:r>
        <w:t>for indicating readings altered by the editor,</w:t>
      </w:r>
    </w:p>
    <w:p w14:paraId="4FD335D9" w14:textId="77777777">
      <w:pPr>
        <w:pStyle w:val="Lista2"/>
      </w:pPr>
      <w:r>
        <w:lastRenderedPageBreak/>
        <w:t xml:space="preserve">the element </w:t>
      </w:r>
      <w:r>
        <w:rPr>
          <w:rStyle w:val="Code"/>
        </w:rPr>
        <w:t>&lt;reg&gt;</w:t>
      </w:r>
      <w:r>
        <w:t xml:space="preserve"> (for “regularisation,” which is a synonym of normalisation in TEI usage) serves as a wrapper for text that has been normalised by the editor because the received reading was deemed non-standard</w:t>
      </w:r>
    </w:p>
    <w:p w14:paraId="74C5B70C" w14:textId="77777777">
      <w:pPr>
        <w:pStyle w:val="Lista2"/>
      </w:pPr>
      <w:r>
        <w:t xml:space="preserve">the element </w:t>
      </w:r>
      <w:r>
        <w:rPr>
          <w:rStyle w:val="Code"/>
        </w:rPr>
        <w:t>&lt;corr&gt;</w:t>
      </w:r>
      <w:r>
        <w:t xml:space="preserve"> (for “correction”) serves as a wrapper for text that has been corrected by the editor because the received reading was deemed erroneous</w:t>
      </w:r>
    </w:p>
    <w:p w14:paraId="600C32CE" w14:textId="77777777">
      <w:pPr>
        <w:pStyle w:val="Lista2"/>
      </w:pPr>
      <w:r>
        <w:t>these elements are never used on their own in DHARMA editions, since the received (i.e. unaltered) reading must always be present</w:t>
      </w:r>
    </w:p>
    <w:p w14:paraId="4F05F4F5" w14:textId="2323F46A">
      <w:pPr>
        <w:pStyle w:val="Lista3"/>
      </w:pPr>
      <w:r>
        <w:t>instead, they are employed in rectification by substitution (§</w:t>
      </w:r>
      <w:r>
        <w:fldChar w:fldCharType="begin"/>
      </w:r>
      <w:r>
        <w:instrText xml:space="preserve"> REF _Ref229057056 \r \h </w:instrText>
      </w:r>
      <w:r>
        <w:fldChar w:fldCharType="separate"/>
      </w:r>
      <w:r>
        <w:t>7.5.1</w:t>
      </w:r>
      <w:r>
        <w:fldChar w:fldCharType="end"/>
      </w:r>
      <w:r>
        <w:t xml:space="preserve">), where the element </w:t>
      </w:r>
      <w:r>
        <w:rPr>
          <w:rStyle w:val="Code"/>
        </w:rPr>
        <w:t>&lt;choice&gt;</w:t>
      </w:r>
      <w:r>
        <w:t xml:space="preserve"> wraps both the received reading (tagged as above) and the editorial reading, indicating that only one of the two is actually present at the given locus</w:t>
      </w:r>
    </w:p>
    <w:p w14:paraId="329338F7" w14:textId="77777777">
      <w:pPr>
        <w:pStyle w:val="Lista"/>
      </w:pPr>
      <w:r>
        <w:t>TEI also caters for marking up parts of the text which are deemed superfluous and parts of the text which have been added by the editor:</w:t>
      </w:r>
    </w:p>
    <w:p w14:paraId="54FD2D07" w14:textId="77777777">
      <w:pPr>
        <w:pStyle w:val="Lista2"/>
      </w:pPr>
      <w:r>
        <w:t xml:space="preserve">the element </w:t>
      </w:r>
      <w:r>
        <w:rPr>
          <w:rStyle w:val="Code"/>
        </w:rPr>
        <w:t>&lt;surplus&gt;</w:t>
      </w:r>
      <w:r>
        <w:t xml:space="preserve"> serves as a wrapper for text that is present in the source but should not be there according to the editor</w:t>
      </w:r>
    </w:p>
    <w:p w14:paraId="0FB54275" w14:textId="77777777">
      <w:pPr>
        <w:pStyle w:val="Lista2"/>
      </w:pPr>
      <w:r>
        <w:t xml:space="preserve">the element </w:t>
      </w:r>
      <w:r>
        <w:rPr>
          <w:rStyle w:val="Code"/>
        </w:rPr>
        <w:t>&lt;supplied&gt;</w:t>
      </w:r>
      <w:r>
        <w:t xml:space="preserve"> serves as a wrapper for text that is no present in the source but should be there according to the editor</w:t>
      </w:r>
    </w:p>
    <w:p w14:paraId="37C33EF9" w14:textId="77777777">
      <w:pPr>
        <w:pStyle w:val="Lista3"/>
      </w:pPr>
      <w:r>
        <w:t xml:space="preserve">the attribute </w:t>
      </w:r>
      <w:r>
        <w:rPr>
          <w:rStyle w:val="Codeattribute"/>
        </w:rPr>
        <w:t>@reason</w:t>
      </w:r>
      <w:r>
        <w:t xml:space="preserve"> with the value </w:t>
      </w:r>
      <w:r>
        <w:rPr>
          <w:rStyle w:val="Codevalue"/>
        </w:rPr>
        <w:t>"omitted"</w:t>
      </w:r>
      <w:r>
        <w:t xml:space="preserve"> on this element indicates that the supplied text ought to have been written by the scribe but was omitted</w:t>
      </w:r>
      <w:r>
        <w:rPr>
          <w:rStyle w:val="Lbjegyzet-hivatkozs"/>
        </w:rPr>
        <w:footnoteReference w:id="34"/>
      </w:r>
    </w:p>
    <w:p w14:paraId="5853A056" w14:textId="77777777">
      <w:pPr>
        <w:pStyle w:val="Lista2"/>
      </w:pPr>
      <w:r>
        <w:t>these elements do not, by general TEI convention, assert anything about the nature or reason of redundance or omission, but in DHARMA editions, they are dedicated solely to the rectification of erroneous readings</w:t>
      </w:r>
    </w:p>
    <w:p w14:paraId="1B3AE0D5" w14:textId="77777777">
      <w:pPr>
        <w:pStyle w:val="Lista3"/>
      </w:pPr>
      <w:r>
        <w:t>therefore, even when non-standard orthography could be normalised simply by adding or suppressing specific graphemes, this must not be done with these elements but rather by the substitution method outlined above</w:t>
      </w:r>
    </w:p>
    <w:p w14:paraId="3CCFF9D6" w14:textId="77777777">
      <w:pPr>
        <w:pStyle w:val="Lista3"/>
      </w:pPr>
      <w:r>
        <w:t>this leaves us with the following possible editorial actions:</w:t>
      </w:r>
    </w:p>
    <w:p w14:paraId="11B051E6" w14:textId="6594D63A">
      <w:pPr>
        <w:pStyle w:val="Lista4"/>
      </w:pPr>
      <w:r>
        <w:t>correction by suppression of superfluous graphemes written by mistake (§</w:t>
      </w:r>
      <w:r>
        <w:fldChar w:fldCharType="begin"/>
      </w:r>
      <w:r>
        <w:instrText xml:space="preserve"> REF _Ref229054665 \r \h </w:instrText>
      </w:r>
      <w:r>
        <w:fldChar w:fldCharType="separate"/>
      </w:r>
      <w:r>
        <w:t>7.5.2</w:t>
      </w:r>
      <w:r>
        <w:fldChar w:fldCharType="end"/>
      </w:r>
      <w:r>
        <w:t>)</w:t>
      </w:r>
    </w:p>
    <w:p w14:paraId="34429F26" w14:textId="76F92F08">
      <w:pPr>
        <w:pStyle w:val="Lista4"/>
      </w:pPr>
      <w:r>
        <w:t>correction by restitution of erroneously omitted graphemes (§</w:t>
      </w:r>
      <w:r>
        <w:fldChar w:fldCharType="begin"/>
      </w:r>
      <w:r>
        <w:instrText xml:space="preserve"> REF _Ref228873746 \r \h </w:instrText>
      </w:r>
      <w:r>
        <w:fldChar w:fldCharType="separate"/>
      </w:r>
      <w:r>
        <w:t>7.5.3</w:t>
      </w:r>
      <w:r>
        <w:fldChar w:fldCharType="end"/>
      </w:r>
      <w:r>
        <w:t>)</w:t>
      </w:r>
    </w:p>
    <w:p w14:paraId="7AE0504A" w14:textId="77777777">
      <w:pPr>
        <w:pStyle w:val="Cmsor2"/>
      </w:pPr>
      <w:bookmarkStart w:id="623" w:name="_Ref228976848"/>
      <w:bookmarkStart w:id="624" w:name="_Toc243922687"/>
      <w:r>
        <w:t>Ignor</w:t>
      </w:r>
      <w:bookmarkEnd w:id="620"/>
      <w:r>
        <w:t>ing anomalous readings</w:t>
      </w:r>
      <w:bookmarkEnd w:id="623"/>
      <w:bookmarkEnd w:id="624"/>
    </w:p>
    <w:p w14:paraId="0A751EC6" w14:textId="77777777">
      <w:r>
        <w:t>Trivial linguistic anomalies may be left without any editorial encoding.</w:t>
      </w:r>
    </w:p>
    <w:p w14:paraId="4A2A3705" w14:textId="77777777">
      <w:pPr>
        <w:pStyle w:val="Lista"/>
      </w:pPr>
      <w:r>
        <w:t xml:space="preserve">this applies in particular to </w:t>
      </w:r>
      <w:r>
        <w:rPr>
          <w:noProof/>
        </w:rPr>
        <w:t>(</w:t>
      </w:r>
      <w:r>
        <w:t>near-)universal features of inscriptional orthography prevalent throughout South and Southeast Asia, or throughout a particular region, including but not limited to:</w:t>
      </w:r>
    </w:p>
    <w:p w14:paraId="508D9148" w14:textId="77777777">
      <w:pPr>
        <w:pStyle w:val="Lista2"/>
      </w:pPr>
      <w:r>
        <w:t xml:space="preserve">the doubling of plosives, nasals and glides after an </w:t>
      </w:r>
      <w:r>
        <w:rPr>
          <w:rStyle w:val="Foreign"/>
        </w:rPr>
        <w:t>r</w:t>
      </w:r>
      <w:r>
        <w:t xml:space="preserve"> </w:t>
      </w:r>
      <w:r>
        <w:rPr>
          <w:noProof/>
        </w:rPr>
        <w:t>(</w:t>
      </w:r>
      <w:r>
        <w:t xml:space="preserve">e.g. </w:t>
      </w:r>
      <w:r>
        <w:rPr>
          <w:rStyle w:val="Foreign"/>
        </w:rPr>
        <w:t>dharmma</w:t>
      </w:r>
      <w:r>
        <w:t xml:space="preserve"> for </w:t>
      </w:r>
      <w:r>
        <w:rPr>
          <w:rStyle w:val="Foreign"/>
        </w:rPr>
        <w:t>dharma</w:t>
      </w:r>
      <w:r>
        <w:t>)</w:t>
      </w:r>
    </w:p>
    <w:p w14:paraId="620B6885" w14:textId="77777777">
      <w:pPr>
        <w:pStyle w:val="Lista2"/>
      </w:pPr>
      <w:r>
        <w:t xml:space="preserve">the use of an </w:t>
      </w:r>
      <w:r>
        <w:rPr>
          <w:rStyle w:val="Foreign"/>
        </w:rPr>
        <w:t>anusvāra</w:t>
      </w:r>
      <w:r>
        <w:t xml:space="preserve"> instead of the class nasal or vice versa </w:t>
      </w:r>
      <w:r>
        <w:rPr>
          <w:noProof/>
        </w:rPr>
        <w:t>(</w:t>
      </w:r>
      <w:r>
        <w:t xml:space="preserve">e.g. </w:t>
      </w:r>
      <w:r>
        <w:rPr>
          <w:rStyle w:val="Foreign"/>
        </w:rPr>
        <w:t>maṁtra</w:t>
      </w:r>
      <w:r>
        <w:t xml:space="preserve"> for </w:t>
      </w:r>
      <w:r>
        <w:rPr>
          <w:rStyle w:val="Foreign"/>
        </w:rPr>
        <w:t>mantra</w:t>
      </w:r>
      <w:r>
        <w:t>)</w:t>
      </w:r>
    </w:p>
    <w:p w14:paraId="6AB5AFB3" w14:textId="77777777">
      <w:pPr>
        <w:pStyle w:val="Lista3"/>
      </w:pPr>
      <w:r>
        <w:t xml:space="preserve">including final positions (e.g. </w:t>
      </w:r>
      <w:r>
        <w:rPr>
          <w:rStyle w:val="Foreign"/>
        </w:rPr>
        <w:t>kin tu</w:t>
      </w:r>
      <w:r>
        <w:t xml:space="preserve"> for </w:t>
      </w:r>
      <w:r>
        <w:rPr>
          <w:rStyle w:val="Foreign"/>
        </w:rPr>
        <w:t>kiṁ tu</w:t>
      </w:r>
      <w:r>
        <w:t xml:space="preserve"> as well as </w:t>
      </w:r>
      <w:r>
        <w:rPr>
          <w:rStyle w:val="Foreign"/>
        </w:rPr>
        <w:t>tathoktaṁ|</w:t>
      </w:r>
      <w:r>
        <w:t xml:space="preserve"> for </w:t>
      </w:r>
      <w:r>
        <w:rPr>
          <w:rStyle w:val="Foreign"/>
        </w:rPr>
        <w:t>tathoktaM|</w:t>
      </w:r>
      <w:r>
        <w:t>)</w:t>
      </w:r>
    </w:p>
    <w:p w14:paraId="572249C1" w14:textId="77777777">
      <w:pPr>
        <w:pStyle w:val="Lista2"/>
      </w:pPr>
      <w:r>
        <w:t>the use of hiatus (often deliberately to imply a pause) where sandhi would be expected by modern standards</w:t>
      </w:r>
    </w:p>
    <w:p w14:paraId="5974683F" w14:textId="77777777">
      <w:pPr>
        <w:pStyle w:val="Lista"/>
      </w:pPr>
      <w:r>
        <w:t>in Old Javanese, it is recommended that you ignore the following kinds of anomalies unless they create ambiguity:</w:t>
      </w:r>
    </w:p>
    <w:p w14:paraId="61D031BF" w14:textId="77777777">
      <w:pPr>
        <w:pStyle w:val="Lista2"/>
      </w:pPr>
      <w:r>
        <w:t xml:space="preserve">spelling of long </w:t>
      </w:r>
      <w:r>
        <w:rPr>
          <w:rStyle w:val="Foreign"/>
        </w:rPr>
        <w:t>pepet</w:t>
      </w:r>
      <w:r>
        <w:t xml:space="preserve"> with </w:t>
      </w:r>
      <w:r>
        <w:rPr>
          <w:rStyle w:val="Foreign"/>
        </w:rPr>
        <w:t>ə</w:t>
      </w:r>
      <w:r>
        <w:t xml:space="preserve"> plus length mark (to be transliterated as </w:t>
      </w:r>
      <w:r>
        <w:rPr>
          <w:rStyle w:val="Foreign"/>
        </w:rPr>
        <w:t>ə:</w:t>
      </w:r>
      <w:r>
        <w:t xml:space="preserve"> as per TG §4.1.7</w:t>
      </w:r>
    </w:p>
    <w:p w14:paraId="0B1145B4" w14:textId="77777777">
      <w:pPr>
        <w:pStyle w:val="Lista2"/>
      </w:pPr>
      <w:r>
        <w:t xml:space="preserve">use of </w:t>
      </w:r>
      <w:r>
        <w:rPr>
          <w:rStyle w:val="Foreign"/>
        </w:rPr>
        <w:t>R̥</w:t>
      </w:r>
      <w:r>
        <w:t xml:space="preserve"> or </w:t>
      </w:r>
      <w:r>
        <w:rPr>
          <w:rStyle w:val="Foreign"/>
        </w:rPr>
        <w:t>L̥</w:t>
      </w:r>
      <w:r>
        <w:t xml:space="preserve"> </w:t>
      </w:r>
      <w:r>
        <w:rPr>
          <w:noProof/>
        </w:rPr>
        <w:t>(</w:t>
      </w:r>
      <w:r>
        <w:t xml:space="preserve">and </w:t>
      </w:r>
      <w:r>
        <w:rPr>
          <w:rStyle w:val="Foreign"/>
        </w:rPr>
        <w:t>R̥̄</w:t>
      </w:r>
      <w:r>
        <w:t xml:space="preserve"> or </w:t>
      </w:r>
      <w:r>
        <w:rPr>
          <w:rStyle w:val="Foreign"/>
        </w:rPr>
        <w:t>L̥̄</w:t>
      </w:r>
      <w:r>
        <w:t xml:space="preserve">) in words whose dictionary spelling has </w:t>
      </w:r>
      <w:r>
        <w:rPr>
          <w:rStyle w:val="Foreign"/>
        </w:rPr>
        <w:t>rə</w:t>
      </w:r>
      <w:r>
        <w:t xml:space="preserve"> or </w:t>
      </w:r>
      <w:r>
        <w:rPr>
          <w:rStyle w:val="Foreign"/>
        </w:rPr>
        <w:t>lə</w:t>
      </w:r>
      <w:r>
        <w:t xml:space="preserve"> </w:t>
      </w:r>
      <w:r>
        <w:rPr>
          <w:noProof/>
        </w:rPr>
        <w:t>(</w:t>
      </w:r>
      <w:r>
        <w:t xml:space="preserve">or </w:t>
      </w:r>
      <w:r>
        <w:rPr>
          <w:rStyle w:val="Foreign"/>
        </w:rPr>
        <w:t>rə̄</w:t>
      </w:r>
      <w:r>
        <w:t xml:space="preserve"> or </w:t>
      </w:r>
      <w:r>
        <w:rPr>
          <w:rStyle w:val="Foreign"/>
        </w:rPr>
        <w:t>lə̄</w:t>
      </w:r>
      <w:r>
        <w:t>)</w:t>
      </w:r>
    </w:p>
    <w:p w14:paraId="30ABD1A6" w14:textId="77777777">
      <w:pPr>
        <w:pStyle w:val="Lista"/>
      </w:pPr>
      <w:r>
        <w:t>in Old Khmer, it is recommended that you ignore the following kinds of anomalies unless they create ambiguity:</w:t>
      </w:r>
    </w:p>
    <w:p w14:paraId="4A969D2E" w14:textId="77777777">
      <w:pPr>
        <w:pStyle w:val="Lista2"/>
      </w:pPr>
      <w:r>
        <w:t xml:space="preserve">absence of </w:t>
      </w:r>
      <w:r>
        <w:rPr>
          <w:rStyle w:val="Foreign"/>
        </w:rPr>
        <w:t>virāma</w:t>
      </w:r>
    </w:p>
    <w:p w14:paraId="0F18B951" w14:textId="77777777">
      <w:pPr>
        <w:pStyle w:val="Lista2"/>
      </w:pPr>
      <w:r>
        <w:t xml:space="preserve">representation of final consonant </w:t>
      </w:r>
      <w:r>
        <w:rPr>
          <w:rStyle w:val="Foreign"/>
        </w:rPr>
        <w:t>C</w:t>
      </w:r>
      <w:r>
        <w:t xml:space="preserve"> by the spelling </w:t>
      </w:r>
      <w:r>
        <w:rPr>
          <w:rStyle w:val="Foreign"/>
        </w:rPr>
        <w:t>CCa</w:t>
      </w:r>
      <w:r>
        <w:t xml:space="preserve">, including final /h/ represented as </w:t>
      </w:r>
      <w:r>
        <w:rPr>
          <w:rStyle w:val="Foreign"/>
        </w:rPr>
        <w:t>ḥha</w:t>
      </w:r>
    </w:p>
    <w:p w14:paraId="428A1677" w14:textId="77777777">
      <w:pPr>
        <w:pStyle w:val="Lista"/>
      </w:pPr>
      <w:r>
        <w:t>grammatical laxity may in general be ignored, especially in complex constructions such as subordinate clauses, long compounds or compound-like structures, and very long “sentences” encompassing multiple topics and/or stanzas</w:t>
      </w:r>
    </w:p>
    <w:p w14:paraId="468CBC5B" w14:textId="77777777">
      <w:pPr>
        <w:pStyle w:val="Lista2"/>
      </w:pPr>
      <w:r>
        <w:lastRenderedPageBreak/>
        <w:t xml:space="preserve">we see no advantage in attempting </w:t>
      </w:r>
      <w:r>
        <w:rPr>
          <w:lang w:eastAsia="en-US" w:bidi="ar-SA"/>
        </w:rPr>
        <w:t>to force a source document into conforming to canons which, even if they exist for the language in question, may not have been known or perceived as binding by the document’s composer</w:t>
      </w:r>
    </w:p>
    <w:p w14:paraId="2022C2D5" w14:textId="77777777">
      <w:pPr>
        <w:pStyle w:val="Lista2"/>
      </w:pPr>
      <w:r>
        <w:rPr>
          <w:lang w:eastAsia="en-US" w:bidi="ar-SA"/>
        </w:rPr>
        <w:t>in particular, normalisation to high standards should be avoided if doing so requires altering or reorganising a  stretch of text longer than a word or two</w:t>
      </w:r>
    </w:p>
    <w:p w14:paraId="70991BB3" w14:textId="77777777">
      <w:pPr>
        <w:pStyle w:val="Lista"/>
      </w:pPr>
      <w:r>
        <w:t>scribal mistakes you deem to be completely insignificant and entirely transparent may be ignored at your discretion</w:t>
      </w:r>
    </w:p>
    <w:p w14:paraId="3CC89651" w14:textId="77777777">
      <w:pPr>
        <w:pStyle w:val="Cmsor2"/>
      </w:pPr>
      <w:bookmarkStart w:id="625" w:name="_Ref228868281"/>
      <w:bookmarkStart w:id="626" w:name="_Ref228872759"/>
      <w:bookmarkStart w:id="627" w:name="_Toc243922688"/>
      <w:r>
        <w:t>Flag</w:t>
      </w:r>
      <w:bookmarkEnd w:id="625"/>
      <w:r>
        <w:t>ging anomalous readings</w:t>
      </w:r>
      <w:bookmarkEnd w:id="626"/>
      <w:bookmarkEnd w:id="627"/>
    </w:p>
    <w:p w14:paraId="763B77AA" w14:textId="77777777">
      <w:r>
        <w:t xml:space="preserve">Flagging reading as linguistically anomalous without rectifying it serves two purposes: it highlights unexpected text for the reader’s attention, and it makes it clear to the reader that the unexpected text is not your editorial mistake. </w:t>
      </w:r>
    </w:p>
    <w:p w14:paraId="626AB795" w14:textId="7B97C3C3">
      <w:pPr>
        <w:pStyle w:val="Lista"/>
      </w:pPr>
      <w:r>
        <w:t>flagging without rectification is recommended for scribal errors and unintelligible text only if you cannot propose a single confident correction (tentative or alternative corrections may be discussed in an apparatus note, §</w:t>
      </w:r>
      <w:r>
        <w:fldChar w:fldCharType="begin"/>
      </w:r>
      <w:r>
        <w:instrText xml:space="preserve"> REF _Ref43988104 \w \h  \* MERGEFORMAT </w:instrText>
      </w:r>
      <w:r>
        <w:fldChar w:fldCharType="separate"/>
      </w:r>
      <w:r>
        <w:t>10.7</w:t>
      </w:r>
      <w:r>
        <w:fldChar w:fldCharType="end"/>
      </w:r>
      <w:r>
        <w:t>), or if a mistake is entirely transparent</w:t>
      </w:r>
    </w:p>
    <w:p w14:paraId="3311AEAA" w14:textId="77777777">
      <w:pPr>
        <w:pStyle w:val="Lista"/>
      </w:pPr>
      <w:r>
        <w:t xml:space="preserve">flagging without rectification is recommended for non-standard orthography that is common but not quite universal, such as </w:t>
      </w:r>
    </w:p>
    <w:p w14:paraId="486679F0" w14:textId="77777777">
      <w:pPr>
        <w:pStyle w:val="Lista2"/>
      </w:pPr>
      <w:r>
        <w:t xml:space="preserve">the doubling of consonants in certain conjuncts that do not begin with </w:t>
      </w:r>
      <w:r>
        <w:rPr>
          <w:rStyle w:val="Foreign"/>
        </w:rPr>
        <w:t>r</w:t>
      </w:r>
      <w:r>
        <w:t xml:space="preserve"> </w:t>
      </w:r>
      <w:r>
        <w:rPr>
          <w:noProof/>
        </w:rPr>
        <w:t>(</w:t>
      </w:r>
      <w:r>
        <w:t xml:space="preserve">e.g. </w:t>
      </w:r>
      <w:r>
        <w:rPr>
          <w:rStyle w:val="Foreign"/>
        </w:rPr>
        <w:t>puttra</w:t>
      </w:r>
      <w:r>
        <w:t xml:space="preserve"> for </w:t>
      </w:r>
      <w:r>
        <w:rPr>
          <w:rStyle w:val="Foreign"/>
        </w:rPr>
        <w:t>putra</w:t>
      </w:r>
      <w:r>
        <w:t xml:space="preserve">; </w:t>
      </w:r>
      <w:r>
        <w:rPr>
          <w:rStyle w:val="Foreign"/>
        </w:rPr>
        <w:t>sattya</w:t>
      </w:r>
      <w:r>
        <w:t xml:space="preserve"> for </w:t>
      </w:r>
      <w:r>
        <w:rPr>
          <w:rStyle w:val="Foreign"/>
        </w:rPr>
        <w:t>satya</w:t>
      </w:r>
      <w:r>
        <w:t>)</w:t>
      </w:r>
    </w:p>
    <w:p w14:paraId="1E60BF49" w14:textId="77777777">
      <w:pPr>
        <w:pStyle w:val="Lista2"/>
      </w:pPr>
      <w:r>
        <w:t xml:space="preserve">the exchange of a consonant for a phonetically similar one </w:t>
      </w:r>
      <w:r>
        <w:rPr>
          <w:noProof/>
        </w:rPr>
        <w:t>(</w:t>
      </w:r>
      <w:r>
        <w:t xml:space="preserve">e.g. </w:t>
      </w:r>
      <w:r>
        <w:rPr>
          <w:rStyle w:val="Foreign"/>
        </w:rPr>
        <w:t>muṇi</w:t>
      </w:r>
      <w:r>
        <w:t xml:space="preserve"> for </w:t>
      </w:r>
      <w:r>
        <w:rPr>
          <w:rStyle w:val="Foreign"/>
        </w:rPr>
        <w:t>muni</w:t>
      </w:r>
      <w:r>
        <w:t>)</w:t>
      </w:r>
    </w:p>
    <w:p w14:paraId="009717DC" w14:textId="77777777">
      <w:pPr>
        <w:pStyle w:val="Lista2"/>
      </w:pPr>
      <w:r>
        <w:t xml:space="preserve">infidelity to the correct length of vowels in words borrowed from Sanskrit, in languages where inconsistency in spelling of vowel-length is rampant </w:t>
      </w:r>
      <w:r>
        <w:rPr>
          <w:noProof/>
        </w:rPr>
        <w:t>(</w:t>
      </w:r>
      <w:r>
        <w:t xml:space="preserve">e.g. </w:t>
      </w:r>
      <w:r>
        <w:rPr>
          <w:rStyle w:val="Foreign"/>
        </w:rPr>
        <w:t>bhima</w:t>
      </w:r>
      <w:r>
        <w:t xml:space="preserve"> for </w:t>
      </w:r>
      <w:r>
        <w:rPr>
          <w:rStyle w:val="Foreign"/>
        </w:rPr>
        <w:t>bhīma</w:t>
      </w:r>
      <w:r>
        <w:t>)</w:t>
      </w:r>
    </w:p>
    <w:p w14:paraId="3F7AF936" w14:textId="77777777">
      <w:pPr>
        <w:pStyle w:val="Lista"/>
      </w:pPr>
      <w:r>
        <w:t>flagging without rectification is recommended for non-standard language use that is common in a given subcorpus or text, such as</w:t>
      </w:r>
    </w:p>
    <w:p w14:paraId="6BB75F7D" w14:textId="77777777">
      <w:pPr>
        <w:pStyle w:val="Lista2"/>
      </w:pPr>
      <w:r>
        <w:t xml:space="preserve">non-standard or substandard grammar </w:t>
      </w:r>
      <w:r>
        <w:rPr>
          <w:noProof/>
        </w:rPr>
        <w:t>(</w:t>
      </w:r>
      <w:r>
        <w:t xml:space="preserve">e.g. </w:t>
      </w:r>
      <w:r>
        <w:rPr>
          <w:rStyle w:val="Foreign"/>
        </w:rPr>
        <w:t>rājasya</w:t>
      </w:r>
      <w:r>
        <w:t xml:space="preserve"> for </w:t>
      </w:r>
      <w:r>
        <w:rPr>
          <w:rStyle w:val="Foreign"/>
        </w:rPr>
        <w:t>rājñaḥ</w:t>
      </w:r>
      <w:r>
        <w:t xml:space="preserve">; </w:t>
      </w:r>
      <w:r>
        <w:rPr>
          <w:rStyle w:val="Foreign"/>
        </w:rPr>
        <w:t>kr̥tedam</w:t>
      </w:r>
      <w:r>
        <w:t xml:space="preserve"> for </w:t>
      </w:r>
      <w:r>
        <w:rPr>
          <w:rStyle w:val="Foreign"/>
        </w:rPr>
        <w:t>kr̥tam idam</w:t>
      </w:r>
      <w:r>
        <w:t xml:space="preserve">; </w:t>
      </w:r>
      <w:r>
        <w:rPr>
          <w:rStyle w:val="Foreign"/>
        </w:rPr>
        <w:t>sā gataḥ</w:t>
      </w:r>
      <w:r>
        <w:t xml:space="preserve"> for </w:t>
      </w:r>
      <w:r>
        <w:rPr>
          <w:rStyle w:val="Foreign"/>
        </w:rPr>
        <w:t>sā gatā</w:t>
      </w:r>
      <w:r>
        <w:t>)</w:t>
      </w:r>
    </w:p>
    <w:p w14:paraId="74D71FAA" w14:textId="77777777">
      <w:pPr>
        <w:pStyle w:val="Lista2"/>
      </w:pPr>
      <w:r>
        <w:t xml:space="preserve">non-standard sandhi </w:t>
      </w:r>
      <w:r>
        <w:rPr>
          <w:noProof/>
        </w:rPr>
        <w:t>(</w:t>
      </w:r>
      <w:r>
        <w:t xml:space="preserve">e.g. </w:t>
      </w:r>
      <w:r>
        <w:rPr>
          <w:rStyle w:val="Foreign"/>
        </w:rPr>
        <w:t>anugrahāya-m udaka-pūrvveṇa</w:t>
      </w:r>
      <w:r>
        <w:t xml:space="preserve">; </w:t>
      </w:r>
      <w:r>
        <w:rPr>
          <w:rStyle w:val="Foreign"/>
        </w:rPr>
        <w:t>paṁca-s-triṁśottaratame</w:t>
      </w:r>
      <w:r>
        <w:t>)</w:t>
      </w:r>
    </w:p>
    <w:p w14:paraId="7BE6B444" w14:textId="77777777">
      <w:pPr>
        <w:pStyle w:val="Lista2"/>
      </w:pPr>
      <w:r>
        <w:t xml:space="preserve">hyper-Sanskritisation </w:t>
      </w:r>
      <w:r>
        <w:rPr>
          <w:noProof/>
        </w:rPr>
        <w:t>(</w:t>
      </w:r>
      <w:r>
        <w:t xml:space="preserve">e.g. </w:t>
      </w:r>
      <w:r>
        <w:rPr>
          <w:rStyle w:val="Foreign"/>
        </w:rPr>
        <w:t>prārk</w:t>
      </w:r>
      <w:r>
        <w:t xml:space="preserve"> instead of </w:t>
      </w:r>
      <w:r>
        <w:rPr>
          <w:rStyle w:val="Foreign"/>
        </w:rPr>
        <w:t>prāk</w:t>
      </w:r>
      <w:r>
        <w:t xml:space="preserve">, </w:t>
      </w:r>
      <w:r>
        <w:rPr>
          <w:rStyle w:val="Foreign"/>
        </w:rPr>
        <w:t>śrāpa</w:t>
      </w:r>
      <w:r>
        <w:t xml:space="preserve"> instead of </w:t>
      </w:r>
      <w:r>
        <w:rPr>
          <w:rStyle w:val="Foreign"/>
        </w:rPr>
        <w:t>śāpa</w:t>
      </w:r>
      <w:r>
        <w:t>)</w:t>
      </w:r>
    </w:p>
    <w:p w14:paraId="5C9E8A1D" w14:textId="77777777">
      <w:pPr>
        <w:pStyle w:val="Cmsor3"/>
      </w:pPr>
      <w:bookmarkStart w:id="628" w:name="_Toc243922689"/>
      <w:r>
        <w:t xml:space="preserve">Flagging erroneous and uninterpretable </w:t>
      </w:r>
      <w:bookmarkEnd w:id="621"/>
      <w:r>
        <w:t>readings</w:t>
      </w:r>
      <w:bookmarkEnd w:id="628"/>
    </w:p>
    <w:p w14:paraId="49256CA7" w14:textId="77777777">
      <w:pPr>
        <w:pStyle w:val="Lista"/>
      </w:pPr>
      <w:r>
        <w:t xml:space="preserve">to flag a reading deemed erroneous or unintelligible, wrap it in the element </w:t>
      </w:r>
      <w:r>
        <w:rPr>
          <w:rStyle w:val="Code"/>
        </w:rPr>
        <w:t>&lt;sic&gt;</w:t>
      </w:r>
    </w:p>
    <w:p w14:paraId="3BC60EA5" w14:textId="77777777">
      <w:pPr>
        <w:pStyle w:val="Lista2"/>
      </w:pPr>
      <w:r>
        <w:t>this markup on its own is primarily for use on text that is legible but does not seem intelligible (i.e. for which no straightforward correction can be offered)</w:t>
      </w:r>
    </w:p>
    <w:p w14:paraId="382CB0D3" w14:textId="77777777">
      <w:pPr>
        <w:pStyle w:val="Lista3"/>
      </w:pPr>
      <w:r>
        <w:t xml:space="preserve">stretches of text which are uninterpretable on account of poor legibility do not require </w:t>
      </w:r>
      <w:r>
        <w:rPr>
          <w:rStyle w:val="Code"/>
        </w:rPr>
        <w:t>&lt;sic&gt;</w:t>
      </w:r>
      <w:r>
        <w:t xml:space="preserve">, but </w:t>
      </w:r>
      <w:r>
        <w:rPr>
          <w:rStyle w:val="Code"/>
        </w:rPr>
        <w:t>&lt;sic&gt;</w:t>
      </w:r>
      <w:r>
        <w:t xml:space="preserve"> may of course include markup for unclear readings and lacunae</w:t>
      </w:r>
    </w:p>
    <w:p w14:paraId="2588632C" w14:textId="77777777">
      <w:pPr>
        <w:pStyle w:val="Lista"/>
      </w:pPr>
      <w:r>
        <w:t>for example,</w:t>
      </w:r>
    </w:p>
    <w:p w14:paraId="7C5164A0" w14:textId="77777777">
      <w:pPr>
        <w:pStyle w:val="Lista2"/>
      </w:pPr>
      <w:r>
        <w:t xml:space="preserve">a trivial scribal error flagged as such: </w:t>
      </w:r>
      <w:r>
        <w:rPr>
          <w:rStyle w:val="Codetext"/>
        </w:rPr>
        <w:t>mahār</w:t>
      </w:r>
      <w:r>
        <w:rPr>
          <w:rStyle w:val="Code"/>
        </w:rPr>
        <w:t>&lt;sic&gt;</w:t>
      </w:r>
      <w:r>
        <w:rPr>
          <w:rStyle w:val="Codetext"/>
        </w:rPr>
        <w:t>a</w:t>
      </w:r>
      <w:r>
        <w:rPr>
          <w:rStyle w:val="Code"/>
        </w:rPr>
        <w:t>&lt;/sic&gt;</w:t>
      </w:r>
      <w:r>
        <w:rPr>
          <w:rStyle w:val="Codetext"/>
        </w:rPr>
        <w:t>ja</w:t>
      </w:r>
      <w:r>
        <w:t xml:space="preserve"> </w:t>
      </w:r>
      <w:r>
        <w:rPr>
          <w:noProof/>
        </w:rPr>
        <w:t>(</w:t>
      </w:r>
      <w:r>
        <w:rPr>
          <w:rStyle w:val="Foreign"/>
        </w:rPr>
        <w:t>ā</w:t>
      </w:r>
      <w:r>
        <w:t xml:space="preserve"> would be correct)</w:t>
      </w:r>
    </w:p>
    <w:p w14:paraId="598E3F91" w14:textId="77777777">
      <w:pPr>
        <w:pStyle w:val="Lista2"/>
      </w:pPr>
      <w:r>
        <w:t xml:space="preserve">an unintelligible phrase flagged as such: </w:t>
      </w:r>
      <w:r>
        <w:rPr>
          <w:rStyle w:val="Code"/>
        </w:rPr>
        <w:t>&lt;sic&gt;</w:t>
      </w:r>
      <w:r>
        <w:rPr>
          <w:rStyle w:val="Codetext"/>
        </w:rPr>
        <w:t>marnta kali-kulanām</w:t>
      </w:r>
      <w:r>
        <w:rPr>
          <w:rStyle w:val="Code"/>
        </w:rPr>
        <w:t>&lt;/sic&gt;</w:t>
      </w:r>
      <w:r>
        <w:t xml:space="preserve"> </w:t>
      </w:r>
    </w:p>
    <w:p w14:paraId="412977D1" w14:textId="77777777">
      <w:pPr>
        <w:pStyle w:val="Cmsor3"/>
      </w:pPr>
      <w:bookmarkStart w:id="629" w:name="_wc8w2ovzvy8k" w:colFirst="0" w:colLast="0"/>
      <w:bookmarkStart w:id="630" w:name="_Ref43981422"/>
      <w:bookmarkStart w:id="631" w:name="_Ref228886903"/>
      <w:bookmarkStart w:id="632" w:name="_Ref43988258"/>
      <w:bookmarkStart w:id="633" w:name="_Toc243922690"/>
      <w:bookmarkEnd w:id="629"/>
      <w:r>
        <w:t xml:space="preserve">Flagging non-standard </w:t>
      </w:r>
      <w:bookmarkEnd w:id="630"/>
      <w:r>
        <w:t>readings</w:t>
      </w:r>
      <w:bookmarkEnd w:id="631"/>
      <w:bookmarkEnd w:id="633"/>
    </w:p>
    <w:p w14:paraId="6EE6541B" w14:textId="77777777">
      <w:pPr>
        <w:pStyle w:val="Lista"/>
      </w:pPr>
      <w:r>
        <w:t xml:space="preserve">to flag a reading deemed non-standard but intelligible, wrap it in the element </w:t>
      </w:r>
      <w:r>
        <w:rPr>
          <w:rStyle w:val="Code"/>
        </w:rPr>
        <w:t>&lt;orig&gt;</w:t>
      </w:r>
    </w:p>
    <w:p w14:paraId="15357F14" w14:textId="77777777">
      <w:pPr>
        <w:pStyle w:val="Lista"/>
      </w:pPr>
      <w:r>
        <w:t>for example,</w:t>
      </w:r>
    </w:p>
    <w:p w14:paraId="4058F211" w14:textId="77777777">
      <w:pPr>
        <w:pStyle w:val="Lista2"/>
      </w:pPr>
      <w:r>
        <w:t xml:space="preserve">a non-standard </w:t>
      </w:r>
      <w:r>
        <w:rPr>
          <w:noProof/>
        </w:rPr>
        <w:t>(</w:t>
      </w:r>
      <w:r>
        <w:rPr>
          <w:rStyle w:val="Foreign"/>
        </w:rPr>
        <w:t>tadbhava</w:t>
      </w:r>
      <w:r>
        <w:t xml:space="preserve">) word form in Sanskrit text: </w:t>
      </w:r>
      <w:r>
        <w:rPr>
          <w:rStyle w:val="Codetext"/>
        </w:rPr>
        <w:t xml:space="preserve">dine </w:t>
      </w:r>
      <w:r>
        <w:rPr>
          <w:rStyle w:val="Code"/>
        </w:rPr>
        <w:t>&lt;orig&gt;</w:t>
      </w:r>
      <w:r>
        <w:rPr>
          <w:rStyle w:val="Codetext"/>
        </w:rPr>
        <w:t>Āśvoja</w:t>
      </w:r>
      <w:r>
        <w:rPr>
          <w:rStyle w:val="Code"/>
        </w:rPr>
        <w:t>&lt;/orig&gt;</w:t>
      </w:r>
      <w:r>
        <w:rPr>
          <w:rStyle w:val="Codetext"/>
        </w:rPr>
        <w:t>-śuklasya</w:t>
      </w:r>
      <w:r>
        <w:t xml:space="preserve"> </w:t>
      </w:r>
      <w:r>
        <w:rPr>
          <w:noProof/>
        </w:rPr>
        <w:t>(</w:t>
      </w:r>
      <w:r>
        <w:rPr>
          <w:rStyle w:val="Foreign"/>
        </w:rPr>
        <w:t>Āśvayuja</w:t>
      </w:r>
      <w:r>
        <w:t xml:space="preserve"> or </w:t>
      </w:r>
      <w:r>
        <w:rPr>
          <w:rStyle w:val="Foreign"/>
        </w:rPr>
        <w:t>’śvayuja</w:t>
      </w:r>
      <w:r>
        <w:t xml:space="preserve"> is expected)</w:t>
      </w:r>
    </w:p>
    <w:p w14:paraId="2F4B3AD0" w14:textId="77777777">
      <w:pPr>
        <w:pStyle w:val="Lista2"/>
      </w:pPr>
      <w:r>
        <w:t xml:space="preserve">a non-standard or substandard spelling: </w:t>
      </w:r>
      <w:r>
        <w:rPr>
          <w:rStyle w:val="Codetext"/>
        </w:rPr>
        <w:t>sahasrā</w:t>
      </w:r>
      <w:r>
        <w:rPr>
          <w:rStyle w:val="Code"/>
        </w:rPr>
        <w:t>&lt;orig&gt;</w:t>
      </w:r>
      <w:r>
        <w:rPr>
          <w:rStyle w:val="Codetext"/>
        </w:rPr>
        <w:t>n</w:t>
      </w:r>
      <w:r>
        <w:rPr>
          <w:rStyle w:val="Code"/>
        </w:rPr>
        <w:t>&lt;/orig&gt;</w:t>
      </w:r>
      <w:r>
        <w:rPr>
          <w:rStyle w:val="Codetext"/>
        </w:rPr>
        <w:t>i</w:t>
      </w:r>
      <w:r>
        <w:t xml:space="preserve"> </w:t>
      </w:r>
      <w:r>
        <w:rPr>
          <w:noProof/>
        </w:rPr>
        <w:t>(</w:t>
      </w:r>
      <w:r>
        <w:rPr>
          <w:rStyle w:val="Foreign"/>
        </w:rPr>
        <w:t>sahasrāṇi</w:t>
      </w:r>
      <w:r>
        <w:t xml:space="preserve"> is expected)</w:t>
      </w:r>
    </w:p>
    <w:p w14:paraId="741BFFB9" w14:textId="77777777">
      <w:pPr>
        <w:pStyle w:val="Cmsor2"/>
      </w:pPr>
      <w:bookmarkStart w:id="634" w:name="_Ref228872858"/>
      <w:bookmarkStart w:id="635" w:name="_Toc243922691"/>
      <w:bookmarkEnd w:id="632"/>
      <w:r>
        <w:lastRenderedPageBreak/>
        <w:t>Rectifying anomalous readings</w:t>
      </w:r>
      <w:bookmarkEnd w:id="634"/>
      <w:bookmarkEnd w:id="635"/>
    </w:p>
    <w:p w14:paraId="712E44F4" w14:textId="77777777">
      <w:r>
        <w:rPr>
          <w:lang w:eastAsia="en-US" w:bidi="ar-SA"/>
        </w:rPr>
        <w:t>Rectifying a linguistically anomalous reading means providing an editorial alternative for the anomalous reading, i.e. correcting or normalising it. Rectifying a reading rather than merely flagging it serves useful purposes. On the one hand, it</w:t>
      </w:r>
      <w:r>
        <w:t xml:space="preserve"> helps readers understand the text and makes your interpretation of it explicit. On the other hand, it facilitates searching texts by ensuring that the expected form is present in the XML file and can thus be returned as a match for queries even if the received text differs from the expected.</w:t>
      </w:r>
    </w:p>
    <w:p w14:paraId="18B9E85B" w14:textId="1BAC5FDF">
      <w:pPr>
        <w:pStyle w:val="Normlbehzs"/>
      </w:pPr>
      <w:r>
        <w:t xml:space="preserve">Anomalous language can be restituted by any combination of three actions, as illustrated in </w:t>
      </w:r>
      <w:r>
        <w:fldChar w:fldCharType="begin"/>
      </w:r>
      <w:r>
        <w:instrText xml:space="preserve"> REF _Ref229056027 \h </w:instrText>
      </w:r>
      <w:r>
        <w:fldChar w:fldCharType="separate"/>
      </w:r>
      <w:r>
        <w:t xml:space="preserve">Exhibit </w:t>
      </w:r>
      <w:r>
        <w:rPr>
          <w:noProof/>
        </w:rPr>
        <w:t>7.5</w:t>
      </w:r>
      <w:r>
        <w:t>.</w:t>
      </w:r>
      <w:r>
        <w:rPr>
          <w:noProof/>
        </w:rPr>
        <w:t>A</w:t>
      </w:r>
      <w:r>
        <w:fldChar w:fldCharType="end"/>
      </w:r>
      <w:r>
        <w:t xml:space="preserve"> — where the received reading </w:t>
      </w:r>
      <w:r>
        <w:rPr>
          <w:rStyle w:val="Foreign"/>
        </w:rPr>
        <w:t>surddha</w:t>
      </w:r>
      <w:r>
        <w:t xml:space="preserve"> is rectified into </w:t>
      </w:r>
      <w:r>
        <w:rPr>
          <w:rStyle w:val="Foreign"/>
        </w:rPr>
        <w:t>śuddhaḥ</w:t>
      </w:r>
      <w:r>
        <w:t xml:space="preserve"> — and detailed in the following subsections. Substitution (§</w:t>
      </w:r>
      <w:r>
        <w:fldChar w:fldCharType="begin"/>
      </w:r>
      <w:r>
        <w:instrText xml:space="preserve"> REF _Ref229057056 \r \h </w:instrText>
      </w:r>
      <w:r>
        <w:fldChar w:fldCharType="separate"/>
      </w:r>
      <w:r>
        <w:t>7.5.1</w:t>
      </w:r>
      <w:r>
        <w:fldChar w:fldCharType="end"/>
      </w:r>
      <w:r>
        <w:t>) is when the received reading is replaced by the editor with a rectified reading. Suppression (§</w:t>
      </w:r>
      <w:r>
        <w:fldChar w:fldCharType="begin"/>
      </w:r>
      <w:r>
        <w:instrText xml:space="preserve"> REF _Ref229056282 \r \h </w:instrText>
      </w:r>
      <w:r>
        <w:fldChar w:fldCharType="separate"/>
      </w:r>
      <w:r>
        <w:t>7.5.2</w:t>
      </w:r>
      <w:r>
        <w:fldChar w:fldCharType="end"/>
      </w:r>
      <w:r>
        <w:t>) is when part of the received reading is deemed superfluous and deleted by the editor. Restitution (§</w:t>
      </w:r>
      <w:r>
        <w:fldChar w:fldCharType="begin"/>
      </w:r>
      <w:r>
        <w:instrText xml:space="preserve"> REF _Ref229056324 \r \h </w:instrText>
      </w:r>
      <w:r>
        <w:fldChar w:fldCharType="separate"/>
      </w:r>
      <w:r>
        <w:t>7.5.3</w:t>
      </w:r>
      <w:r>
        <w:fldChar w:fldCharType="end"/>
      </w:r>
      <w:r>
        <w:t>), also called suppletion, is when the editor adds something to the received reading.</w:t>
      </w:r>
    </w:p>
    <w:tbl>
      <w:tblPr>
        <w:tblStyle w:val="FigureTable"/>
        <w:tblW w:w="0" w:type="auto"/>
        <w:tblLook w:val="04A0" w:firstRow="1" w:lastRow="0" w:firstColumn="1" w:lastColumn="0" w:noHBand="0" w:noVBand="1"/>
      </w:tblPr>
      <w:tblGrid>
        <w:gridCol w:w="1203"/>
        <w:gridCol w:w="1203"/>
        <w:gridCol w:w="1203"/>
        <w:gridCol w:w="1203"/>
        <w:gridCol w:w="1204"/>
        <w:gridCol w:w="1204"/>
        <w:gridCol w:w="1204"/>
        <w:gridCol w:w="1204"/>
      </w:tblGrid>
      <w:tr w14:paraId="2233B739" w14:textId="77777777">
        <w:trPr>
          <w:cnfStyle w:val="100000000000" w:firstRow="1" w:lastRow="0" w:firstColumn="0" w:lastColumn="0" w:oddVBand="0" w:evenVBand="0" w:oddHBand="0" w:evenHBand="0" w:firstRowFirstColumn="0" w:firstRowLastColumn="0" w:lastRowFirstColumn="0" w:lastRowLastColumn="0"/>
        </w:trPr>
        <w:tc>
          <w:tcPr>
            <w:tcW w:w="9628" w:type="dxa"/>
            <w:gridSpan w:val="8"/>
            <w:tcBorders>
              <w:bottom w:val="single" w:sz="4" w:space="0" w:color="auto"/>
            </w:tcBorders>
          </w:tcPr>
          <w:p w14:paraId="2F13B5D7" w14:textId="6BE01A77">
            <w:pPr>
              <w:pStyle w:val="Kpalrs"/>
            </w:pPr>
            <w:bookmarkStart w:id="636" w:name="_Ref229056027"/>
            <w:r>
              <w:t xml:space="preserve">Exhibit </w:t>
            </w:r>
            <w:fldSimple w:instr=" STYLEREF 2 \s ">
              <w:r>
                <w:rPr>
                  <w:noProof/>
                </w:rPr>
                <w:t>7.5</w:t>
              </w:r>
            </w:fldSimple>
            <w:r>
              <w:t>.</w:t>
            </w:r>
            <w:fldSimple w:instr=" SEQ Exhibit \* ALPHABETIC \s 2 ">
              <w:r>
                <w:rPr>
                  <w:noProof/>
                </w:rPr>
                <w:t>A</w:t>
              </w:r>
            </w:fldSimple>
            <w:bookmarkEnd w:id="636"/>
            <w:r>
              <w:t>: editorial rectification of anomalous language</w:t>
            </w:r>
          </w:p>
        </w:tc>
      </w:tr>
      <w:tr w14:paraId="01855450" w14:textId="77777777">
        <w:tc>
          <w:tcPr>
            <w:tcW w:w="1203" w:type="dxa"/>
            <w:tcBorders>
              <w:bottom w:val="nil"/>
              <w:right w:val="single" w:sz="4" w:space="0" w:color="auto"/>
            </w:tcBorders>
            <w:shd w:val="clear" w:color="auto" w:fill="F0F7D7"/>
          </w:tcPr>
          <w:p w14:paraId="3508CF70" w14:textId="77777777">
            <w:pPr>
              <w:keepNext/>
              <w:keepLines/>
              <w:jc w:val="right"/>
              <w:rPr>
                <w:sz w:val="18"/>
                <w:szCs w:val="18"/>
              </w:rPr>
            </w:pPr>
            <w:r>
              <w:rPr>
                <w:sz w:val="18"/>
                <w:szCs w:val="18"/>
              </w:rPr>
              <w:t>received text:</w:t>
            </w:r>
          </w:p>
        </w:tc>
        <w:tc>
          <w:tcPr>
            <w:tcW w:w="1203" w:type="dxa"/>
            <w:tcBorders>
              <w:left w:val="single" w:sz="4" w:space="0" w:color="auto"/>
              <w:bottom w:val="nil"/>
              <w:right w:val="single" w:sz="4" w:space="0" w:color="auto"/>
            </w:tcBorders>
          </w:tcPr>
          <w:p w14:paraId="2E0ACB56" w14:textId="77777777">
            <w:pPr>
              <w:keepNext/>
              <w:keepLines/>
              <w:jc w:val="center"/>
              <w:rPr>
                <w:sz w:val="28"/>
                <w:szCs w:val="28"/>
              </w:rPr>
            </w:pPr>
            <w:r>
              <w:rPr>
                <w:sz w:val="28"/>
                <w:szCs w:val="28"/>
              </w:rPr>
              <w:t>s</w:t>
            </w:r>
          </w:p>
        </w:tc>
        <w:tc>
          <w:tcPr>
            <w:tcW w:w="1203" w:type="dxa"/>
            <w:tcBorders>
              <w:left w:val="single" w:sz="4" w:space="0" w:color="auto"/>
              <w:bottom w:val="nil"/>
              <w:right w:val="single" w:sz="4" w:space="0" w:color="auto"/>
            </w:tcBorders>
          </w:tcPr>
          <w:p w14:paraId="6F277F4D" w14:textId="77777777">
            <w:pPr>
              <w:keepNext/>
              <w:keepLines/>
              <w:jc w:val="center"/>
              <w:rPr>
                <w:sz w:val="28"/>
                <w:szCs w:val="28"/>
              </w:rPr>
            </w:pPr>
            <w:r>
              <w:rPr>
                <w:sz w:val="28"/>
                <w:szCs w:val="28"/>
              </w:rPr>
              <w:t>u</w:t>
            </w:r>
          </w:p>
        </w:tc>
        <w:tc>
          <w:tcPr>
            <w:tcW w:w="1203" w:type="dxa"/>
            <w:tcBorders>
              <w:left w:val="single" w:sz="4" w:space="0" w:color="auto"/>
              <w:bottom w:val="nil"/>
              <w:right w:val="single" w:sz="4" w:space="0" w:color="auto"/>
            </w:tcBorders>
          </w:tcPr>
          <w:p w14:paraId="594B9DBD" w14:textId="77777777">
            <w:pPr>
              <w:keepNext/>
              <w:keepLines/>
              <w:jc w:val="center"/>
              <w:rPr>
                <w:sz w:val="28"/>
                <w:szCs w:val="28"/>
              </w:rPr>
            </w:pPr>
            <w:r>
              <w:rPr>
                <w:sz w:val="28"/>
                <w:szCs w:val="28"/>
              </w:rPr>
              <w:t>r</w:t>
            </w:r>
          </w:p>
        </w:tc>
        <w:tc>
          <w:tcPr>
            <w:tcW w:w="1204" w:type="dxa"/>
            <w:tcBorders>
              <w:left w:val="single" w:sz="4" w:space="0" w:color="auto"/>
              <w:bottom w:val="nil"/>
              <w:right w:val="single" w:sz="4" w:space="0" w:color="auto"/>
            </w:tcBorders>
          </w:tcPr>
          <w:p w14:paraId="44EF43BC" w14:textId="77777777">
            <w:pPr>
              <w:keepNext/>
              <w:keepLines/>
              <w:jc w:val="center"/>
              <w:rPr>
                <w:sz w:val="28"/>
                <w:szCs w:val="28"/>
              </w:rPr>
            </w:pPr>
            <w:r>
              <w:rPr>
                <w:sz w:val="28"/>
                <w:szCs w:val="28"/>
              </w:rPr>
              <w:t>d</w:t>
            </w:r>
          </w:p>
        </w:tc>
        <w:tc>
          <w:tcPr>
            <w:tcW w:w="1204" w:type="dxa"/>
            <w:tcBorders>
              <w:left w:val="single" w:sz="4" w:space="0" w:color="auto"/>
              <w:bottom w:val="nil"/>
              <w:right w:val="single" w:sz="4" w:space="0" w:color="auto"/>
            </w:tcBorders>
          </w:tcPr>
          <w:p w14:paraId="2A06689A" w14:textId="77777777">
            <w:pPr>
              <w:keepNext/>
              <w:keepLines/>
              <w:jc w:val="center"/>
              <w:rPr>
                <w:sz w:val="28"/>
                <w:szCs w:val="28"/>
              </w:rPr>
            </w:pPr>
            <w:r>
              <w:rPr>
                <w:sz w:val="28"/>
                <w:szCs w:val="28"/>
              </w:rPr>
              <w:t>dh</w:t>
            </w:r>
          </w:p>
        </w:tc>
        <w:tc>
          <w:tcPr>
            <w:tcW w:w="1204" w:type="dxa"/>
            <w:tcBorders>
              <w:left w:val="single" w:sz="4" w:space="0" w:color="auto"/>
              <w:bottom w:val="nil"/>
              <w:right w:val="single" w:sz="4" w:space="0" w:color="auto"/>
            </w:tcBorders>
          </w:tcPr>
          <w:p w14:paraId="52E7A599" w14:textId="77777777">
            <w:pPr>
              <w:keepNext/>
              <w:keepLines/>
              <w:jc w:val="center"/>
              <w:rPr>
                <w:sz w:val="28"/>
                <w:szCs w:val="28"/>
              </w:rPr>
            </w:pPr>
            <w:r>
              <w:rPr>
                <w:sz w:val="28"/>
                <w:szCs w:val="28"/>
              </w:rPr>
              <w:t>a</w:t>
            </w:r>
          </w:p>
        </w:tc>
        <w:tc>
          <w:tcPr>
            <w:tcW w:w="1204" w:type="dxa"/>
            <w:tcBorders>
              <w:left w:val="single" w:sz="4" w:space="0" w:color="auto"/>
              <w:bottom w:val="nil"/>
            </w:tcBorders>
          </w:tcPr>
          <w:p w14:paraId="1BC8CDA1" w14:textId="77777777">
            <w:pPr>
              <w:keepNext/>
              <w:keepLines/>
              <w:jc w:val="center"/>
              <w:rPr>
                <w:sz w:val="28"/>
                <w:szCs w:val="28"/>
              </w:rPr>
            </w:pPr>
          </w:p>
        </w:tc>
      </w:tr>
      <w:tr w14:paraId="58792FD0" w14:textId="77777777">
        <w:tc>
          <w:tcPr>
            <w:tcW w:w="1203" w:type="dxa"/>
            <w:tcBorders>
              <w:top w:val="nil"/>
              <w:bottom w:val="nil"/>
              <w:right w:val="single" w:sz="4" w:space="0" w:color="auto"/>
            </w:tcBorders>
            <w:shd w:val="clear" w:color="auto" w:fill="F0F7D7"/>
          </w:tcPr>
          <w:p w14:paraId="730024BA" w14:textId="77777777">
            <w:pPr>
              <w:keepNext/>
              <w:keepLines/>
              <w:jc w:val="right"/>
              <w:rPr>
                <w:color w:val="FF0000"/>
                <w:sz w:val="18"/>
                <w:szCs w:val="18"/>
              </w:rPr>
            </w:pPr>
            <w:r>
              <w:rPr>
                <w:color w:val="FF0000"/>
                <w:sz w:val="18"/>
                <w:szCs w:val="18"/>
              </w:rPr>
              <w:t>intervention:</w:t>
            </w:r>
          </w:p>
        </w:tc>
        <w:tc>
          <w:tcPr>
            <w:tcW w:w="1203" w:type="dxa"/>
            <w:tcBorders>
              <w:top w:val="nil"/>
              <w:left w:val="single" w:sz="4" w:space="0" w:color="auto"/>
              <w:bottom w:val="nil"/>
              <w:right w:val="single" w:sz="4" w:space="0" w:color="auto"/>
            </w:tcBorders>
          </w:tcPr>
          <w:p w14:paraId="678DDF17" w14:textId="77777777">
            <w:pPr>
              <w:keepNext/>
              <w:keepLines/>
              <w:jc w:val="center"/>
              <w:rPr>
                <w:color w:val="FF0000"/>
                <w:sz w:val="18"/>
                <w:szCs w:val="18"/>
              </w:rPr>
            </w:pPr>
            <w:r>
              <w:rPr>
                <w:color w:val="FF0000"/>
                <w:sz w:val="18"/>
                <w:szCs w:val="18"/>
              </w:rPr>
              <w:t>substitution</w:t>
            </w:r>
          </w:p>
        </w:tc>
        <w:tc>
          <w:tcPr>
            <w:tcW w:w="1203" w:type="dxa"/>
            <w:tcBorders>
              <w:top w:val="nil"/>
              <w:left w:val="single" w:sz="4" w:space="0" w:color="auto"/>
              <w:bottom w:val="nil"/>
              <w:right w:val="single" w:sz="4" w:space="0" w:color="auto"/>
            </w:tcBorders>
          </w:tcPr>
          <w:p w14:paraId="48B473E9" w14:textId="77777777">
            <w:pPr>
              <w:keepNext/>
              <w:keepLines/>
              <w:jc w:val="center"/>
              <w:rPr>
                <w:color w:val="FF0000"/>
                <w:sz w:val="18"/>
                <w:szCs w:val="18"/>
              </w:rPr>
            </w:pPr>
          </w:p>
        </w:tc>
        <w:tc>
          <w:tcPr>
            <w:tcW w:w="1203" w:type="dxa"/>
            <w:tcBorders>
              <w:top w:val="nil"/>
              <w:left w:val="single" w:sz="4" w:space="0" w:color="auto"/>
              <w:bottom w:val="nil"/>
              <w:right w:val="single" w:sz="4" w:space="0" w:color="auto"/>
            </w:tcBorders>
          </w:tcPr>
          <w:p w14:paraId="4DCF8377" w14:textId="77777777">
            <w:pPr>
              <w:keepNext/>
              <w:keepLines/>
              <w:jc w:val="center"/>
              <w:rPr>
                <w:color w:val="FF0000"/>
                <w:sz w:val="18"/>
                <w:szCs w:val="18"/>
              </w:rPr>
            </w:pPr>
            <w:r>
              <w:rPr>
                <w:color w:val="FF0000"/>
                <w:sz w:val="18"/>
                <w:szCs w:val="18"/>
              </w:rPr>
              <w:t>suppression</w:t>
            </w:r>
          </w:p>
        </w:tc>
        <w:tc>
          <w:tcPr>
            <w:tcW w:w="1204" w:type="dxa"/>
            <w:tcBorders>
              <w:top w:val="nil"/>
              <w:left w:val="single" w:sz="4" w:space="0" w:color="auto"/>
              <w:bottom w:val="nil"/>
              <w:right w:val="single" w:sz="4" w:space="0" w:color="auto"/>
            </w:tcBorders>
          </w:tcPr>
          <w:p w14:paraId="2CF3538F" w14:textId="77777777">
            <w:pPr>
              <w:keepNext/>
              <w:keepLines/>
              <w:jc w:val="center"/>
              <w:rPr>
                <w:color w:val="FF0000"/>
                <w:sz w:val="18"/>
                <w:szCs w:val="18"/>
              </w:rPr>
            </w:pPr>
          </w:p>
        </w:tc>
        <w:tc>
          <w:tcPr>
            <w:tcW w:w="1204" w:type="dxa"/>
            <w:tcBorders>
              <w:top w:val="nil"/>
              <w:left w:val="single" w:sz="4" w:space="0" w:color="auto"/>
              <w:bottom w:val="nil"/>
              <w:right w:val="single" w:sz="4" w:space="0" w:color="auto"/>
            </w:tcBorders>
          </w:tcPr>
          <w:p w14:paraId="0DD95AF0" w14:textId="77777777">
            <w:pPr>
              <w:keepNext/>
              <w:keepLines/>
              <w:jc w:val="center"/>
              <w:rPr>
                <w:color w:val="FF0000"/>
                <w:sz w:val="18"/>
                <w:szCs w:val="18"/>
              </w:rPr>
            </w:pPr>
          </w:p>
        </w:tc>
        <w:tc>
          <w:tcPr>
            <w:tcW w:w="1204" w:type="dxa"/>
            <w:tcBorders>
              <w:top w:val="nil"/>
              <w:left w:val="single" w:sz="4" w:space="0" w:color="auto"/>
              <w:bottom w:val="nil"/>
              <w:right w:val="single" w:sz="4" w:space="0" w:color="auto"/>
            </w:tcBorders>
          </w:tcPr>
          <w:p w14:paraId="66824F53" w14:textId="77777777">
            <w:pPr>
              <w:keepNext/>
              <w:keepLines/>
              <w:jc w:val="center"/>
              <w:rPr>
                <w:color w:val="FF0000"/>
                <w:sz w:val="18"/>
                <w:szCs w:val="18"/>
              </w:rPr>
            </w:pPr>
          </w:p>
        </w:tc>
        <w:tc>
          <w:tcPr>
            <w:tcW w:w="1204" w:type="dxa"/>
            <w:tcBorders>
              <w:top w:val="nil"/>
              <w:left w:val="single" w:sz="4" w:space="0" w:color="auto"/>
              <w:bottom w:val="nil"/>
            </w:tcBorders>
          </w:tcPr>
          <w:p w14:paraId="302A0E73" w14:textId="77777777">
            <w:pPr>
              <w:keepNext/>
              <w:keepLines/>
              <w:jc w:val="center"/>
              <w:rPr>
                <w:color w:val="FF0000"/>
                <w:sz w:val="18"/>
                <w:szCs w:val="18"/>
              </w:rPr>
            </w:pPr>
            <w:r>
              <w:rPr>
                <w:color w:val="FF0000"/>
                <w:sz w:val="18"/>
                <w:szCs w:val="18"/>
              </w:rPr>
              <w:t>restitution</w:t>
            </w:r>
          </w:p>
        </w:tc>
      </w:tr>
      <w:tr w14:paraId="626F71BA" w14:textId="77777777">
        <w:tc>
          <w:tcPr>
            <w:tcW w:w="1203" w:type="dxa"/>
            <w:tcBorders>
              <w:top w:val="nil"/>
              <w:right w:val="single" w:sz="4" w:space="0" w:color="auto"/>
            </w:tcBorders>
            <w:shd w:val="clear" w:color="auto" w:fill="F0F7D7"/>
          </w:tcPr>
          <w:p w14:paraId="3C2C16D4" w14:textId="77777777">
            <w:pPr>
              <w:jc w:val="right"/>
              <w:rPr>
                <w:sz w:val="18"/>
                <w:szCs w:val="18"/>
              </w:rPr>
            </w:pPr>
            <w:r>
              <w:rPr>
                <w:sz w:val="18"/>
                <w:szCs w:val="18"/>
              </w:rPr>
              <w:t>rectified text:</w:t>
            </w:r>
          </w:p>
        </w:tc>
        <w:tc>
          <w:tcPr>
            <w:tcW w:w="1203" w:type="dxa"/>
            <w:tcBorders>
              <w:top w:val="nil"/>
              <w:left w:val="single" w:sz="4" w:space="0" w:color="auto"/>
              <w:right w:val="single" w:sz="4" w:space="0" w:color="auto"/>
            </w:tcBorders>
          </w:tcPr>
          <w:p w14:paraId="02749BCF" w14:textId="77777777">
            <w:pPr>
              <w:jc w:val="center"/>
              <w:rPr>
                <w:sz w:val="28"/>
                <w:szCs w:val="28"/>
              </w:rPr>
            </w:pPr>
            <w:r>
              <w:rPr>
                <w:sz w:val="28"/>
                <w:szCs w:val="28"/>
              </w:rPr>
              <w:t>ś</w:t>
            </w:r>
          </w:p>
        </w:tc>
        <w:tc>
          <w:tcPr>
            <w:tcW w:w="1203" w:type="dxa"/>
            <w:tcBorders>
              <w:top w:val="nil"/>
              <w:left w:val="single" w:sz="4" w:space="0" w:color="auto"/>
              <w:right w:val="single" w:sz="4" w:space="0" w:color="auto"/>
            </w:tcBorders>
          </w:tcPr>
          <w:p w14:paraId="4E8A110A" w14:textId="77777777">
            <w:pPr>
              <w:jc w:val="center"/>
              <w:rPr>
                <w:sz w:val="28"/>
                <w:szCs w:val="28"/>
              </w:rPr>
            </w:pPr>
            <w:r>
              <w:rPr>
                <w:sz w:val="28"/>
                <w:szCs w:val="28"/>
              </w:rPr>
              <w:t>u</w:t>
            </w:r>
          </w:p>
        </w:tc>
        <w:tc>
          <w:tcPr>
            <w:tcW w:w="1203" w:type="dxa"/>
            <w:tcBorders>
              <w:top w:val="nil"/>
              <w:left w:val="single" w:sz="4" w:space="0" w:color="auto"/>
              <w:right w:val="single" w:sz="4" w:space="0" w:color="auto"/>
            </w:tcBorders>
          </w:tcPr>
          <w:p w14:paraId="21BC995C" w14:textId="77777777">
            <w:pPr>
              <w:jc w:val="center"/>
              <w:rPr>
                <w:sz w:val="28"/>
                <w:szCs w:val="28"/>
              </w:rPr>
            </w:pPr>
          </w:p>
        </w:tc>
        <w:tc>
          <w:tcPr>
            <w:tcW w:w="1204" w:type="dxa"/>
            <w:tcBorders>
              <w:top w:val="nil"/>
              <w:left w:val="single" w:sz="4" w:space="0" w:color="auto"/>
              <w:right w:val="single" w:sz="4" w:space="0" w:color="auto"/>
            </w:tcBorders>
          </w:tcPr>
          <w:p w14:paraId="5B54180A" w14:textId="77777777">
            <w:pPr>
              <w:jc w:val="center"/>
              <w:rPr>
                <w:sz w:val="28"/>
                <w:szCs w:val="28"/>
              </w:rPr>
            </w:pPr>
            <w:r>
              <w:rPr>
                <w:sz w:val="28"/>
                <w:szCs w:val="28"/>
              </w:rPr>
              <w:t>d</w:t>
            </w:r>
          </w:p>
        </w:tc>
        <w:tc>
          <w:tcPr>
            <w:tcW w:w="1204" w:type="dxa"/>
            <w:tcBorders>
              <w:top w:val="nil"/>
              <w:left w:val="single" w:sz="4" w:space="0" w:color="auto"/>
              <w:right w:val="single" w:sz="4" w:space="0" w:color="auto"/>
            </w:tcBorders>
          </w:tcPr>
          <w:p w14:paraId="442B2B9F" w14:textId="77777777">
            <w:pPr>
              <w:jc w:val="center"/>
              <w:rPr>
                <w:sz w:val="28"/>
                <w:szCs w:val="28"/>
              </w:rPr>
            </w:pPr>
            <w:r>
              <w:rPr>
                <w:sz w:val="28"/>
                <w:szCs w:val="28"/>
              </w:rPr>
              <w:t>dh</w:t>
            </w:r>
          </w:p>
        </w:tc>
        <w:tc>
          <w:tcPr>
            <w:tcW w:w="1204" w:type="dxa"/>
            <w:tcBorders>
              <w:top w:val="nil"/>
              <w:left w:val="single" w:sz="4" w:space="0" w:color="auto"/>
              <w:right w:val="single" w:sz="4" w:space="0" w:color="auto"/>
            </w:tcBorders>
          </w:tcPr>
          <w:p w14:paraId="4735537E" w14:textId="77777777">
            <w:pPr>
              <w:jc w:val="center"/>
              <w:rPr>
                <w:sz w:val="28"/>
                <w:szCs w:val="28"/>
              </w:rPr>
            </w:pPr>
            <w:r>
              <w:rPr>
                <w:sz w:val="28"/>
                <w:szCs w:val="28"/>
              </w:rPr>
              <w:t>a</w:t>
            </w:r>
          </w:p>
        </w:tc>
        <w:tc>
          <w:tcPr>
            <w:tcW w:w="1204" w:type="dxa"/>
            <w:tcBorders>
              <w:top w:val="nil"/>
              <w:left w:val="single" w:sz="4" w:space="0" w:color="auto"/>
            </w:tcBorders>
          </w:tcPr>
          <w:p w14:paraId="63D0F5B8" w14:textId="77777777">
            <w:pPr>
              <w:jc w:val="center"/>
              <w:rPr>
                <w:sz w:val="28"/>
                <w:szCs w:val="28"/>
              </w:rPr>
            </w:pPr>
            <w:r>
              <w:rPr>
                <w:sz w:val="28"/>
                <w:szCs w:val="28"/>
              </w:rPr>
              <w:t>ḥ</w:t>
            </w:r>
          </w:p>
        </w:tc>
      </w:tr>
    </w:tbl>
    <w:p w14:paraId="66B7345F" w14:textId="77777777">
      <w:pPr>
        <w:pStyle w:val="Lista"/>
      </w:pPr>
      <w:r>
        <w:t>rectification is strongly recommended for all erroneous readings unless</w:t>
      </w:r>
    </w:p>
    <w:p w14:paraId="1D6102F8" w14:textId="77777777">
      <w:pPr>
        <w:pStyle w:val="Lista2"/>
      </w:pPr>
      <w:r>
        <w:t>they are absolutely trivial (in which case they may be ignored or flagged)</w:t>
      </w:r>
    </w:p>
    <w:p w14:paraId="2DBBB17F" w14:textId="77777777">
      <w:pPr>
        <w:pStyle w:val="Lista2"/>
      </w:pPr>
      <w:r>
        <w:t>you are unable to propose a confident correction (in which case they should be flagged)</w:t>
      </w:r>
    </w:p>
    <w:p w14:paraId="149520F8" w14:textId="5BD29591">
      <w:pPr>
        <w:pStyle w:val="Lista"/>
      </w:pPr>
      <w:r>
        <w:t>non-standard orthography and language use (such as the phenomena listed in §</w:t>
      </w:r>
      <w:r>
        <w:fldChar w:fldCharType="begin"/>
      </w:r>
      <w:r>
        <w:instrText xml:space="preserve"> REF _Ref242868067 \r \h </w:instrText>
      </w:r>
      <w:r>
        <w:fldChar w:fldCharType="separate"/>
      </w:r>
      <w:r>
        <w:t>7.1.2</w:t>
      </w:r>
      <w:r>
        <w:fldChar w:fldCharType="end"/>
      </w:r>
      <w:r>
        <w:t xml:space="preserve"> and §</w:t>
      </w:r>
      <w:r>
        <w:fldChar w:fldCharType="begin"/>
      </w:r>
      <w:r>
        <w:instrText xml:space="preserve"> REF _Ref228868281 \r \h </w:instrText>
      </w:r>
      <w:r>
        <w:fldChar w:fldCharType="separate"/>
      </w:r>
      <w:r>
        <w:t>7.4</w:t>
      </w:r>
      <w:r>
        <w:fldChar w:fldCharType="end"/>
      </w:r>
      <w:r>
        <w:t xml:space="preserve"> above) should be preferably rectified if the phenomenon is rare in a given subcorpus or if it leads to ambiguity or hinders understanding in a given case (e.g. </w:t>
      </w:r>
      <w:r>
        <w:rPr>
          <w:rStyle w:val="Foreign"/>
        </w:rPr>
        <w:t>dattvā</w:t>
      </w:r>
      <w:r>
        <w:t xml:space="preserve"> instead of </w:t>
      </w:r>
      <w:r>
        <w:rPr>
          <w:rStyle w:val="Foreign"/>
        </w:rPr>
        <w:t>dattā</w:t>
      </w:r>
      <w:r>
        <w:t xml:space="preserve">; </w:t>
      </w:r>
      <w:r>
        <w:rPr>
          <w:rStyle w:val="Foreign"/>
        </w:rPr>
        <w:t>rakṣya</w:t>
      </w:r>
      <w:r>
        <w:t xml:space="preserve"> instead of </w:t>
      </w:r>
      <w:r>
        <w:rPr>
          <w:rStyle w:val="Foreign"/>
        </w:rPr>
        <w:t>rakṣa</w:t>
      </w:r>
      <w:r>
        <w:t>)</w:t>
      </w:r>
    </w:p>
    <w:p w14:paraId="381E76AD" w14:textId="77777777">
      <w:pPr>
        <w:pStyle w:val="Lista"/>
      </w:pPr>
      <w:r>
        <w:t>the degree to which you rectify an anomalous reading need not be absolute: the aim is not to copy-edit the source text to some hypothetical standard of language but to render it more comprehensible and indexable with a minimum of invasiveness</w:t>
      </w:r>
    </w:p>
    <w:p w14:paraId="03BBA79D" w14:textId="54A43341">
      <w:pPr>
        <w:pStyle w:val="Lista2"/>
      </w:pPr>
      <w:r>
        <w:t>when a document contains trivial linguistic anomalies that you ignore (§</w:t>
      </w:r>
      <w:r>
        <w:fldChar w:fldCharType="begin"/>
      </w:r>
      <w:r>
        <w:instrText xml:space="preserve"> REF _Ref228976848 \r \h </w:instrText>
      </w:r>
      <w:r>
        <w:fldChar w:fldCharType="separate"/>
      </w:r>
      <w:r>
        <w:t>7.3</w:t>
      </w:r>
      <w:r>
        <w:fldChar w:fldCharType="end"/>
      </w:r>
      <w:r>
        <w:t xml:space="preserve">), your rectified readings should preferably also contain similar anomalies where applicable; for example if the document normally doubles nasals after </w:t>
      </w:r>
      <w:r>
        <w:rPr>
          <w:rStyle w:val="Foreign"/>
        </w:rPr>
        <w:t>r</w:t>
      </w:r>
      <w:r>
        <w:t>, then</w:t>
      </w:r>
    </w:p>
    <w:p w14:paraId="5119E091" w14:textId="77777777">
      <w:pPr>
        <w:pStyle w:val="Lista3"/>
      </w:pPr>
      <w:r>
        <w:t xml:space="preserve">correct </w:t>
      </w:r>
      <w:r>
        <w:rPr>
          <w:rStyle w:val="Foreign"/>
        </w:rPr>
        <w:t>karppa</w:t>
      </w:r>
      <w:r>
        <w:t xml:space="preserve"> to </w:t>
      </w:r>
      <w:r>
        <w:rPr>
          <w:rStyle w:val="Foreign"/>
        </w:rPr>
        <w:t>karmma</w:t>
      </w:r>
      <w:r>
        <w:t xml:space="preserve"> </w:t>
      </w:r>
      <w:r>
        <w:rPr>
          <w:noProof/>
        </w:rPr>
        <w:t>(</w:t>
      </w:r>
      <w:r>
        <w:t xml:space="preserve">rather than </w:t>
      </w:r>
      <w:r>
        <w:rPr>
          <w:rStyle w:val="Foreign"/>
        </w:rPr>
        <w:t>karma</w:t>
      </w:r>
      <w:r>
        <w:t xml:space="preserve">) </w:t>
      </w:r>
    </w:p>
    <w:p w14:paraId="68C8ECCC" w14:textId="77777777">
      <w:pPr>
        <w:pStyle w:val="Lista3"/>
      </w:pPr>
      <w:r>
        <w:t xml:space="preserve">normalise </w:t>
      </w:r>
      <w:r>
        <w:rPr>
          <w:rStyle w:val="Foreign"/>
        </w:rPr>
        <w:t>varnna</w:t>
      </w:r>
      <w:r>
        <w:t xml:space="preserve"> to </w:t>
      </w:r>
      <w:r>
        <w:rPr>
          <w:rStyle w:val="Foreign"/>
        </w:rPr>
        <w:t>varṇṇa</w:t>
      </w:r>
      <w:r>
        <w:t xml:space="preserve"> </w:t>
      </w:r>
      <w:r>
        <w:rPr>
          <w:noProof/>
        </w:rPr>
        <w:t>(</w:t>
      </w:r>
      <w:r>
        <w:t xml:space="preserve">rather than </w:t>
      </w:r>
      <w:r>
        <w:rPr>
          <w:rStyle w:val="Foreign"/>
        </w:rPr>
        <w:t>varṇa</w:t>
      </w:r>
      <w:r>
        <w:t>)</w:t>
      </w:r>
    </w:p>
    <w:p w14:paraId="7F312AF1" w14:textId="77777777">
      <w:pPr>
        <w:pStyle w:val="Lista2"/>
      </w:pPr>
      <w:r>
        <w:t xml:space="preserve">if a text consistently uses </w:t>
      </w:r>
      <w:r>
        <w:rPr>
          <w:rStyle w:val="Foreign"/>
        </w:rPr>
        <w:t>upadhmānīya</w:t>
      </w:r>
      <w:r>
        <w:t xml:space="preserve"> or </w:t>
      </w:r>
      <w:r>
        <w:rPr>
          <w:rStyle w:val="Foreign"/>
        </w:rPr>
        <w:t>jihvāmūlīya</w:t>
      </w:r>
      <w:r>
        <w:t xml:space="preserve">, and your correction involves the restitution of an omitted </w:t>
      </w:r>
      <w:r>
        <w:rPr>
          <w:rStyle w:val="Foreign"/>
        </w:rPr>
        <w:t>visarga</w:t>
      </w:r>
      <w:r>
        <w:t xml:space="preserve"> in a phonemic context that would call for one of these forms, then supply </w:t>
      </w:r>
      <w:r>
        <w:rPr>
          <w:rStyle w:val="Foreign"/>
        </w:rPr>
        <w:t>upadhmānīya</w:t>
      </w:r>
      <w:r>
        <w:t xml:space="preserve"> or </w:t>
      </w:r>
      <w:r>
        <w:rPr>
          <w:rStyle w:val="Foreign"/>
        </w:rPr>
        <w:t>jihvāmūlīya</w:t>
      </w:r>
      <w:r>
        <w:t xml:space="preserve"> instead of a regular </w:t>
      </w:r>
      <w:r>
        <w:rPr>
          <w:rStyle w:val="Foreign"/>
        </w:rPr>
        <w:t>visarga</w:t>
      </w:r>
      <w:r>
        <w:t>,</w:t>
      </w:r>
    </w:p>
    <w:p w14:paraId="1C4961C7" w14:textId="77777777">
      <w:pPr>
        <w:pStyle w:val="Lista3"/>
      </w:pPr>
      <w:r>
        <w:t xml:space="preserve">e.g. </w:t>
      </w:r>
      <w:r>
        <w:rPr>
          <w:rStyle w:val="Codetext"/>
        </w:rPr>
        <w:t>sarvva-rājocchettu</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ḫ</w:t>
      </w:r>
      <w:r>
        <w:rPr>
          <w:rStyle w:val="Code"/>
        </w:rPr>
        <w:t>&lt;/supplied&gt;</w:t>
      </w:r>
      <w:r>
        <w:rPr>
          <w:rStyle w:val="Codetext"/>
        </w:rPr>
        <w:t xml:space="preserve"> pr̥thivyām apratirathasya</w:t>
      </w:r>
    </w:p>
    <w:p w14:paraId="4638DD71" w14:textId="77777777">
      <w:pPr>
        <w:pStyle w:val="Lista2"/>
      </w:pPr>
      <w:r>
        <w:t>as far as possible, presuppose a plausible minimum of scribal error, and thus impose a plausible minimum of editorial rectification to obtain reasonably correct text; for example,</w:t>
      </w:r>
    </w:p>
    <w:p w14:paraId="0E942334" w14:textId="77777777">
      <w:pPr>
        <w:pStyle w:val="Lista3"/>
      </w:pPr>
      <w:r>
        <w:t xml:space="preserve">correct </w:t>
      </w:r>
      <w:r>
        <w:rPr>
          <w:rStyle w:val="Foreign"/>
        </w:rPr>
        <w:t>karpa</w:t>
      </w:r>
      <w:r>
        <w:t xml:space="preserve"> to </w:t>
      </w:r>
      <w:r>
        <w:rPr>
          <w:rStyle w:val="Foreign"/>
        </w:rPr>
        <w:t>karma</w:t>
      </w:r>
      <w:r>
        <w:t xml:space="preserve"> </w:t>
      </w:r>
      <w:r>
        <w:rPr>
          <w:noProof/>
        </w:rPr>
        <w:t xml:space="preserve">(even if the </w:t>
      </w:r>
      <w:r>
        <w:rPr>
          <w:rStyle w:val="Foreign"/>
        </w:rPr>
        <w:t>karmma</w:t>
      </w:r>
      <w:r>
        <w:t xml:space="preserve"> would be expected in the document), assuming the simple mistake of inscribing </w:t>
      </w:r>
      <w:r>
        <w:rPr>
          <w:rStyle w:val="Foreign"/>
        </w:rPr>
        <w:t>p</w:t>
      </w:r>
      <w:r>
        <w:t xml:space="preserve"> in place of </w:t>
      </w:r>
      <w:r>
        <w:rPr>
          <w:rStyle w:val="Foreign"/>
        </w:rPr>
        <w:t>m</w:t>
      </w:r>
      <w:r>
        <w:t xml:space="preserve"> rather than the complex mistake of inscribing </w:t>
      </w:r>
      <w:r>
        <w:rPr>
          <w:rStyle w:val="Foreign"/>
        </w:rPr>
        <w:t>p</w:t>
      </w:r>
      <w:r>
        <w:t xml:space="preserve"> for </w:t>
      </w:r>
      <w:r>
        <w:rPr>
          <w:rStyle w:val="Foreign"/>
        </w:rPr>
        <w:t>mm</w:t>
      </w:r>
    </w:p>
    <w:p w14:paraId="64172BA0" w14:textId="77777777">
      <w:pPr>
        <w:pStyle w:val="Lista3"/>
      </w:pPr>
      <w:r>
        <w:t xml:space="preserve">correct </w:t>
      </w:r>
      <w:r>
        <w:rPr>
          <w:rStyle w:val="Foreign"/>
        </w:rPr>
        <w:t>viṅgati</w:t>
      </w:r>
      <w:r>
        <w:t xml:space="preserve"> to </w:t>
      </w:r>
      <w:r>
        <w:rPr>
          <w:rStyle w:val="Foreign"/>
        </w:rPr>
        <w:t>viṅśati</w:t>
      </w:r>
      <w:r>
        <w:t xml:space="preserve"> </w:t>
      </w:r>
      <w:r>
        <w:rPr>
          <w:noProof/>
        </w:rPr>
        <w:t>(</w:t>
      </w:r>
      <w:r>
        <w:t xml:space="preserve">rather than fully standard </w:t>
      </w:r>
      <w:r>
        <w:rPr>
          <w:rStyle w:val="Foreign"/>
        </w:rPr>
        <w:t>viṁśati</w:t>
      </w:r>
      <w:r>
        <w:t xml:space="preserve">), assuming the simple mistake of inscribing </w:t>
      </w:r>
      <w:r>
        <w:rPr>
          <w:rStyle w:val="Foreign"/>
        </w:rPr>
        <w:t>ṅga</w:t>
      </w:r>
      <w:r>
        <w:t xml:space="preserve"> in place of </w:t>
      </w:r>
      <w:r>
        <w:rPr>
          <w:rStyle w:val="Foreign"/>
        </w:rPr>
        <w:t>ṅśa</w:t>
      </w:r>
      <w:r>
        <w:t xml:space="preserve"> rather than the complex mistake of inscribing </w:t>
      </w:r>
      <w:r>
        <w:rPr>
          <w:rStyle w:val="Foreign"/>
        </w:rPr>
        <w:t>ṅga</w:t>
      </w:r>
      <w:r>
        <w:t xml:space="preserve"> in place of </w:t>
      </w:r>
      <w:r>
        <w:rPr>
          <w:rStyle w:val="Foreign"/>
        </w:rPr>
        <w:t>śa</w:t>
      </w:r>
      <w:r>
        <w:t xml:space="preserve"> and simultaneously omitting an </w:t>
      </w:r>
      <w:r>
        <w:rPr>
          <w:rStyle w:val="Foreign"/>
        </w:rPr>
        <w:t>anusvāra</w:t>
      </w:r>
      <w:r>
        <w:t xml:space="preserve"> </w:t>
      </w:r>
    </w:p>
    <w:p w14:paraId="67F179A1" w14:textId="77777777">
      <w:pPr>
        <w:pStyle w:val="Lista3"/>
      </w:pPr>
      <w:r>
        <w:t xml:space="preserve">correct </w:t>
      </w:r>
      <w:r>
        <w:rPr>
          <w:rStyle w:val="Foreign"/>
        </w:rPr>
        <w:t>viśati</w:t>
      </w:r>
      <w:r>
        <w:t xml:space="preserve"> to </w:t>
      </w:r>
      <w:r>
        <w:rPr>
          <w:rStyle w:val="Foreign"/>
        </w:rPr>
        <w:t>viṁśati</w:t>
      </w:r>
      <w:r>
        <w:t xml:space="preserve"> </w:t>
      </w:r>
      <w:r>
        <w:rPr>
          <w:noProof/>
        </w:rPr>
        <w:t>(</w:t>
      </w:r>
      <w:r>
        <w:t xml:space="preserve">even if </w:t>
      </w:r>
      <w:r>
        <w:rPr>
          <w:rStyle w:val="Foreign"/>
        </w:rPr>
        <w:t>viṅśati</w:t>
      </w:r>
      <w:r>
        <w:t xml:space="preserve"> would be expected in the document), assuming the simple mistake of omitting an </w:t>
      </w:r>
      <w:r>
        <w:rPr>
          <w:rStyle w:val="Foreign"/>
        </w:rPr>
        <w:t>anusvāra</w:t>
      </w:r>
      <w:r>
        <w:t xml:space="preserve"> rather than the complex mistake of inscribing </w:t>
      </w:r>
      <w:r>
        <w:rPr>
          <w:rStyle w:val="Foreign"/>
        </w:rPr>
        <w:t>śa</w:t>
      </w:r>
      <w:r>
        <w:t xml:space="preserve"> instead of </w:t>
      </w:r>
      <w:r>
        <w:rPr>
          <w:rStyle w:val="Foreign"/>
        </w:rPr>
        <w:t>ṅśa</w:t>
      </w:r>
    </w:p>
    <w:p w14:paraId="35D413E5" w14:textId="0789C2BD">
      <w:pPr>
        <w:pStyle w:val="Lista3"/>
      </w:pPr>
      <w:r>
        <w:t xml:space="preserve">should you feel the need, feel free to add normalisation on top of a correction </w:t>
      </w:r>
      <w:r>
        <w:rPr>
          <w:noProof/>
        </w:rPr>
        <w:t>(</w:t>
      </w:r>
      <w:r>
        <w:t>§</w:t>
      </w:r>
      <w:r>
        <w:fldChar w:fldCharType="begin"/>
      </w:r>
      <w:r>
        <w:instrText xml:space="preserve"> REF _Ref43988493 \w \h  \* MERGEFORMAT </w:instrText>
      </w:r>
      <w:r>
        <w:fldChar w:fldCharType="separate"/>
      </w:r>
      <w:r>
        <w:t>7.7.5</w:t>
      </w:r>
      <w:r>
        <w:fldChar w:fldCharType="end"/>
      </w:r>
      <w:r>
        <w:t>)</w:t>
      </w:r>
    </w:p>
    <w:p w14:paraId="240BFC14" w14:textId="77777777">
      <w:pPr>
        <w:pStyle w:val="Cmsor3"/>
      </w:pPr>
      <w:bookmarkStart w:id="637" w:name="_Ref229057056"/>
      <w:bookmarkStart w:id="638" w:name="_Toc243922692"/>
      <w:r>
        <w:lastRenderedPageBreak/>
        <w:t>Substitution</w:t>
      </w:r>
      <w:bookmarkEnd w:id="637"/>
      <w:bookmarkEnd w:id="638"/>
    </w:p>
    <w:p w14:paraId="7AD25478" w14:textId="77777777">
      <w:pPr>
        <w:pStyle w:val="Cmsor4"/>
      </w:pPr>
      <w:bookmarkStart w:id="639" w:name="_Ref229056089"/>
      <w:r>
        <w:t>Correction by substitution</w:t>
      </w:r>
      <w:bookmarkEnd w:id="639"/>
    </w:p>
    <w:p w14:paraId="71FF6B30" w14:textId="77777777">
      <w:pPr>
        <w:pStyle w:val="Lista"/>
      </w:pPr>
      <w:r>
        <w:t>to correct a reading deemed erroneous,</w:t>
      </w:r>
    </w:p>
    <w:p w14:paraId="6EC00A58" w14:textId="77777777">
      <w:pPr>
        <w:pStyle w:val="Lista2"/>
      </w:pPr>
      <w:r>
        <w:t xml:space="preserve">flag the original text with </w:t>
      </w:r>
      <w:r>
        <w:rPr>
          <w:rStyle w:val="Code"/>
        </w:rPr>
        <w:t>&lt;sic&gt;</w:t>
      </w:r>
    </w:p>
    <w:p w14:paraId="5859C030" w14:textId="77777777">
      <w:pPr>
        <w:pStyle w:val="Lista2"/>
      </w:pPr>
      <w:r>
        <w:t xml:space="preserve">add the corrected alternative directly after this, wrapped in the element </w:t>
      </w:r>
      <w:r>
        <w:rPr>
          <w:rStyle w:val="Code"/>
        </w:rPr>
        <w:t>&lt;corr&gt;</w:t>
      </w:r>
    </w:p>
    <w:p w14:paraId="062ED2C6" w14:textId="77777777">
      <w:pPr>
        <w:pStyle w:val="Lista2"/>
      </w:pPr>
      <w:r>
        <w:t xml:space="preserve">and wrap both these elements together in the element </w:t>
      </w:r>
      <w:r>
        <w:rPr>
          <w:rStyle w:val="Code"/>
        </w:rPr>
        <w:t>&lt;choice&gt;</w:t>
      </w:r>
      <w:r>
        <w:t>, indicating that either, but not both, of the two is to be read at the given locus</w:t>
      </w:r>
    </w:p>
    <w:p w14:paraId="4D58A788" w14:textId="77777777">
      <w:pPr>
        <w:pStyle w:val="Lista2"/>
      </w:pPr>
      <w:r>
        <w:t>for the sake of consistency, the received reading shall always precede the editorial reading in DHARMA editions</w:t>
      </w:r>
    </w:p>
    <w:p w14:paraId="5D1FEFAF" w14:textId="77777777">
      <w:pPr>
        <w:pStyle w:val="Lista"/>
      </w:pPr>
      <w:r>
        <w:t xml:space="preserve">for example: </w:t>
      </w:r>
      <w:r>
        <w:rPr>
          <w:rStyle w:val="Codetext"/>
        </w:rPr>
        <w:t>mahār</w:t>
      </w:r>
      <w:r>
        <w:rPr>
          <w:rStyle w:val="Code"/>
        </w:rPr>
        <w:t>&lt;choice&gt;&lt;sic&gt;</w:t>
      </w:r>
      <w:r>
        <w:rPr>
          <w:rStyle w:val="Codetext"/>
        </w:rPr>
        <w:t>a</w:t>
      </w:r>
      <w:r>
        <w:rPr>
          <w:rStyle w:val="Code"/>
        </w:rPr>
        <w:t>&lt;/sic&gt;&lt;corr&gt;</w:t>
      </w:r>
      <w:r>
        <w:rPr>
          <w:rStyle w:val="Codetext"/>
        </w:rPr>
        <w:t>ā</w:t>
      </w:r>
      <w:r>
        <w:rPr>
          <w:rStyle w:val="Code"/>
        </w:rPr>
        <w:t>&lt;/corr&gt;&lt;/choice&gt;</w:t>
      </w:r>
      <w:r>
        <w:rPr>
          <w:rStyle w:val="Codetext"/>
        </w:rPr>
        <w:t>ja</w:t>
      </w:r>
      <w:r>
        <w:t xml:space="preserve"> </w:t>
      </w:r>
      <w:r>
        <w:rPr>
          <w:noProof/>
        </w:rPr>
        <w:t>(</w:t>
      </w:r>
      <w:r>
        <w:rPr>
          <w:rStyle w:val="Foreign"/>
        </w:rPr>
        <w:t>a</w:t>
      </w:r>
      <w:r>
        <w:t xml:space="preserve"> corrected to </w:t>
      </w:r>
      <w:r>
        <w:rPr>
          <w:rStyle w:val="Foreign"/>
        </w:rPr>
        <w:t>ā</w:t>
      </w:r>
      <w:r>
        <w:t>)</w:t>
      </w:r>
    </w:p>
    <w:p w14:paraId="2D3B0044" w14:textId="77777777">
      <w:pPr>
        <w:pStyle w:val="Cmsor4"/>
      </w:pPr>
      <w:bookmarkStart w:id="640" w:name="_26gcps9vrjkt" w:colFirst="0" w:colLast="0"/>
      <w:bookmarkStart w:id="641" w:name="_Ref228885848"/>
      <w:bookmarkStart w:id="642" w:name="_Ref228888134"/>
      <w:bookmarkStart w:id="643" w:name="_Ref43988286"/>
      <w:bookmarkEnd w:id="640"/>
      <w:r>
        <w:t>Normalisation by substitution</w:t>
      </w:r>
      <w:bookmarkEnd w:id="641"/>
      <w:bookmarkEnd w:id="642"/>
    </w:p>
    <w:p w14:paraId="4B85F590" w14:textId="77777777">
      <w:pPr>
        <w:pStyle w:val="Lista"/>
      </w:pPr>
      <w:r>
        <w:t>to normalise a reading deemed non-standard,</w:t>
      </w:r>
    </w:p>
    <w:p w14:paraId="6D2A6C60" w14:textId="77777777">
      <w:pPr>
        <w:pStyle w:val="Lista2"/>
      </w:pPr>
      <w:r>
        <w:t xml:space="preserve">flag the original text with </w:t>
      </w:r>
      <w:r>
        <w:rPr>
          <w:rStyle w:val="Code"/>
        </w:rPr>
        <w:t>&lt;orig&gt;</w:t>
      </w:r>
    </w:p>
    <w:p w14:paraId="0F8CA1A1" w14:textId="77777777">
      <w:pPr>
        <w:pStyle w:val="Lista2"/>
      </w:pPr>
      <w:r>
        <w:t xml:space="preserve">add the normalised alternative directly after this, wrapped in the element </w:t>
      </w:r>
      <w:r>
        <w:rPr>
          <w:rStyle w:val="Code"/>
        </w:rPr>
        <w:t>&lt;reg&gt;</w:t>
      </w:r>
    </w:p>
    <w:p w14:paraId="21214F9E" w14:textId="77777777">
      <w:pPr>
        <w:pStyle w:val="Lista2"/>
      </w:pPr>
      <w:r>
        <w:t xml:space="preserve">and wrap both these elements together in the element </w:t>
      </w:r>
      <w:r>
        <w:rPr>
          <w:rStyle w:val="Code"/>
        </w:rPr>
        <w:t>&lt;choice&gt;</w:t>
      </w:r>
      <w:r>
        <w:t>, indicating that either, but not both, of the two is to be read at the given locus</w:t>
      </w:r>
    </w:p>
    <w:p w14:paraId="15F827BC" w14:textId="77777777">
      <w:pPr>
        <w:pStyle w:val="Lista2"/>
      </w:pPr>
      <w:r>
        <w:t>for the sake of consistency, the received reading shall always precede the editorial reading in DHARMA editions</w:t>
      </w:r>
    </w:p>
    <w:p w14:paraId="6C1907C6" w14:textId="77777777">
      <w:pPr>
        <w:pStyle w:val="Lista"/>
      </w:pPr>
      <w:r>
        <w:t xml:space="preserve">for example: </w:t>
      </w:r>
      <w:r>
        <w:rPr>
          <w:rStyle w:val="Codetext"/>
        </w:rPr>
        <w:t>e</w:t>
      </w:r>
      <w:r>
        <w:rPr>
          <w:rStyle w:val="Code"/>
        </w:rPr>
        <w:t>&lt;choice&gt;&lt;orig&gt;</w:t>
      </w:r>
      <w:r>
        <w:rPr>
          <w:rStyle w:val="Codetext"/>
        </w:rPr>
        <w:t>ś</w:t>
      </w:r>
      <w:r>
        <w:rPr>
          <w:rStyle w:val="Code"/>
        </w:rPr>
        <w:t>&lt;/orig&gt;&lt;reg&gt;</w:t>
      </w:r>
      <w:r>
        <w:rPr>
          <w:rStyle w:val="Codetext"/>
        </w:rPr>
        <w:t>ṣ</w:t>
      </w:r>
      <w:r>
        <w:rPr>
          <w:rStyle w:val="Code"/>
        </w:rPr>
        <w:t>&lt;/reg&gt;&lt;/choice&gt;</w:t>
      </w:r>
      <w:r>
        <w:rPr>
          <w:rStyle w:val="Codetext"/>
        </w:rPr>
        <w:t>a</w:t>
      </w:r>
      <w:r>
        <w:t xml:space="preserve"> </w:t>
      </w:r>
      <w:r>
        <w:rPr>
          <w:noProof/>
        </w:rPr>
        <w:t>(</w:t>
      </w:r>
      <w:r>
        <w:rPr>
          <w:rStyle w:val="Foreign"/>
        </w:rPr>
        <w:t>eśa</w:t>
      </w:r>
      <w:r>
        <w:t xml:space="preserve"> normalised to </w:t>
      </w:r>
      <w:r>
        <w:rPr>
          <w:rStyle w:val="Foreign"/>
        </w:rPr>
        <w:t>eṣa</w:t>
      </w:r>
      <w:r>
        <w:t>)</w:t>
      </w:r>
    </w:p>
    <w:p w14:paraId="174C24C7" w14:textId="77777777">
      <w:pPr>
        <w:pStyle w:val="Cmsor4"/>
      </w:pPr>
      <w:bookmarkStart w:id="644" w:name="_Ref229056247"/>
      <w:r>
        <w:t>Textual integrity in substitution</w:t>
      </w:r>
      <w:bookmarkEnd w:id="644"/>
    </w:p>
    <w:p w14:paraId="5F2BA4DB" w14:textId="77777777">
      <w:r>
        <w:t xml:space="preserve">When rectifying an anomalous reading by substitution, keep in mind that it must always be possible to produce the pristine received text by ignoring the segment tagged with </w:t>
      </w:r>
      <w:r>
        <w:rPr>
          <w:rStyle w:val="Code"/>
        </w:rPr>
        <w:t>&lt;corr&gt;</w:t>
      </w:r>
      <w:r>
        <w:t xml:space="preserve"> or </w:t>
      </w:r>
      <w:r>
        <w:rPr>
          <w:rStyle w:val="Code"/>
        </w:rPr>
        <w:t>&lt;reg&gt;</w:t>
      </w:r>
      <w:r>
        <w:t xml:space="preserve"> and, vice versa, to produce the pure rectified text by ignoring the segment tagged with </w:t>
      </w:r>
      <w:r>
        <w:rPr>
          <w:rStyle w:val="Code"/>
        </w:rPr>
        <w:t>&lt;sic&gt;</w:t>
      </w:r>
      <w:r>
        <w:t xml:space="preserve"> or </w:t>
      </w:r>
      <w:r>
        <w:rPr>
          <w:rStyle w:val="Code"/>
        </w:rPr>
        <w:t>&lt;orig&gt;</w:t>
      </w:r>
      <w:r>
        <w:t>. In other words, the tag for the received text must contain a segment exactly corresponding to that contained in the tag for the rectified text. Word boundaries, indicated by editorial spacing or hyphenation in our editions, may be separable in only one of the textual alternatives, in which case care must be taken to include the space or hyphen only in the applicable tag, but not in the other tag or outside the encoded intervention.</w:t>
      </w:r>
    </w:p>
    <w:p w14:paraId="2860591A" w14:textId="6F8DD5DF">
      <w:pPr>
        <w:pStyle w:val="Lista"/>
      </w:pPr>
      <w:r>
        <w:t>if you choose to include any context in your intervention (§</w:t>
      </w:r>
      <w:r>
        <w:fldChar w:fldCharType="begin"/>
      </w:r>
      <w:r>
        <w:instrText xml:space="preserve"> REF _Ref228973253 \r \h </w:instrText>
      </w:r>
      <w:r>
        <w:fldChar w:fldCharType="separate"/>
      </w:r>
      <w:r>
        <w:t>7.7.2</w:t>
      </w:r>
      <w:r>
        <w:fldChar w:fldCharType="end"/>
      </w:r>
      <w:r>
        <w:t>), then the context must be identically present in both of the tags, while if you exclude context, then care must be taken to exclude context from both tags; for example,</w:t>
      </w:r>
    </w:p>
    <w:p w14:paraId="1346F15F" w14:textId="77777777">
      <w:pPr>
        <w:pStyle w:val="Lista2"/>
      </w:pPr>
      <w:r>
        <w:t xml:space="preserve">in encoding a correction of </w:t>
      </w:r>
      <w:r>
        <w:rPr>
          <w:rStyle w:val="Foreign"/>
        </w:rPr>
        <w:t>pautrāḥ</w:t>
      </w:r>
      <w:r>
        <w:t xml:space="preserve"> to </w:t>
      </w:r>
      <w:r>
        <w:rPr>
          <w:rStyle w:val="Foreign"/>
        </w:rPr>
        <w:t>pautraḥ</w:t>
      </w:r>
      <w:r>
        <w:t>, each of the following are correct:</w:t>
      </w:r>
    </w:p>
    <w:p w14:paraId="23A68276" w14:textId="77777777">
      <w:pPr>
        <w:pStyle w:val="Lista3"/>
      </w:pPr>
      <w:r>
        <w:rPr>
          <w:rStyle w:val="Codetext"/>
        </w:rPr>
        <w:t>pautr</w:t>
      </w:r>
      <w:r>
        <w:rPr>
          <w:rStyle w:val="Code"/>
        </w:rPr>
        <w:t>&lt;choice&gt;&lt;sic&gt;</w:t>
      </w:r>
      <w:r>
        <w:rPr>
          <w:rStyle w:val="Codetext"/>
        </w:rPr>
        <w:t>ā</w:t>
      </w:r>
      <w:r>
        <w:rPr>
          <w:rStyle w:val="Code"/>
        </w:rPr>
        <w:t>&lt;/sic&gt;&lt;corr&gt;</w:t>
      </w:r>
      <w:r>
        <w:rPr>
          <w:rStyle w:val="Codetext"/>
        </w:rPr>
        <w:t>a</w:t>
      </w:r>
      <w:r>
        <w:rPr>
          <w:rStyle w:val="Code"/>
        </w:rPr>
        <w:t>&lt;/corr&gt;&lt;/choice&gt;</w:t>
      </w:r>
      <w:r>
        <w:rPr>
          <w:rStyle w:val="Codetext"/>
        </w:rPr>
        <w:t>ḥ</w:t>
      </w:r>
      <w:r>
        <w:t xml:space="preserve"> </w:t>
      </w:r>
      <w:r>
        <w:rPr>
          <w:noProof/>
        </w:rPr>
        <w:t>(</w:t>
      </w:r>
      <w:r>
        <w:t>targeting a single grapheme)</w:t>
      </w:r>
    </w:p>
    <w:p w14:paraId="45E79E24" w14:textId="77777777">
      <w:pPr>
        <w:pStyle w:val="Lista3"/>
      </w:pPr>
      <w:r>
        <w:rPr>
          <w:rStyle w:val="Codetext"/>
        </w:rPr>
        <w:t>pautr</w:t>
      </w:r>
      <w:r>
        <w:rPr>
          <w:rStyle w:val="Code"/>
        </w:rPr>
        <w:t>&lt;choice&gt;&lt;sic&gt;</w:t>
      </w:r>
      <w:r>
        <w:rPr>
          <w:rStyle w:val="Codetext"/>
        </w:rPr>
        <w:t>āḥ</w:t>
      </w:r>
      <w:r>
        <w:rPr>
          <w:rStyle w:val="Code"/>
        </w:rPr>
        <w:t>&lt;/sic&gt;&lt;corr&gt;</w:t>
      </w:r>
      <w:r>
        <w:rPr>
          <w:rStyle w:val="Codetext"/>
        </w:rPr>
        <w:t>aḥ</w:t>
      </w:r>
      <w:r>
        <w:rPr>
          <w:rStyle w:val="Code"/>
        </w:rPr>
        <w:t>&lt;/corr&gt;&lt;/choice&gt;</w:t>
      </w:r>
      <w:r>
        <w:t xml:space="preserve"> </w:t>
      </w:r>
      <w:r>
        <w:rPr>
          <w:noProof/>
        </w:rPr>
        <w:t>(</w:t>
      </w:r>
      <w:r>
        <w:t>including relevant context)</w:t>
      </w:r>
    </w:p>
    <w:p w14:paraId="61AAAA89" w14:textId="77777777">
      <w:pPr>
        <w:pStyle w:val="Lista3"/>
      </w:pPr>
      <w:r>
        <w:t>but each of the following are incorrect:</w:t>
      </w:r>
    </w:p>
    <w:p w14:paraId="6B5D3357" w14:textId="77777777">
      <w:pPr>
        <w:pStyle w:val="Lista4"/>
      </w:pPr>
      <w:r>
        <w:rPr>
          <w:rStyle w:val="Codetext"/>
        </w:rPr>
        <w:t>pautr</w:t>
      </w:r>
      <w:r>
        <w:rPr>
          <w:rStyle w:val="Code"/>
        </w:rPr>
        <w:t>&lt;choice&gt;&lt;sic&gt;</w:t>
      </w:r>
      <w:r>
        <w:rPr>
          <w:rStyle w:val="Codetext"/>
        </w:rPr>
        <w:t>āḥ</w:t>
      </w:r>
      <w:r>
        <w:rPr>
          <w:rStyle w:val="Code"/>
        </w:rPr>
        <w:t>&lt;/sic&gt;&lt;corr&gt;</w:t>
      </w:r>
      <w:r>
        <w:rPr>
          <w:rStyle w:val="Codetext"/>
        </w:rPr>
        <w:t>a</w:t>
      </w:r>
      <w:r>
        <w:rPr>
          <w:rStyle w:val="Code"/>
        </w:rPr>
        <w:t>&lt;/corr&gt;&lt;/choice&gt;</w:t>
      </w:r>
      <w:r>
        <w:rPr>
          <w:rStyle w:val="Codetext"/>
        </w:rPr>
        <w:t>ḥ</w:t>
      </w:r>
      <w:r>
        <w:t xml:space="preserve"> </w:t>
      </w:r>
      <w:r>
        <w:rPr>
          <w:noProof/>
        </w:rPr>
        <w:t>(</w:t>
      </w:r>
      <w:r>
        <w:t xml:space="preserve">this would mean a correction of </w:t>
      </w:r>
      <w:r>
        <w:rPr>
          <w:rStyle w:val="Foreign"/>
        </w:rPr>
        <w:t>pautrāḥḥ</w:t>
      </w:r>
      <w:r>
        <w:t xml:space="preserve"> to </w:t>
      </w:r>
      <w:r>
        <w:rPr>
          <w:rStyle w:val="Foreign"/>
        </w:rPr>
        <w:t>pautraḥ</w:t>
      </w:r>
      <w:r>
        <w:t>)</w:t>
      </w:r>
    </w:p>
    <w:p w14:paraId="71878E2F" w14:textId="77777777">
      <w:pPr>
        <w:pStyle w:val="Lista4"/>
      </w:pPr>
      <w:r>
        <w:rPr>
          <w:rStyle w:val="Codetext"/>
        </w:rPr>
        <w:t>pautr</w:t>
      </w:r>
      <w:r>
        <w:rPr>
          <w:rStyle w:val="Code"/>
        </w:rPr>
        <w:t>&lt;choice&gt;&lt;sic&gt;</w:t>
      </w:r>
      <w:r>
        <w:rPr>
          <w:rStyle w:val="Codetext"/>
        </w:rPr>
        <w:t>ā</w:t>
      </w:r>
      <w:r>
        <w:rPr>
          <w:rStyle w:val="Code"/>
        </w:rPr>
        <w:t>&lt;/sic&gt;&lt;corr&gt;</w:t>
      </w:r>
      <w:r>
        <w:rPr>
          <w:rStyle w:val="Codetext"/>
        </w:rPr>
        <w:t>ra</w:t>
      </w:r>
      <w:r>
        <w:rPr>
          <w:rStyle w:val="Code"/>
        </w:rPr>
        <w:t>&lt;/corr&gt;&lt;/choice&gt;</w:t>
      </w:r>
      <w:r>
        <w:rPr>
          <w:rStyle w:val="Codetext"/>
        </w:rPr>
        <w:t>ḥ</w:t>
      </w:r>
      <w:r>
        <w:t xml:space="preserve"> </w:t>
      </w:r>
      <w:r>
        <w:rPr>
          <w:noProof/>
        </w:rPr>
        <w:t>(</w:t>
      </w:r>
      <w:r>
        <w:t xml:space="preserve">this would mean a correction of </w:t>
      </w:r>
      <w:r>
        <w:rPr>
          <w:rStyle w:val="Foreign"/>
        </w:rPr>
        <w:t>pautrāḥ</w:t>
      </w:r>
      <w:r>
        <w:t xml:space="preserve"> to </w:t>
      </w:r>
      <w:r>
        <w:rPr>
          <w:rStyle w:val="Foreign"/>
        </w:rPr>
        <w:t>pautrraḥ</w:t>
      </w:r>
      <w:r>
        <w:t>)</w:t>
      </w:r>
    </w:p>
    <w:p w14:paraId="78668B65" w14:textId="77777777">
      <w:pPr>
        <w:pStyle w:val="Lista4"/>
      </w:pPr>
      <w:r>
        <w:rPr>
          <w:rStyle w:val="Codetext"/>
        </w:rPr>
        <w:t>paut</w:t>
      </w:r>
      <w:r>
        <w:rPr>
          <w:rStyle w:val="Code"/>
        </w:rPr>
        <w:t>&lt;choice&gt;&lt;sic&gt;</w:t>
      </w:r>
      <w:r>
        <w:rPr>
          <w:rStyle w:val="Codetext"/>
        </w:rPr>
        <w:t>rāḥ</w:t>
      </w:r>
      <w:r>
        <w:rPr>
          <w:rStyle w:val="Code"/>
        </w:rPr>
        <w:t>&lt;/sic&gt;&lt;corr&gt;</w:t>
      </w:r>
      <w:r>
        <w:rPr>
          <w:rStyle w:val="Codetext"/>
        </w:rPr>
        <w:t>aḥ</w:t>
      </w:r>
      <w:r>
        <w:rPr>
          <w:rStyle w:val="Code"/>
        </w:rPr>
        <w:t>&lt;/corr&gt;&lt;/choice&gt;</w:t>
      </w:r>
      <w:r>
        <w:t xml:space="preserve"> </w:t>
      </w:r>
      <w:r>
        <w:rPr>
          <w:noProof/>
        </w:rPr>
        <w:t>(</w:t>
      </w:r>
      <w:r>
        <w:t xml:space="preserve">this encodes a correction of </w:t>
      </w:r>
      <w:r>
        <w:rPr>
          <w:rStyle w:val="Foreign"/>
        </w:rPr>
        <w:t>pautrāḥ</w:t>
      </w:r>
      <w:r>
        <w:t xml:space="preserve"> to </w:t>
      </w:r>
      <w:r>
        <w:rPr>
          <w:rStyle w:val="Foreign"/>
        </w:rPr>
        <w:t>pautaḥ</w:t>
      </w:r>
      <w:r>
        <w:t>)</w:t>
      </w:r>
    </w:p>
    <w:p w14:paraId="10FE984E" w14:textId="77777777">
      <w:pPr>
        <w:pStyle w:val="Lista2"/>
      </w:pPr>
      <w:r>
        <w:t xml:space="preserve">in encoding a normalisation of </w:t>
      </w:r>
      <w:r>
        <w:rPr>
          <w:rStyle w:val="Foreign"/>
        </w:rPr>
        <w:t>yathāruha</w:t>
      </w:r>
      <w:r>
        <w:t xml:space="preserve"> to </w:t>
      </w:r>
      <w:r>
        <w:rPr>
          <w:rStyle w:val="Foreign"/>
        </w:rPr>
        <w:t>yathārhaṁ</w:t>
      </w:r>
      <w:r>
        <w:t>, each of the following are correct:</w:t>
      </w:r>
    </w:p>
    <w:p w14:paraId="1225B07F" w14:textId="77777777">
      <w:pPr>
        <w:pStyle w:val="Lista3"/>
      </w:pPr>
      <w:r>
        <w:rPr>
          <w:rStyle w:val="Code"/>
        </w:rPr>
        <w:t>&lt;choice&gt;&lt;orig&gt;</w:t>
      </w:r>
      <w:r>
        <w:rPr>
          <w:rStyle w:val="Codetext"/>
        </w:rPr>
        <w:t>yathāruhaṁ</w:t>
      </w:r>
      <w:r>
        <w:rPr>
          <w:rStyle w:val="Code"/>
        </w:rPr>
        <w:t>&lt;/orig&gt;&lt;reg&gt;</w:t>
      </w:r>
      <w:r>
        <w:rPr>
          <w:rStyle w:val="Codetext"/>
        </w:rPr>
        <w:t>yathārhaṁ</w:t>
      </w:r>
      <w:r>
        <w:rPr>
          <w:rStyle w:val="Code"/>
        </w:rPr>
        <w:t>&lt;/reg&gt;&lt;/choice&gt;</w:t>
      </w:r>
      <w:r>
        <w:t xml:space="preserve"> </w:t>
      </w:r>
      <w:r>
        <w:rPr>
          <w:noProof/>
        </w:rPr>
        <w:t>(</w:t>
      </w:r>
      <w:r>
        <w:t>targeting a whole word)</w:t>
      </w:r>
    </w:p>
    <w:p w14:paraId="4AF0A88A" w14:textId="77777777">
      <w:pPr>
        <w:pStyle w:val="Lista3"/>
      </w:pPr>
      <w:r>
        <w:rPr>
          <w:rStyle w:val="Codetext"/>
        </w:rPr>
        <w:t>yathā</w:t>
      </w:r>
      <w:r>
        <w:rPr>
          <w:rStyle w:val="Code"/>
        </w:rPr>
        <w:t>&lt;choice&gt;&lt;orig&gt;r</w:t>
      </w:r>
      <w:r>
        <w:rPr>
          <w:rStyle w:val="Codetext"/>
        </w:rPr>
        <w:t>uha</w:t>
      </w:r>
      <w:r>
        <w:rPr>
          <w:rStyle w:val="Code"/>
        </w:rPr>
        <w:t>&lt;/orig&gt;&lt;reg&gt;</w:t>
      </w:r>
      <w:r>
        <w:rPr>
          <w:rStyle w:val="Codetext"/>
        </w:rPr>
        <w:t>rhaṁ</w:t>
      </w:r>
      <w:r>
        <w:rPr>
          <w:rStyle w:val="Code"/>
        </w:rPr>
        <w:t>&lt;/reg&gt;&lt;/choice&gt;</w:t>
      </w:r>
      <w:r>
        <w:t xml:space="preserve"> </w:t>
      </w:r>
      <w:r>
        <w:rPr>
          <w:noProof/>
        </w:rPr>
        <w:t>(</w:t>
      </w:r>
      <w:r>
        <w:t>including only minimal context)</w:t>
      </w:r>
    </w:p>
    <w:p w14:paraId="0D7E9D03" w14:textId="77777777">
      <w:pPr>
        <w:pStyle w:val="Lista3"/>
      </w:pPr>
      <w:r>
        <w:t>but each of the following are incorrect:</w:t>
      </w:r>
    </w:p>
    <w:p w14:paraId="4D5A3EA0" w14:textId="77777777">
      <w:pPr>
        <w:pStyle w:val="Lista3"/>
      </w:pPr>
      <w:r>
        <w:rPr>
          <w:rStyle w:val="Code"/>
        </w:rPr>
        <w:t>&lt;choice&gt;&lt;orig&gt;</w:t>
      </w:r>
      <w:r>
        <w:rPr>
          <w:rStyle w:val="Codetext"/>
        </w:rPr>
        <w:t>yathāruha</w:t>
      </w:r>
      <w:r>
        <w:rPr>
          <w:rStyle w:val="Code"/>
        </w:rPr>
        <w:t>&lt;/orig&gt;&lt;reg&gt;</w:t>
      </w:r>
      <w:r>
        <w:rPr>
          <w:rStyle w:val="Codetext"/>
        </w:rPr>
        <w:t>yathārha</w:t>
      </w:r>
      <w:r>
        <w:rPr>
          <w:rStyle w:val="Code"/>
        </w:rPr>
        <w:t>&lt;/reg&gt;&lt;/choice&gt;</w:t>
      </w:r>
      <w:r>
        <w:rPr>
          <w:rStyle w:val="Codetext"/>
        </w:rPr>
        <w:t>ṁ</w:t>
      </w:r>
      <w:r>
        <w:t xml:space="preserve"> </w:t>
      </w:r>
      <w:r>
        <w:rPr>
          <w:noProof/>
        </w:rPr>
        <w:t>(</w:t>
      </w:r>
      <w:r>
        <w:t xml:space="preserve">this encodes a normalisation of </w:t>
      </w:r>
      <w:r>
        <w:rPr>
          <w:rStyle w:val="Foreign"/>
        </w:rPr>
        <w:t>yathāruhaṁ</w:t>
      </w:r>
      <w:r>
        <w:t xml:space="preserve"> to </w:t>
      </w:r>
      <w:r>
        <w:rPr>
          <w:rStyle w:val="Foreign"/>
        </w:rPr>
        <w:t>yathārhaṁ</w:t>
      </w:r>
      <w:r>
        <w:t>)</w:t>
      </w:r>
    </w:p>
    <w:p w14:paraId="1A21655B" w14:textId="77777777">
      <w:pPr>
        <w:pStyle w:val="Lista3"/>
      </w:pPr>
      <w:r>
        <w:rPr>
          <w:rStyle w:val="Code"/>
        </w:rPr>
        <w:lastRenderedPageBreak/>
        <w:t>&lt;choice&gt;&lt;orig&gt;</w:t>
      </w:r>
      <w:r>
        <w:rPr>
          <w:rStyle w:val="Codetext"/>
        </w:rPr>
        <w:t>yathāruha</w:t>
      </w:r>
      <w:r>
        <w:rPr>
          <w:rStyle w:val="Code"/>
        </w:rPr>
        <w:t>&lt;/orig&gt;&lt;reg&gt;</w:t>
      </w:r>
      <w:r>
        <w:rPr>
          <w:rStyle w:val="Codetext"/>
        </w:rPr>
        <w:t>rhaṁ</w:t>
      </w:r>
      <w:r>
        <w:rPr>
          <w:rStyle w:val="Code"/>
        </w:rPr>
        <w:t>&lt;/reg&gt;&lt;/choice&gt;</w:t>
      </w:r>
      <w:r>
        <w:t xml:space="preserve"> </w:t>
      </w:r>
      <w:r>
        <w:rPr>
          <w:noProof/>
        </w:rPr>
        <w:t>(</w:t>
      </w:r>
      <w:r>
        <w:t xml:space="preserve">this encodes a normalisation of </w:t>
      </w:r>
      <w:r>
        <w:rPr>
          <w:rStyle w:val="Foreign"/>
        </w:rPr>
        <w:t>yathāruha</w:t>
      </w:r>
      <w:r>
        <w:t xml:space="preserve"> to </w:t>
      </w:r>
      <w:r>
        <w:rPr>
          <w:rStyle w:val="Foreign"/>
        </w:rPr>
        <w:t>rhaṁ</w:t>
      </w:r>
      <w:r>
        <w:t>)</w:t>
      </w:r>
    </w:p>
    <w:p w14:paraId="0E3A16C0" w14:textId="77777777">
      <w:pPr>
        <w:pStyle w:val="Lista3"/>
      </w:pPr>
      <w:r>
        <w:rPr>
          <w:rStyle w:val="Codetext"/>
        </w:rPr>
        <w:t>yathār</w:t>
      </w:r>
      <w:r>
        <w:rPr>
          <w:rStyle w:val="Code"/>
        </w:rPr>
        <w:t>&lt;choice&gt;&lt;orig&gt;</w:t>
      </w:r>
      <w:r>
        <w:rPr>
          <w:rStyle w:val="Codetext"/>
        </w:rPr>
        <w:t>uha</w:t>
      </w:r>
      <w:r>
        <w:rPr>
          <w:rStyle w:val="Code"/>
        </w:rPr>
        <w:t>&lt;/orig&gt;&lt;reg&gt;</w:t>
      </w:r>
      <w:r>
        <w:rPr>
          <w:rStyle w:val="Codetext"/>
        </w:rPr>
        <w:t>rhaṁ</w:t>
      </w:r>
      <w:r>
        <w:rPr>
          <w:rStyle w:val="Code"/>
        </w:rPr>
        <w:t>&lt;/reg&gt;&lt;/choice&gt;</w:t>
      </w:r>
      <w:r>
        <w:t xml:space="preserve"> </w:t>
      </w:r>
      <w:r>
        <w:rPr>
          <w:noProof/>
        </w:rPr>
        <w:t>(</w:t>
      </w:r>
      <w:r>
        <w:t xml:space="preserve">this encodes a normalisation of </w:t>
      </w:r>
      <w:r>
        <w:rPr>
          <w:rStyle w:val="Foreign"/>
        </w:rPr>
        <w:t>yathāruha</w:t>
      </w:r>
      <w:r>
        <w:t xml:space="preserve"> to </w:t>
      </w:r>
      <w:r>
        <w:rPr>
          <w:rStyle w:val="Foreign"/>
        </w:rPr>
        <w:t>yathārrhaṁ</w:t>
      </w:r>
      <w:r>
        <w:t>)</w:t>
      </w:r>
    </w:p>
    <w:p w14:paraId="65876A30" w14:textId="77777777">
      <w:pPr>
        <w:pStyle w:val="Lista"/>
      </w:pPr>
      <w:r>
        <w:t>when substitution involves a separable word boundary, take care to maintain the separation (space or hyphen) where, and only where, it is technically possible</w:t>
      </w:r>
    </w:p>
    <w:p w14:paraId="1701943F" w14:textId="77777777">
      <w:pPr>
        <w:pStyle w:val="Lista2"/>
      </w:pPr>
      <w:r>
        <w:t>if both alternatives are separable, make sure that both are separated</w:t>
      </w:r>
    </w:p>
    <w:p w14:paraId="32A10270" w14:textId="77777777">
      <w:pPr>
        <w:pStyle w:val="Lista3"/>
      </w:pPr>
      <w:r>
        <w:t xml:space="preserve">e.g. </w:t>
      </w:r>
      <w:r>
        <w:rPr>
          <w:rStyle w:val="Codetext"/>
        </w:rPr>
        <w:t>dān</w:t>
      </w:r>
      <w:r>
        <w:rPr>
          <w:rStyle w:val="Code"/>
        </w:rPr>
        <w:t>&lt;choice&gt;&lt;orig&gt;</w:t>
      </w:r>
      <w:r>
        <w:rPr>
          <w:rStyle w:val="Codetext"/>
        </w:rPr>
        <w:t>ā ś</w:t>
      </w:r>
      <w:r>
        <w:rPr>
          <w:rStyle w:val="Code"/>
        </w:rPr>
        <w:t>&lt;/orig&gt;&lt;reg&gt;</w:t>
      </w:r>
      <w:r>
        <w:rPr>
          <w:rStyle w:val="Codetext"/>
        </w:rPr>
        <w:t>āc ch</w:t>
      </w:r>
      <w:r>
        <w:rPr>
          <w:rStyle w:val="Code"/>
        </w:rPr>
        <w:t>&lt;/reg&gt;&lt;/choice&gt;</w:t>
      </w:r>
      <w:r>
        <w:rPr>
          <w:rStyle w:val="Codetext"/>
        </w:rPr>
        <w:t>reyo</w:t>
      </w:r>
    </w:p>
    <w:p w14:paraId="65E75C73" w14:textId="77777777">
      <w:pPr>
        <w:pStyle w:val="Lista2"/>
      </w:pPr>
      <w:r>
        <w:t>if only the received alternative is separable, make sure the rectified alternative is not separated</w:t>
      </w:r>
    </w:p>
    <w:p w14:paraId="77D298D7" w14:textId="77777777">
      <w:pPr>
        <w:pStyle w:val="Lista3"/>
      </w:pPr>
      <w:r>
        <w:t xml:space="preserve">e.g. </w:t>
      </w:r>
      <w:r>
        <w:rPr>
          <w:rStyle w:val="Code"/>
        </w:rPr>
        <w:t>&lt;choice&gt;&lt;orig&gt;</w:t>
      </w:r>
      <w:r>
        <w:rPr>
          <w:rStyle w:val="Codetext"/>
        </w:rPr>
        <w:t>puṇya-vividuye</w:t>
      </w:r>
      <w:r>
        <w:rPr>
          <w:rStyle w:val="Code"/>
        </w:rPr>
        <w:t>&lt;/orig&gt;&lt;reg&gt;</w:t>
      </w:r>
      <w:r>
        <w:rPr>
          <w:rStyle w:val="Codetext"/>
        </w:rPr>
        <w:t>puṇyābhivr̥ddhaye</w:t>
      </w:r>
      <w:r>
        <w:rPr>
          <w:rStyle w:val="Code"/>
        </w:rPr>
        <w:t>&lt;/reg&gt;&lt;/choice&gt;</w:t>
      </w:r>
    </w:p>
    <w:p w14:paraId="653E73FA" w14:textId="77777777">
      <w:pPr>
        <w:pStyle w:val="Lista2"/>
      </w:pPr>
      <w:r>
        <w:t>if only the rectified alternative is separable, make sure the received alternative is not separated</w:t>
      </w:r>
    </w:p>
    <w:p w14:paraId="27F43209" w14:textId="77777777">
      <w:pPr>
        <w:pStyle w:val="Lista3"/>
        <w:rPr>
          <w:rStyle w:val="Codetext"/>
          <w:rFonts w:ascii="Gentium" w:hAnsi="Gentium" w:cs="Tiro Devanagari Sanskrit"/>
          <w:noProof w:val="0"/>
          <w:color w:val="auto"/>
          <w:shd w:val="clear" w:color="auto" w:fill="auto"/>
        </w:rPr>
      </w:pPr>
      <w:r>
        <w:t xml:space="preserve">e.g. </w:t>
      </w:r>
      <w:r>
        <w:rPr>
          <w:rStyle w:val="Codetext"/>
        </w:rPr>
        <w:t>umula</w:t>
      </w:r>
      <w:r>
        <w:rPr>
          <w:rStyle w:val="Code"/>
        </w:rPr>
        <w:t>&lt;choice&gt;&lt;orig&gt;</w:t>
      </w:r>
      <w:r>
        <w:rPr>
          <w:rStyle w:val="Codetext"/>
        </w:rPr>
        <w:t>t</w:t>
      </w:r>
      <w:r>
        <w:rPr>
          <w:rStyle w:val="Code"/>
        </w:rPr>
        <w:t>&lt;/orig&gt;&lt;reg&gt;</w:t>
      </w:r>
      <w:r>
        <w:rPr>
          <w:rStyle w:val="Codetext"/>
        </w:rPr>
        <w:t>t t</w:t>
      </w:r>
      <w:r>
        <w:rPr>
          <w:rStyle w:val="Code"/>
        </w:rPr>
        <w:t>&lt;/reg&gt;&lt;/choice&gt;</w:t>
      </w:r>
      <w:r>
        <w:rPr>
          <w:rStyle w:val="Codetext"/>
        </w:rPr>
        <w:t>a</w:t>
      </w:r>
    </w:p>
    <w:p w14:paraId="5E30528B" w14:textId="16404E01">
      <w:pPr>
        <w:pStyle w:val="Lista2"/>
      </w:pPr>
      <w:r>
        <w:t>see also §</w:t>
      </w:r>
      <w:r>
        <w:fldChar w:fldCharType="begin"/>
      </w:r>
      <w:r>
        <w:instrText xml:space="preserve"> REF _Ref232068629 \r \h </w:instrText>
      </w:r>
      <w:r>
        <w:fldChar w:fldCharType="separate"/>
      </w:r>
      <w:r>
        <w:t>7.8.1.1</w:t>
      </w:r>
      <w:r>
        <w:fldChar w:fldCharType="end"/>
      </w:r>
      <w:r>
        <w:t xml:space="preserve"> about the need to avoid spaces at the beginning and end of text-containing elements</w:t>
      </w:r>
    </w:p>
    <w:p w14:paraId="7EDB7F13" w14:textId="77777777">
      <w:pPr>
        <w:pStyle w:val="Cmsor3"/>
      </w:pPr>
      <w:bookmarkStart w:id="645" w:name="_Ref229054665"/>
      <w:bookmarkStart w:id="646" w:name="_Ref229056282"/>
      <w:bookmarkStart w:id="647" w:name="_Toc243922693"/>
      <w:bookmarkEnd w:id="643"/>
      <w:r>
        <w:t>Suppression: editorial deletion of superfluous text</w:t>
      </w:r>
      <w:bookmarkEnd w:id="645"/>
      <w:bookmarkEnd w:id="646"/>
      <w:bookmarkEnd w:id="647"/>
    </w:p>
    <w:p w14:paraId="45A70146" w14:textId="2D61CB7B">
      <w:r>
        <w:t>As noted in §</w:t>
      </w:r>
      <w:r>
        <w:fldChar w:fldCharType="begin"/>
      </w:r>
      <w:r>
        <w:instrText xml:space="preserve"> REF _Ref228885762 \r \h </w:instrText>
      </w:r>
      <w:r>
        <w:fldChar w:fldCharType="separate"/>
      </w:r>
      <w:r>
        <w:t>7.2.1</w:t>
      </w:r>
      <w:r>
        <w:fldChar w:fldCharType="end"/>
      </w:r>
      <w:r>
        <w:t>, editorial suppression is only used in DHARMA practice for superfluous graphemes written by mistake. When non-standard language can be normalised by removing one or more specific graphemes, use the generic encoding for normalisation by substitution (§</w:t>
      </w:r>
      <w:r>
        <w:fldChar w:fldCharType="begin"/>
      </w:r>
      <w:r>
        <w:instrText xml:space="preserve"> REF _Ref228885848 \r \h </w:instrText>
      </w:r>
      <w:r>
        <w:fldChar w:fldCharType="separate"/>
      </w:r>
      <w:r>
        <w:t>7.5.1.2</w:t>
      </w:r>
      <w:r>
        <w:fldChar w:fldCharType="end"/>
      </w:r>
      <w:r>
        <w:t>), with additional guidance on good practice in §</w:t>
      </w:r>
      <w:r>
        <w:fldChar w:fldCharType="begin"/>
      </w:r>
      <w:r>
        <w:instrText xml:space="preserve"> REF _Ref228957347 \r \h </w:instrText>
      </w:r>
      <w:r>
        <w:fldChar w:fldCharType="separate"/>
      </w:r>
      <w:r>
        <w:t>7.7.2.1</w:t>
      </w:r>
      <w:r>
        <w:fldChar w:fldCharType="end"/>
      </w:r>
      <w:r>
        <w:t>.</w:t>
      </w:r>
    </w:p>
    <w:p w14:paraId="32E8C08F" w14:textId="77777777">
      <w:pPr>
        <w:pStyle w:val="Lista"/>
      </w:pPr>
      <w:r>
        <w:t xml:space="preserve">to suppress superfluous graphemes deemed to be written by mistake, enclose the superfluous text in the element </w:t>
      </w:r>
      <w:r>
        <w:rPr>
          <w:rStyle w:val="Code"/>
        </w:rPr>
        <w:t>&lt;surplus&gt;</w:t>
      </w:r>
    </w:p>
    <w:p w14:paraId="262FF788" w14:textId="621DA523">
      <w:pPr>
        <w:pStyle w:val="Lista2"/>
      </w:pPr>
      <w:r>
        <w:t>before encoding editorial deletion, be sure that you have read and understood §</w:t>
      </w:r>
      <w:r>
        <w:fldChar w:fldCharType="begin"/>
      </w:r>
      <w:r>
        <w:instrText xml:space="preserve"> REF _Ref228952859 \r \h </w:instrText>
      </w:r>
      <w:r>
        <w:fldChar w:fldCharType="separate"/>
      </w:r>
      <w:r>
        <w:t>7.7.1</w:t>
      </w:r>
      <w:r>
        <w:fldChar w:fldCharType="end"/>
      </w:r>
    </w:p>
    <w:p w14:paraId="1937DE1F" w14:textId="77777777">
      <w:pPr>
        <w:pStyle w:val="Lista"/>
      </w:pPr>
      <w:r>
        <w:t>suppression is normally applicable to instances of dittography (repetition) involving graphically separable chunks of writing, including</w:t>
      </w:r>
    </w:p>
    <w:p w14:paraId="0F510A34" w14:textId="77777777">
      <w:pPr>
        <w:pStyle w:val="Lista2"/>
      </w:pPr>
      <w:r>
        <w:t xml:space="preserve">erroneous repetition of words, e.g. </w:t>
      </w:r>
      <w:r>
        <w:rPr>
          <w:rStyle w:val="Codetext"/>
        </w:rPr>
        <w:t xml:space="preserve">veda-vyāsena vyāsena </w:t>
      </w:r>
      <w:r>
        <w:rPr>
          <w:rStyle w:val="Code"/>
        </w:rPr>
        <w:t>&lt;surplus&gt;</w:t>
      </w:r>
      <w:r>
        <w:rPr>
          <w:rStyle w:val="Codetext"/>
        </w:rPr>
        <w:t>vyāsena</w:t>
      </w:r>
      <w:r>
        <w:rPr>
          <w:rStyle w:val="Code"/>
        </w:rPr>
        <w:t>&lt;/surplus&gt;</w:t>
      </w:r>
      <w:r>
        <w:t xml:space="preserve"> </w:t>
      </w:r>
      <w:r>
        <w:rPr>
          <w:noProof/>
        </w:rPr>
        <w:t>(</w:t>
      </w:r>
      <w:r>
        <w:t xml:space="preserve">three iterations of </w:t>
      </w:r>
      <w:r>
        <w:rPr>
          <w:rStyle w:val="Foreign"/>
        </w:rPr>
        <w:t>vyāsena</w:t>
      </w:r>
      <w:r>
        <w:t xml:space="preserve"> where two iterations are correct)</w:t>
      </w:r>
    </w:p>
    <w:p w14:paraId="3301368C" w14:textId="77777777">
      <w:pPr>
        <w:pStyle w:val="Lista2"/>
      </w:pPr>
      <w:r>
        <w:t xml:space="preserve">erroneous repetition of </w:t>
      </w:r>
      <w:r>
        <w:rPr>
          <w:rStyle w:val="Foreign"/>
        </w:rPr>
        <w:t>akṣara</w:t>
      </w:r>
      <w:r>
        <w:rPr>
          <w:rStyle w:val="Foreign"/>
          <w:i w:val="0"/>
          <w:iCs w:val="0"/>
        </w:rPr>
        <w:t>s</w:t>
      </w:r>
      <w:r>
        <w:t xml:space="preserve">, e.g. </w:t>
      </w:r>
      <w:r>
        <w:rPr>
          <w:rStyle w:val="Codetext"/>
        </w:rPr>
        <w:t>naika-samara-śata</w:t>
      </w:r>
      <w:r>
        <w:rPr>
          <w:rStyle w:val="Code"/>
        </w:rPr>
        <w:t>&lt;surplus&gt;</w:t>
      </w:r>
      <w:r>
        <w:rPr>
          <w:rStyle w:val="Codetext"/>
        </w:rPr>
        <w:t>ta</w:t>
      </w:r>
      <w:r>
        <w:rPr>
          <w:rStyle w:val="Code"/>
        </w:rPr>
        <w:t>&lt;/surplus&gt;</w:t>
      </w:r>
      <w:r>
        <w:rPr>
          <w:rStyle w:val="Codetext"/>
        </w:rPr>
        <w:t>vijayinā</w:t>
      </w:r>
      <w:r>
        <w:t xml:space="preserve"> </w:t>
      </w:r>
      <w:r>
        <w:rPr>
          <w:noProof/>
        </w:rPr>
        <w:t>(</w:t>
      </w:r>
      <w:r>
        <w:rPr>
          <w:rStyle w:val="Foreign"/>
        </w:rPr>
        <w:t>śatata</w:t>
      </w:r>
      <w:r>
        <w:t xml:space="preserve"> was inscribed instead of </w:t>
      </w:r>
      <w:r>
        <w:rPr>
          <w:rStyle w:val="Foreign"/>
        </w:rPr>
        <w:t>śata</w:t>
      </w:r>
      <w:r>
        <w:t>)</w:t>
      </w:r>
    </w:p>
    <w:p w14:paraId="5096618A" w14:textId="5907575F">
      <w:pPr>
        <w:pStyle w:val="Lista"/>
      </w:pPr>
      <w:r>
        <w:t>when individual and graphically inseparable superfluous graphemes appear for a reason other than erroneous repetition, choose at your discretion whether to treat them as mistakes and suppress them, or to treat them as non-standard usage and flag them (§</w:t>
      </w:r>
      <w:r>
        <w:fldChar w:fldCharType="begin"/>
      </w:r>
      <w:r>
        <w:instrText xml:space="preserve"> REF _Ref228886903 \r \h </w:instrText>
      </w:r>
      <w:r>
        <w:fldChar w:fldCharType="separate"/>
      </w:r>
      <w:r>
        <w:t>7.4.2</w:t>
      </w:r>
      <w:r>
        <w:fldChar w:fldCharType="end"/>
      </w:r>
      <w:r>
        <w:t>) without suppression or rectify them by substitution (§</w:t>
      </w:r>
      <w:r>
        <w:fldChar w:fldCharType="begin"/>
      </w:r>
      <w:r>
        <w:instrText xml:space="preserve"> REF _Ref228888134 \r \h </w:instrText>
      </w:r>
      <w:r>
        <w:fldChar w:fldCharType="separate"/>
      </w:r>
      <w:r>
        <w:t>7.5.1.2</w:t>
      </w:r>
      <w:r>
        <w:fldChar w:fldCharType="end"/>
      </w:r>
      <w:r>
        <w:t>), including cases such as</w:t>
      </w:r>
    </w:p>
    <w:p w14:paraId="3428CC51" w14:textId="77777777">
      <w:pPr>
        <w:pStyle w:val="Lista2"/>
      </w:pPr>
      <w:r>
        <w:t xml:space="preserve">hypercorrection, e.g. </w:t>
      </w:r>
      <w:r>
        <w:rPr>
          <w:rStyle w:val="Foreign"/>
        </w:rPr>
        <w:t>dattaḥs tataḥ</w:t>
      </w:r>
    </w:p>
    <w:p w14:paraId="1C330975" w14:textId="77777777">
      <w:pPr>
        <w:pStyle w:val="Lista3"/>
        <w:rPr>
          <w:rStyle w:val="Codetext"/>
          <w:rFonts w:ascii="Gentium" w:hAnsi="Gentium" w:cs="Tiro Devanagari Sanskrit"/>
          <w:noProof w:val="0"/>
          <w:color w:val="auto"/>
          <w:shd w:val="clear" w:color="auto" w:fill="auto"/>
        </w:rPr>
      </w:pPr>
      <w:r>
        <w:t xml:space="preserve">suppressed as error: </w:t>
      </w:r>
      <w:r>
        <w:rPr>
          <w:rStyle w:val="Codetext"/>
        </w:rPr>
        <w:t>datta</w:t>
      </w:r>
      <w:r>
        <w:rPr>
          <w:rStyle w:val="Code"/>
        </w:rPr>
        <w:t>&lt;surplus&gt;</w:t>
      </w:r>
      <w:r>
        <w:rPr>
          <w:rStyle w:val="Codetext"/>
        </w:rPr>
        <w:t>ḥ</w:t>
      </w:r>
      <w:r>
        <w:rPr>
          <w:rStyle w:val="Code"/>
        </w:rPr>
        <w:t>&lt;/surplus&gt;</w:t>
      </w:r>
      <w:r>
        <w:rPr>
          <w:rStyle w:val="Codetext"/>
        </w:rPr>
        <w:t>s tataḥ</w:t>
      </w:r>
    </w:p>
    <w:p w14:paraId="6CFE92A9" w14:textId="77777777">
      <w:pPr>
        <w:pStyle w:val="Lista3"/>
      </w:pPr>
      <w:r>
        <w:t xml:space="preserve">flagged as non-standard: </w:t>
      </w:r>
      <w:r>
        <w:rPr>
          <w:rStyle w:val="Codetext"/>
        </w:rPr>
        <w:t>datta</w:t>
      </w:r>
      <w:r>
        <w:rPr>
          <w:rStyle w:val="Code"/>
        </w:rPr>
        <w:t>&lt;orig&gt;</w:t>
      </w:r>
      <w:r>
        <w:rPr>
          <w:rStyle w:val="Codetext"/>
        </w:rPr>
        <w:t>ḥ</w:t>
      </w:r>
      <w:r>
        <w:rPr>
          <w:rStyle w:val="Code"/>
        </w:rPr>
        <w:t>&lt;/orig&gt;</w:t>
      </w:r>
      <w:r>
        <w:rPr>
          <w:rStyle w:val="Codetext"/>
        </w:rPr>
        <w:t>s tataḥ</w:t>
      </w:r>
    </w:p>
    <w:p w14:paraId="7D4D5055" w14:textId="77777777">
      <w:pPr>
        <w:pStyle w:val="Lista3"/>
      </w:pPr>
      <w:r>
        <w:t xml:space="preserve">normalised: </w:t>
      </w:r>
      <w:r>
        <w:rPr>
          <w:rStyle w:val="Codetext"/>
        </w:rPr>
        <w:t>datta</w:t>
      </w:r>
      <w:r>
        <w:rPr>
          <w:rStyle w:val="Code"/>
        </w:rPr>
        <w:t>&lt;choice&gt;&lt;orig&gt;</w:t>
      </w:r>
      <w:r>
        <w:rPr>
          <w:rStyle w:val="Codetext"/>
        </w:rPr>
        <w:t>ḥs</w:t>
      </w:r>
      <w:r>
        <w:rPr>
          <w:rStyle w:val="Code"/>
        </w:rPr>
        <w:t>&lt;/orig&gt;&lt;reg&gt;</w:t>
      </w:r>
      <w:r>
        <w:rPr>
          <w:rStyle w:val="Codetext"/>
        </w:rPr>
        <w:t>s</w:t>
      </w:r>
      <w:r>
        <w:rPr>
          <w:rStyle w:val="Code"/>
        </w:rPr>
        <w:t>&lt;/reg&gt;&lt;/choice&gt;</w:t>
      </w:r>
      <w:r>
        <w:rPr>
          <w:rStyle w:val="Codetext"/>
        </w:rPr>
        <w:t xml:space="preserve"> tataḥ</w:t>
      </w:r>
    </w:p>
    <w:p w14:paraId="1A0FBF4C" w14:textId="77777777">
      <w:pPr>
        <w:pStyle w:val="Lista2"/>
      </w:pPr>
      <w:r>
        <w:t xml:space="preserve">pre-nasalisation, e.g. </w:t>
      </w:r>
      <w:r>
        <w:rPr>
          <w:rStyle w:val="Foreign"/>
        </w:rPr>
        <w:t>putrāṇāṁm api</w:t>
      </w:r>
    </w:p>
    <w:p w14:paraId="692A882B" w14:textId="77777777">
      <w:pPr>
        <w:pStyle w:val="Lista3"/>
        <w:rPr>
          <w:rStyle w:val="Code"/>
          <w:rFonts w:ascii="Gentium" w:hAnsi="Gentium" w:cs="Tiro Devanagari Sanskrit"/>
          <w:noProof w:val="0"/>
          <w:color w:val="auto"/>
          <w:shd w:val="clear" w:color="auto" w:fill="auto"/>
        </w:rPr>
      </w:pPr>
      <w:r>
        <w:t xml:space="preserve">suppressed as error: </w:t>
      </w:r>
      <w:r>
        <w:rPr>
          <w:rStyle w:val="Codetext"/>
        </w:rPr>
        <w:t>putrāṇā</w:t>
      </w:r>
      <w:r>
        <w:rPr>
          <w:rStyle w:val="Code"/>
        </w:rPr>
        <w:t>&lt;surplus&gt;</w:t>
      </w:r>
      <w:r>
        <w:rPr>
          <w:rStyle w:val="Codetext"/>
        </w:rPr>
        <w:t>ṁ</w:t>
      </w:r>
      <w:r>
        <w:rPr>
          <w:rStyle w:val="Code"/>
        </w:rPr>
        <w:t>&lt;/surplus&gt;m api</w:t>
      </w:r>
    </w:p>
    <w:p w14:paraId="1FB6D75A" w14:textId="77777777">
      <w:pPr>
        <w:pStyle w:val="Lista3"/>
      </w:pPr>
      <w:r>
        <w:t xml:space="preserve">flagged as non-standard: </w:t>
      </w:r>
      <w:r>
        <w:rPr>
          <w:rStyle w:val="Codetext"/>
        </w:rPr>
        <w:t>putrāṇā</w:t>
      </w:r>
      <w:r>
        <w:rPr>
          <w:rStyle w:val="Code"/>
        </w:rPr>
        <w:t>&lt;orig&gt;</w:t>
      </w:r>
      <w:r>
        <w:rPr>
          <w:rStyle w:val="Codetext"/>
        </w:rPr>
        <w:t>ṁ</w:t>
      </w:r>
      <w:r>
        <w:rPr>
          <w:rStyle w:val="Code"/>
        </w:rPr>
        <w:t>&lt;/orig&gt;m api</w:t>
      </w:r>
    </w:p>
    <w:p w14:paraId="44706998" w14:textId="77777777">
      <w:pPr>
        <w:pStyle w:val="Lista3"/>
      </w:pPr>
      <w:r>
        <w:t xml:space="preserve">normalised: </w:t>
      </w:r>
      <w:r>
        <w:rPr>
          <w:rStyle w:val="Codetext"/>
        </w:rPr>
        <w:t>putrāṇā</w:t>
      </w:r>
      <w:r>
        <w:rPr>
          <w:rStyle w:val="Code"/>
        </w:rPr>
        <w:t>&lt;choice&gt;&lt;orig&gt;</w:t>
      </w:r>
      <w:r>
        <w:rPr>
          <w:rStyle w:val="Codetext"/>
        </w:rPr>
        <w:t>ṁm</w:t>
      </w:r>
      <w:r>
        <w:rPr>
          <w:rStyle w:val="Code"/>
        </w:rPr>
        <w:t>&lt;/orig&gt;&lt;reg&gt;</w:t>
      </w:r>
      <w:r>
        <w:rPr>
          <w:rStyle w:val="Codetext"/>
        </w:rPr>
        <w:t>m</w:t>
      </w:r>
      <w:r>
        <w:rPr>
          <w:rStyle w:val="Code"/>
        </w:rPr>
        <w:t>&lt;/reg&gt;&lt;/choice&gt;</w:t>
      </w:r>
      <w:r>
        <w:rPr>
          <w:rStyle w:val="Codetext"/>
        </w:rPr>
        <w:t xml:space="preserve"> api</w:t>
      </w:r>
    </w:p>
    <w:p w14:paraId="278FB427" w14:textId="77777777">
      <w:pPr>
        <w:pStyle w:val="Cmsor3"/>
      </w:pPr>
      <w:bookmarkStart w:id="648" w:name="_mhw0d0be1rtp" w:colFirst="0" w:colLast="0"/>
      <w:bookmarkStart w:id="649" w:name="_Ref228873746"/>
      <w:bookmarkStart w:id="650" w:name="_Ref229056324"/>
      <w:bookmarkStart w:id="651" w:name="_Toc243922694"/>
      <w:bookmarkEnd w:id="648"/>
      <w:r>
        <w:t>Restitution</w:t>
      </w:r>
      <w:bookmarkEnd w:id="649"/>
      <w:r>
        <w:t>: editorial addition of omitted text</w:t>
      </w:r>
      <w:bookmarkEnd w:id="650"/>
      <w:bookmarkEnd w:id="651"/>
    </w:p>
    <w:p w14:paraId="4EFEFE08" w14:textId="7A3D820B">
      <w:r>
        <w:t>As noted in §</w:t>
      </w:r>
      <w:r>
        <w:fldChar w:fldCharType="begin"/>
      </w:r>
      <w:r>
        <w:instrText xml:space="preserve"> REF _Ref228885762 \r \h </w:instrText>
      </w:r>
      <w:r>
        <w:fldChar w:fldCharType="separate"/>
      </w:r>
      <w:r>
        <w:t>7.2.1</w:t>
      </w:r>
      <w:r>
        <w:fldChar w:fldCharType="end"/>
      </w:r>
      <w:r>
        <w:t>, editorial restitution is only used in DHARMA practice for supplying text omitted by mistake. When non-standard text can be normalised by adding one or more specific graphemes, use the generic encoding for normalisation by substitution (§</w:t>
      </w:r>
      <w:r>
        <w:fldChar w:fldCharType="begin"/>
      </w:r>
      <w:r>
        <w:instrText xml:space="preserve"> REF _Ref228885848 \r \h </w:instrText>
      </w:r>
      <w:r>
        <w:fldChar w:fldCharType="separate"/>
      </w:r>
      <w:r>
        <w:t>7.5.1.2</w:t>
      </w:r>
      <w:r>
        <w:fldChar w:fldCharType="end"/>
      </w:r>
      <w:r>
        <w:t>), with additional guidance on good practice in §</w:t>
      </w:r>
      <w:r>
        <w:fldChar w:fldCharType="begin"/>
      </w:r>
      <w:r>
        <w:instrText xml:space="preserve"> REF _Ref228957347 \r \h </w:instrText>
      </w:r>
      <w:r>
        <w:fldChar w:fldCharType="separate"/>
      </w:r>
      <w:r>
        <w:t>7.7.2.1</w:t>
      </w:r>
      <w:r>
        <w:fldChar w:fldCharType="end"/>
      </w:r>
      <w:r>
        <w:t>.</w:t>
      </w:r>
    </w:p>
    <w:p w14:paraId="276445C9" w14:textId="3DA29418">
      <w:pPr>
        <w:pStyle w:val="Normlbehzs"/>
      </w:pPr>
      <w:r>
        <w:t>Scribal omissions that you do not correct are to be encoded as per §</w:t>
      </w:r>
      <w:r>
        <w:fldChar w:fldCharType="begin"/>
      </w:r>
      <w:r>
        <w:instrText xml:space="preserve"> REF _Ref228887612 \r \h </w:instrText>
      </w:r>
      <w:r>
        <w:fldChar w:fldCharType="separate"/>
      </w:r>
      <w:r>
        <w:t>7.6</w:t>
      </w:r>
      <w:r>
        <w:fldChar w:fldCharType="end"/>
      </w:r>
      <w:r>
        <w:t>, while omissions corrected by a premodern editor on the original support are covered under §</w:t>
      </w:r>
      <w:r>
        <w:fldChar w:fldCharType="begin"/>
      </w:r>
      <w:r>
        <w:instrText xml:space="preserve"> REF _Ref43978471 \r \h </w:instrText>
      </w:r>
      <w:r>
        <w:fldChar w:fldCharType="separate"/>
      </w:r>
      <w:r>
        <w:t>5.5.2</w:t>
      </w:r>
      <w:r>
        <w:fldChar w:fldCharType="end"/>
      </w:r>
      <w:r>
        <w:t>.</w:t>
      </w:r>
    </w:p>
    <w:p w14:paraId="4CD5F16E" w14:textId="74388335">
      <w:pPr>
        <w:pStyle w:val="Normlbehzs"/>
      </w:pPr>
      <w:r>
        <w:t>Neither punctuation nor numbering must be supplied at the ends of stanzas or verse lines in DHARMA editions, because the encoding of verse containers (§</w:t>
      </w:r>
      <w:r>
        <w:fldChar w:fldCharType="begin"/>
      </w:r>
      <w:r>
        <w:instrText xml:space="preserve"> REF _Ref224740501 \r \h </w:instrText>
      </w:r>
      <w:r>
        <w:fldChar w:fldCharType="separate"/>
      </w:r>
      <w:r>
        <w:t>3.2.2</w:t>
      </w:r>
      <w:r>
        <w:fldChar w:fldCharType="end"/>
      </w:r>
      <w:r>
        <w:t>) takes care of the segmentation and numeration of metrical units. Guidance for adding editorial punctuation in other situations is given in §</w:t>
      </w:r>
      <w:r>
        <w:fldChar w:fldCharType="begin"/>
      </w:r>
      <w:r>
        <w:instrText xml:space="preserve"> REF _Ref229060537 \r \h </w:instrText>
      </w:r>
      <w:r>
        <w:fldChar w:fldCharType="separate"/>
      </w:r>
      <w:r>
        <w:t>7.8.3</w:t>
      </w:r>
      <w:r>
        <w:fldChar w:fldCharType="end"/>
      </w:r>
      <w:r>
        <w:t xml:space="preserve">, and editorial </w:t>
      </w:r>
      <w:r>
        <w:rPr>
          <w:rStyle w:val="Foreign"/>
        </w:rPr>
        <w:t>avagraha</w:t>
      </w:r>
      <w:r>
        <w:t xml:space="preserve"> is addressed in §</w:t>
      </w:r>
      <w:r>
        <w:fldChar w:fldCharType="begin"/>
      </w:r>
      <w:r>
        <w:instrText xml:space="preserve"> REF _Ref229062653 \r \h </w:instrText>
      </w:r>
      <w:r>
        <w:fldChar w:fldCharType="separate"/>
      </w:r>
      <w:r>
        <w:t>7.8.3</w:t>
      </w:r>
      <w:r>
        <w:fldChar w:fldCharType="end"/>
      </w:r>
      <w:r>
        <w:t>.</w:t>
      </w:r>
    </w:p>
    <w:p w14:paraId="469BF8C1" w14:textId="4464B8F0">
      <w:pPr>
        <w:pStyle w:val="Lista"/>
      </w:pPr>
      <w:r>
        <w:lastRenderedPageBreak/>
        <w:t xml:space="preserve">to restitute graphemes deemed to be omitted by mistake, enclose the added text in the element </w:t>
      </w:r>
      <w:r>
        <w:rPr>
          <w:rStyle w:val="Code"/>
        </w:rPr>
        <w:t>&lt;supplied&gt;</w:t>
      </w:r>
      <w:r>
        <w:t xml:space="preserve"> using the mandatory attribute </w:t>
      </w:r>
      <w:r>
        <w:rPr>
          <w:rStyle w:val="Codeattribute"/>
        </w:rPr>
        <w:t>@reason</w:t>
      </w:r>
      <w:r>
        <w:t xml:space="preserve"> with the value </w:t>
      </w:r>
      <w:r>
        <w:rPr>
          <w:rStyle w:val="Codevalue"/>
        </w:rPr>
        <w:t>"omitted"</w:t>
      </w:r>
      <w:r>
        <w:t xml:space="preserve"> to distinguish this from a restoration of a lacuna </w:t>
      </w:r>
      <w:r>
        <w:rPr>
          <w:noProof/>
        </w:rPr>
        <w:t>(</w:t>
      </w:r>
      <w:r>
        <w:t>§</w:t>
      </w:r>
      <w:r>
        <w:fldChar w:fldCharType="begin"/>
      </w:r>
      <w:r>
        <w:instrText xml:space="preserve"> REF _Ref43979611 \r \h </w:instrText>
      </w:r>
      <w:r>
        <w:fldChar w:fldCharType="separate"/>
      </w:r>
      <w:r>
        <w:t>6.4</w:t>
      </w:r>
      <w:r>
        <w:fldChar w:fldCharType="end"/>
      </w:r>
      <w:r>
        <w:t>)</w:t>
      </w:r>
    </w:p>
    <w:p w14:paraId="68A2DE40" w14:textId="143D4661">
      <w:pPr>
        <w:pStyle w:val="Lista2"/>
      </w:pPr>
      <w:r>
        <w:t>before encoding editorial addition, be sure that you have read and understood §</w:t>
      </w:r>
      <w:r>
        <w:fldChar w:fldCharType="begin"/>
      </w:r>
      <w:r>
        <w:instrText xml:space="preserve"> REF _Ref228952859 \r \h </w:instrText>
      </w:r>
      <w:r>
        <w:fldChar w:fldCharType="separate"/>
      </w:r>
      <w:r>
        <w:t>7.7.1</w:t>
      </w:r>
      <w:r>
        <w:fldChar w:fldCharType="end"/>
      </w:r>
    </w:p>
    <w:p w14:paraId="4B352ACB" w14:textId="77777777">
      <w:pPr>
        <w:pStyle w:val="Lista"/>
      </w:pPr>
      <w:r>
        <w:t>restitution is normally applicable to the omission of graphically separable chunks of writing, including</w:t>
      </w:r>
    </w:p>
    <w:p w14:paraId="51B79D04" w14:textId="77777777">
      <w:pPr>
        <w:pStyle w:val="Lista2"/>
      </w:pPr>
      <w:r>
        <w:t xml:space="preserve">omitted </w:t>
      </w:r>
      <w:r>
        <w:rPr>
          <w:rStyle w:val="Foreign"/>
        </w:rPr>
        <w:t>akṣara</w:t>
      </w:r>
      <w:r>
        <w:rPr>
          <w:rStyle w:val="Foreign"/>
          <w:i w:val="0"/>
          <w:iCs w:val="0"/>
        </w:rPr>
        <w:t>s</w:t>
      </w:r>
      <w:r>
        <w:t xml:space="preserve">, e.g. </w:t>
      </w:r>
      <w:r>
        <w:rPr>
          <w:rStyle w:val="Codetext"/>
        </w:rPr>
        <w:t>dhanada-varuṇendrānta</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ka</w:t>
      </w:r>
      <w:r>
        <w:rPr>
          <w:rStyle w:val="Code"/>
        </w:rPr>
        <w:t>&lt;/supplied&gt;</w:t>
      </w:r>
      <w:r>
        <w:rPr>
          <w:rStyle w:val="Codetext"/>
        </w:rPr>
        <w:t>-samasya</w:t>
      </w:r>
    </w:p>
    <w:p w14:paraId="0C0F722E" w14:textId="77777777">
      <w:pPr>
        <w:pStyle w:val="Lista2"/>
        <w:rPr>
          <w:rStyle w:val="Codetext"/>
          <w:rFonts w:ascii="Gentium" w:hAnsi="Gentium" w:cs="Tiro Devanagari Sanskrit"/>
          <w:noProof w:val="0"/>
          <w:color w:val="auto"/>
          <w:shd w:val="clear" w:color="auto" w:fill="auto"/>
        </w:rPr>
      </w:pPr>
      <w:r>
        <w:t xml:space="preserve">omitted words, e.g. </w:t>
      </w:r>
      <w:r>
        <w:rPr>
          <w:rStyle w:val="Codetext"/>
        </w:rPr>
        <w:t xml:space="preserve">tasya </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tasya</w:t>
      </w:r>
      <w:r>
        <w:rPr>
          <w:rStyle w:val="Code"/>
        </w:rPr>
        <w:t>&lt;/supplied&gt;</w:t>
      </w:r>
      <w:r>
        <w:rPr>
          <w:rStyle w:val="Codetext"/>
        </w:rPr>
        <w:t xml:space="preserve"> tadā phalaM</w:t>
      </w:r>
    </w:p>
    <w:p w14:paraId="479C0C60" w14:textId="77777777">
      <w:pPr>
        <w:pStyle w:val="Lista2"/>
      </w:pPr>
      <w:r>
        <w:t>longer omitted strings of glyphs, when they can be supplied on the basis of sound conjecture or parallel texts</w:t>
      </w:r>
    </w:p>
    <w:p w14:paraId="4893AB85" w14:textId="693ADC9F">
      <w:pPr>
        <w:pStyle w:val="Lista"/>
      </w:pPr>
      <w:r>
        <w:t>when individual and graphically inseparable graphemes are missing, choose at your discretion whether to treat their absence as a mistake and supply them, or to treat this as non-standard usage and flag their context (§</w:t>
      </w:r>
      <w:r>
        <w:fldChar w:fldCharType="begin"/>
      </w:r>
      <w:r>
        <w:instrText xml:space="preserve"> REF _Ref228886903 \r \h </w:instrText>
      </w:r>
      <w:r>
        <w:fldChar w:fldCharType="separate"/>
      </w:r>
      <w:r>
        <w:t>7.4.2</w:t>
      </w:r>
      <w:r>
        <w:fldChar w:fldCharType="end"/>
      </w:r>
      <w:r>
        <w:t>) without supplying the missing graphemes or rectify them by substitution (§</w:t>
      </w:r>
      <w:r>
        <w:fldChar w:fldCharType="begin"/>
      </w:r>
      <w:r>
        <w:instrText xml:space="preserve"> REF _Ref228888134 \r \h </w:instrText>
      </w:r>
      <w:r>
        <w:fldChar w:fldCharType="separate"/>
      </w:r>
      <w:r>
        <w:t>7.5.1.2</w:t>
      </w:r>
      <w:r>
        <w:fldChar w:fldCharType="end"/>
      </w:r>
      <w:r>
        <w:t xml:space="preserve">), including cases such as </w:t>
      </w:r>
    </w:p>
    <w:p w14:paraId="6427F5B1" w14:textId="77777777">
      <w:pPr>
        <w:pStyle w:val="Lista2"/>
      </w:pPr>
      <w:r>
        <w:t xml:space="preserve">potential non-standard language, e.g. </w:t>
      </w:r>
      <w:r>
        <w:rPr>
          <w:rStyle w:val="Foreign"/>
        </w:rPr>
        <w:t>dhamma</w:t>
      </w:r>
    </w:p>
    <w:p w14:paraId="6C09621D" w14:textId="77777777">
      <w:pPr>
        <w:pStyle w:val="Lista3"/>
      </w:pPr>
      <w:r>
        <w:t xml:space="preserve">restituted: </w:t>
      </w:r>
      <w:r>
        <w:rPr>
          <w:rStyle w:val="Codetext"/>
        </w:rPr>
        <w:t>dha</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r</w:t>
      </w:r>
      <w:r>
        <w:rPr>
          <w:rStyle w:val="Code"/>
        </w:rPr>
        <w:t>&lt;/supplied&gt;</w:t>
      </w:r>
      <w:r>
        <w:rPr>
          <w:rStyle w:val="Codetext"/>
        </w:rPr>
        <w:t>mma</w:t>
      </w:r>
    </w:p>
    <w:p w14:paraId="3F05D212" w14:textId="77777777">
      <w:pPr>
        <w:pStyle w:val="Lista3"/>
      </w:pPr>
      <w:r>
        <w:t xml:space="preserve">flagged as non-standard: </w:t>
      </w:r>
      <w:r>
        <w:rPr>
          <w:rStyle w:val="Codetext"/>
        </w:rPr>
        <w:t>dha</w:t>
      </w:r>
      <w:r>
        <w:rPr>
          <w:rStyle w:val="Code"/>
        </w:rPr>
        <w:t>&lt;orig&gt;</w:t>
      </w:r>
      <w:r>
        <w:rPr>
          <w:rStyle w:val="Codetext"/>
        </w:rPr>
        <w:t>mma</w:t>
      </w:r>
      <w:r>
        <w:rPr>
          <w:rStyle w:val="Code"/>
        </w:rPr>
        <w:t>&lt;/orig&gt;</w:t>
      </w:r>
    </w:p>
    <w:p w14:paraId="5D58C6CB" w14:textId="77777777">
      <w:pPr>
        <w:pStyle w:val="Lista3"/>
      </w:pPr>
      <w:r>
        <w:t xml:space="preserve">normalised: </w:t>
      </w:r>
      <w:r>
        <w:rPr>
          <w:rStyle w:val="Codetext"/>
        </w:rPr>
        <w:t>dha</w:t>
      </w:r>
      <w:r>
        <w:rPr>
          <w:rStyle w:val="Code"/>
        </w:rPr>
        <w:t>&lt;choice&gt;&lt;orig&gt;</w:t>
      </w:r>
      <w:r>
        <w:rPr>
          <w:rStyle w:val="Codetext"/>
        </w:rPr>
        <w:t>mma</w:t>
      </w:r>
      <w:r>
        <w:rPr>
          <w:rStyle w:val="Code"/>
        </w:rPr>
        <w:t>&lt;/orig&gt;&lt;reg&gt;</w:t>
      </w:r>
      <w:r>
        <w:rPr>
          <w:rStyle w:val="Codetext"/>
        </w:rPr>
        <w:t>rmma</w:t>
      </w:r>
      <w:r>
        <w:rPr>
          <w:rStyle w:val="Code"/>
        </w:rPr>
        <w:t>&lt;/reg&gt;&lt;/choice&gt;</w:t>
      </w:r>
    </w:p>
    <w:p w14:paraId="31CF33D0" w14:textId="77777777">
      <w:pPr>
        <w:pStyle w:val="Lista2"/>
      </w:pPr>
      <w:r>
        <w:t xml:space="preserve">probable accidental omission, e.g. </w:t>
      </w:r>
      <w:r>
        <w:rPr>
          <w:rStyle w:val="Foreign"/>
        </w:rPr>
        <w:t>datā</w:t>
      </w:r>
    </w:p>
    <w:p w14:paraId="750372C6" w14:textId="77777777">
      <w:pPr>
        <w:pStyle w:val="Lista3"/>
      </w:pPr>
      <w:r>
        <w:t xml:space="preserve">restituted: </w:t>
      </w:r>
      <w:r>
        <w:rPr>
          <w:rStyle w:val="Codetext"/>
        </w:rPr>
        <w:t>dat</w:t>
      </w:r>
      <w:r>
        <w:rPr>
          <w:rStyle w:val="Code"/>
        </w:rPr>
        <w:t xml:space="preserve">&lt;supplied </w:t>
      </w:r>
      <w:r>
        <w:rPr>
          <w:rStyle w:val="Codeattribute"/>
        </w:rPr>
        <w:t>reason</w:t>
      </w:r>
      <w:r>
        <w:rPr>
          <w:rStyle w:val="Code"/>
        </w:rPr>
        <w:t>=</w:t>
      </w:r>
      <w:r>
        <w:rPr>
          <w:rStyle w:val="Codevalue"/>
        </w:rPr>
        <w:t>"omitted"</w:t>
      </w:r>
      <w:r>
        <w:rPr>
          <w:rStyle w:val="Code"/>
        </w:rPr>
        <w:t>&gt;t&lt;/supplied&gt;</w:t>
      </w:r>
      <w:r>
        <w:rPr>
          <w:rStyle w:val="Codetext"/>
        </w:rPr>
        <w:t>ā</w:t>
      </w:r>
    </w:p>
    <w:p w14:paraId="20570952" w14:textId="77777777">
      <w:pPr>
        <w:pStyle w:val="Lista3"/>
      </w:pPr>
      <w:r>
        <w:t xml:space="preserve">flagged as non-standard: </w:t>
      </w:r>
      <w:r>
        <w:rPr>
          <w:rStyle w:val="Codetext"/>
        </w:rPr>
        <w:t>da</w:t>
      </w:r>
      <w:r>
        <w:rPr>
          <w:rStyle w:val="Code"/>
        </w:rPr>
        <w:t>&lt;orig&gt;</w:t>
      </w:r>
      <w:r>
        <w:rPr>
          <w:rStyle w:val="Codetext"/>
        </w:rPr>
        <w:t>t</w:t>
      </w:r>
      <w:r>
        <w:rPr>
          <w:rStyle w:val="Code"/>
        </w:rPr>
        <w:t>&lt;/surplus&gt;</w:t>
      </w:r>
      <w:r>
        <w:rPr>
          <w:rStyle w:val="Codetext"/>
        </w:rPr>
        <w:t>ā</w:t>
      </w:r>
    </w:p>
    <w:p w14:paraId="460D5E23" w14:textId="77777777">
      <w:pPr>
        <w:pStyle w:val="Lista3"/>
      </w:pPr>
      <w:r>
        <w:t xml:space="preserve">normalised: </w:t>
      </w:r>
      <w:r>
        <w:rPr>
          <w:rStyle w:val="Codetext"/>
        </w:rPr>
        <w:t>da</w:t>
      </w:r>
      <w:r>
        <w:rPr>
          <w:rStyle w:val="Code"/>
        </w:rPr>
        <w:t>&lt;choice&gt;&lt;orig&gt;</w:t>
      </w:r>
      <w:r>
        <w:rPr>
          <w:rStyle w:val="Codetext"/>
        </w:rPr>
        <w:t>t</w:t>
      </w:r>
      <w:r>
        <w:rPr>
          <w:rStyle w:val="Code"/>
        </w:rPr>
        <w:t>&lt;/orig&gt;&lt;reg&gt;</w:t>
      </w:r>
      <w:r>
        <w:rPr>
          <w:rStyle w:val="Codetext"/>
        </w:rPr>
        <w:t>tt</w:t>
      </w:r>
      <w:r>
        <w:rPr>
          <w:rStyle w:val="Code"/>
        </w:rPr>
        <w:t>&lt;/reg&gt;&lt;/choice&gt;</w:t>
      </w:r>
      <w:r>
        <w:rPr>
          <w:rStyle w:val="Codetext"/>
        </w:rPr>
        <w:t>ā</w:t>
      </w:r>
    </w:p>
    <w:p w14:paraId="09E14C45" w14:textId="2131D5D6">
      <w:pPr>
        <w:pStyle w:val="Lista2"/>
      </w:pPr>
      <w:r>
        <w:t xml:space="preserve">when an expected small component </w:t>
      </w:r>
      <w:r>
        <w:rPr>
          <w:noProof/>
        </w:rPr>
        <w:t>(</w:t>
      </w:r>
      <w:r>
        <w:t xml:space="preserve">such as a superscript </w:t>
      </w:r>
      <w:r>
        <w:rPr>
          <w:rStyle w:val="Foreign"/>
        </w:rPr>
        <w:t>r</w:t>
      </w:r>
      <w:r>
        <w:t xml:space="preserve"> or an </w:t>
      </w:r>
      <w:r>
        <w:rPr>
          <w:rStyle w:val="Foreign"/>
        </w:rPr>
        <w:t>anusvāra</w:t>
      </w:r>
      <w:r>
        <w:t xml:space="preserve">) cannot be made out in the original or the facsimile you are working from, consider the state of the support and preferably encode as lost and restored </w:t>
      </w:r>
      <w:r>
        <w:rPr>
          <w:noProof/>
        </w:rPr>
        <w:t>(</w:t>
      </w:r>
      <w:r>
        <w:t>as per §</w:t>
      </w:r>
      <w:r>
        <w:fldChar w:fldCharType="begin"/>
      </w:r>
      <w:r>
        <w:instrText xml:space="preserve"> REF _Ref228459751 \r \h </w:instrText>
      </w:r>
      <w:r>
        <w:fldChar w:fldCharType="separate"/>
      </w:r>
      <w:r>
        <w:t>6.4</w:t>
      </w:r>
      <w:r>
        <w:fldChar w:fldCharType="end"/>
      </w:r>
      <w:r>
        <w:t>) unless you are certain that the cause is scribal omission, not damage to the support</w:t>
      </w:r>
    </w:p>
    <w:p w14:paraId="2337A798" w14:textId="77777777">
      <w:pPr>
        <w:pStyle w:val="Cmsor2"/>
      </w:pPr>
      <w:bookmarkStart w:id="652" w:name="_Ref228887612"/>
      <w:bookmarkStart w:id="653" w:name="_Toc243922695"/>
      <w:r>
        <w:t>Encoding scribal omission without editorial restoration</w:t>
      </w:r>
      <w:bookmarkEnd w:id="652"/>
      <w:bookmarkEnd w:id="653"/>
    </w:p>
    <w:p w14:paraId="2925325C" w14:textId="77777777">
      <w:pPr>
        <w:rPr>
          <w:lang w:eastAsia="en-US" w:bidi="ar-SA"/>
        </w:rPr>
      </w:pPr>
      <w:r>
        <w:rPr>
          <w:lang w:eastAsia="en-US" w:bidi="ar-SA"/>
        </w:rPr>
        <w:t>Occasionally, you may feel certain that something has been omitted from the source (for example because a metrical segment or part of a word is missing), but are unable to restore the omission with any confidence.</w:t>
      </w:r>
    </w:p>
    <w:p w14:paraId="1309B97C" w14:textId="650C231C">
      <w:pPr>
        <w:pStyle w:val="Lista"/>
      </w:pPr>
      <w:r>
        <w:t>the encoding of such omissions, like that of lacunae (§</w:t>
      </w:r>
      <w:r>
        <w:fldChar w:fldCharType="begin"/>
      </w:r>
      <w:r>
        <w:instrText xml:space="preserve"> REF _Ref228888638 \r \h </w:instrText>
      </w:r>
      <w:r>
        <w:fldChar w:fldCharType="separate"/>
      </w:r>
      <w:r>
        <w:t>6.5.1</w:t>
      </w:r>
      <w:r>
        <w:fldChar w:fldCharType="end"/>
      </w:r>
      <w:r>
        <w:t xml:space="preserve">), involves the </w:t>
      </w:r>
      <w:r>
        <w:rPr>
          <w:rStyle w:val="Code"/>
        </w:rPr>
        <w:t>&lt;gap/&gt;</w:t>
      </w:r>
      <w:r>
        <w:t xml:space="preserve"> element, with the following attributes</w:t>
      </w:r>
    </w:p>
    <w:p w14:paraId="771D7727" w14:textId="77777777">
      <w:pPr>
        <w:pStyle w:val="Lista2"/>
      </w:pPr>
      <w:r>
        <w:t xml:space="preserve">mandatorily </w:t>
      </w:r>
      <w:r>
        <w:rPr>
          <w:rStyle w:val="Codeattribute"/>
        </w:rPr>
        <w:t>@reason</w:t>
      </w:r>
      <w:r>
        <w:rPr>
          <w:rStyle w:val="Code"/>
        </w:rPr>
        <w:t>=</w:t>
      </w:r>
      <w:r>
        <w:rPr>
          <w:rStyle w:val="Codevalue"/>
        </w:rPr>
        <w:t>"omitted"</w:t>
      </w:r>
    </w:p>
    <w:p w14:paraId="4070FA58" w14:textId="77777777">
      <w:pPr>
        <w:pStyle w:val="Lista2"/>
      </w:pPr>
      <w:r>
        <w:t xml:space="preserve">mandatorily </w:t>
      </w:r>
      <w:r>
        <w:rPr>
          <w:rStyle w:val="Codeattribute"/>
        </w:rPr>
        <w:t>@unit</w:t>
      </w:r>
      <w:r>
        <w:rPr>
          <w:rStyle w:val="Code"/>
        </w:rPr>
        <w:t>=</w:t>
      </w:r>
      <w:r>
        <w:rPr>
          <w:rStyle w:val="Codevalue"/>
        </w:rPr>
        <w:t>"character"</w:t>
      </w:r>
    </w:p>
    <w:p w14:paraId="4940E074" w14:textId="62C0EC1D">
      <w:pPr>
        <w:pStyle w:val="Lista2"/>
      </w:pPr>
      <w:r>
        <w:t xml:space="preserve">mandatorily, either </w:t>
      </w:r>
      <w:r>
        <w:rPr>
          <w:rStyle w:val="Codeattribute"/>
        </w:rPr>
        <w:t>@extent</w:t>
      </w:r>
      <w:r>
        <w:t xml:space="preserve"> or </w:t>
      </w:r>
      <w:r>
        <w:rPr>
          <w:rStyle w:val="Codeattribute"/>
        </w:rPr>
        <w:t>@quantity</w:t>
      </w:r>
      <w:r>
        <w:t>, as explained under §</w:t>
      </w:r>
      <w:r>
        <w:fldChar w:fldCharType="begin"/>
      </w:r>
      <w:r>
        <w:instrText xml:space="preserve"> REF _Ref228262228 \r \h </w:instrText>
      </w:r>
      <w:r>
        <w:fldChar w:fldCharType="separate"/>
      </w:r>
      <w:r>
        <w:t>6.5.1.2</w:t>
      </w:r>
      <w:r>
        <w:fldChar w:fldCharType="end"/>
      </w:r>
    </w:p>
    <w:p w14:paraId="58EF9DDA" w14:textId="096D4B32">
      <w:pPr>
        <w:pStyle w:val="Lista"/>
      </w:pPr>
      <w:r>
        <w:t xml:space="preserve">if such an omission occurs in metrical verse, then encode the prosody of the omitted text by wrapping the </w:t>
      </w:r>
      <w:r>
        <w:rPr>
          <w:rStyle w:val="Code"/>
        </w:rPr>
        <w:t>&lt;gap/&gt;</w:t>
      </w:r>
      <w:r>
        <w:t xml:space="preserve"> element in </w:t>
      </w:r>
      <w:r>
        <w:rPr>
          <w:rStyle w:val="Code"/>
        </w:rPr>
        <w:t>&lt;seg&gt;</w:t>
      </w:r>
      <w:r>
        <w:t xml:space="preserve"> and adding </w:t>
      </w:r>
      <w:r>
        <w:rPr>
          <w:rStyle w:val="Codeattribute"/>
        </w:rPr>
        <w:t>@met</w:t>
      </w:r>
      <w:r>
        <w:t xml:space="preserve"> to the latter, with values as per §</w:t>
      </w:r>
      <w:r>
        <w:fldChar w:fldCharType="begin"/>
      </w:r>
      <w:r>
        <w:instrText xml:space="preserve"> REF _Ref228275301 \r \h </w:instrText>
      </w:r>
      <w:r>
        <w:fldChar w:fldCharType="separate"/>
      </w:r>
      <w:r>
        <w:t>6.5.2.3</w:t>
      </w:r>
      <w:r>
        <w:fldChar w:fldCharType="end"/>
      </w:r>
    </w:p>
    <w:p w14:paraId="7B879A9E" w14:textId="77777777">
      <w:pPr>
        <w:pStyle w:val="Lista2"/>
      </w:pPr>
      <w:r>
        <w:t xml:space="preserve">e.g. in a </w:t>
      </w:r>
      <w:r>
        <w:rPr>
          <w:rStyle w:val="Foreign"/>
        </w:rPr>
        <w:t>śārdūlavikrīḍita</w:t>
      </w:r>
      <w:r>
        <w:t xml:space="preserve"> stanza: </w:t>
      </w:r>
      <w:r>
        <w:rPr>
          <w:rStyle w:val="Codetext"/>
        </w:rPr>
        <w:t>vr̥ttaḥ stutya-ya</w:t>
      </w:r>
      <w:r>
        <w:rPr>
          <w:rStyle w:val="Code"/>
        </w:rPr>
        <w:t xml:space="preserve">&lt;seg </w:t>
      </w:r>
      <w:r>
        <w:rPr>
          <w:rStyle w:val="Codeattribute"/>
        </w:rPr>
        <w:t>met=</w:t>
      </w:r>
      <w:r>
        <w:rPr>
          <w:rStyle w:val="Codevalue"/>
        </w:rPr>
        <w:t>"+-+--"</w:t>
      </w:r>
      <w:r>
        <w:rPr>
          <w:rStyle w:val="Code"/>
        </w:rPr>
        <w:t xml:space="preserve">&gt;&lt;gap </w:t>
      </w:r>
      <w:r>
        <w:rPr>
          <w:rStyle w:val="Codeattribute"/>
        </w:rPr>
        <w:t>reason=</w:t>
      </w:r>
      <w:r>
        <w:rPr>
          <w:rStyle w:val="Codevalue"/>
        </w:rPr>
        <w:t>"omitted"</w:t>
      </w:r>
      <w:r>
        <w:rPr>
          <w:rStyle w:val="Code"/>
        </w:rPr>
        <w:t xml:space="preserve"> </w:t>
      </w:r>
      <w:r>
        <w:rPr>
          <w:rStyle w:val="Codeattribute"/>
        </w:rPr>
        <w:t>quantity=</w:t>
      </w:r>
      <w:r>
        <w:rPr>
          <w:rStyle w:val="Codevalue"/>
        </w:rPr>
        <w:t>"5"</w:t>
      </w:r>
      <w:r>
        <w:rPr>
          <w:rStyle w:val="Code"/>
        </w:rPr>
        <w:t xml:space="preserve"> </w:t>
      </w:r>
      <w:r>
        <w:rPr>
          <w:rStyle w:val="Codeattribute"/>
        </w:rPr>
        <w:t>unit=</w:t>
      </w:r>
      <w:r>
        <w:rPr>
          <w:rStyle w:val="Codevalue"/>
        </w:rPr>
        <w:t>"character"</w:t>
      </w:r>
      <w:r>
        <w:rPr>
          <w:rStyle w:val="Code"/>
        </w:rPr>
        <w:t>/&gt;&lt;/seg&gt;</w:t>
      </w:r>
      <w:r>
        <w:rPr>
          <w:rStyle w:val="Codetext"/>
        </w:rPr>
        <w:t>-matir nnityodayas satyavāK</w:t>
      </w:r>
    </w:p>
    <w:p w14:paraId="1C43AB38" w14:textId="7FF55275">
      <w:pPr>
        <w:pStyle w:val="Lista"/>
      </w:pPr>
      <w:r>
        <w:t>tentative or alternative restorations for an unrestored lacuna may be discussed in an apparatus note (§</w:t>
      </w:r>
      <w:r>
        <w:fldChar w:fldCharType="begin"/>
      </w:r>
      <w:r>
        <w:instrText xml:space="preserve"> REF _Ref43988104 \w \h  \* MERGEFORMAT </w:instrText>
      </w:r>
      <w:r>
        <w:fldChar w:fldCharType="separate"/>
      </w:r>
      <w:r>
        <w:t>10.7</w:t>
      </w:r>
      <w:r>
        <w:fldChar w:fldCharType="end"/>
      </w:r>
      <w:r>
        <w:t>)</w:t>
      </w:r>
    </w:p>
    <w:p w14:paraId="6B0C34B8" w14:textId="77777777">
      <w:pPr>
        <w:pStyle w:val="Cmsor2"/>
      </w:pPr>
      <w:bookmarkStart w:id="654" w:name="_1tyn3helxkp0" w:colFirst="0" w:colLast="0"/>
      <w:bookmarkStart w:id="655" w:name="_Ref43991017"/>
      <w:bookmarkStart w:id="656" w:name="_Ref63674857"/>
      <w:bookmarkStart w:id="657" w:name="_Ref43978756"/>
      <w:bookmarkStart w:id="658" w:name="_Toc243922696"/>
      <w:bookmarkEnd w:id="654"/>
      <w:r>
        <w:t>Good practice in editorial intervention</w:t>
      </w:r>
      <w:bookmarkEnd w:id="655"/>
      <w:bookmarkEnd w:id="658"/>
    </w:p>
    <w:p w14:paraId="4E4F6B95" w14:textId="77777777">
      <w:pPr>
        <w:pStyle w:val="Cmsor3"/>
      </w:pPr>
      <w:bookmarkStart w:id="659" w:name="_28dwy480zoal" w:colFirst="0" w:colLast="0"/>
      <w:bookmarkStart w:id="660" w:name="_Ref228952859"/>
      <w:bookmarkStart w:id="661" w:name="_Ref43981233"/>
      <w:bookmarkStart w:id="662" w:name="_Toc243922697"/>
      <w:bookmarkEnd w:id="659"/>
      <w:r>
        <w:t>Manipulating graphemes</w:t>
      </w:r>
      <w:bookmarkEnd w:id="660"/>
      <w:bookmarkEnd w:id="662"/>
    </w:p>
    <w:p w14:paraId="57DF0CF8" w14:textId="5DAFC31E">
      <w:r>
        <w:t>Since the units to which all our encoding applies are the source graphemes (for which see also §</w:t>
      </w:r>
      <w:r>
        <w:fldChar w:fldCharType="begin"/>
      </w:r>
      <w:r>
        <w:instrText xml:space="preserve"> REF _Ref227844670 \r \h </w:instrText>
      </w:r>
      <w:r>
        <w:fldChar w:fldCharType="separate"/>
      </w:r>
      <w:r>
        <w:t>16.3</w:t>
      </w:r>
      <w:r>
        <w:fldChar w:fldCharType="end"/>
      </w:r>
      <w:r>
        <w:t xml:space="preserve">), editorial intervention can only be, and must always be, represented in our editions in terms of source graphemes, </w:t>
      </w:r>
      <w:r>
        <w:lastRenderedPageBreak/>
        <w:t xml:space="preserve">and not in terms of </w:t>
      </w:r>
      <w:r>
        <w:rPr>
          <w:rStyle w:val="Foreign"/>
        </w:rPr>
        <w:t>akṣara</w:t>
      </w:r>
      <w:r>
        <w:rPr>
          <w:rStyle w:val="Foreign"/>
          <w:i w:val="0"/>
          <w:iCs w:val="0"/>
        </w:rPr>
        <w:t>s</w:t>
      </w:r>
      <w:r>
        <w:t>, target graphemes, phonemes or any other unit. This has the following important implications.</w:t>
      </w:r>
    </w:p>
    <w:p w14:paraId="230157C5" w14:textId="77777777">
      <w:pPr>
        <w:pStyle w:val="Lista"/>
        <w:rPr>
          <w:lang w:eastAsia="en-US" w:bidi="ar-SA"/>
        </w:rPr>
      </w:pPr>
      <w:r>
        <w:rPr>
          <w:lang w:eastAsia="en-US" w:bidi="ar-SA"/>
        </w:rPr>
        <w:t xml:space="preserve">editorial intervention </w:t>
      </w:r>
      <w:r>
        <w:rPr>
          <w:i/>
          <w:iCs/>
          <w:lang w:eastAsia="en-US" w:bidi="ar-SA"/>
        </w:rPr>
        <w:t>can</w:t>
      </w:r>
      <w:r>
        <w:t xml:space="preserve"> apply to a unit smaller than the </w:t>
      </w:r>
      <w:r>
        <w:rPr>
          <w:rStyle w:val="Foreign"/>
        </w:rPr>
        <w:t>akṣara</w:t>
      </w:r>
      <w:r>
        <w:t xml:space="preserve">, so if not all components of a complex </w:t>
      </w:r>
      <w:r>
        <w:rPr>
          <w:rStyle w:val="Foreign"/>
        </w:rPr>
        <w:t>akṣara</w:t>
      </w:r>
      <w:r>
        <w:t xml:space="preserve"> require intervention, then only the specific intervention is to be encoded, and not a substitution of the entire </w:t>
      </w:r>
      <w:r>
        <w:rPr>
          <w:rStyle w:val="Foreign"/>
        </w:rPr>
        <w:t>akṣara</w:t>
      </w:r>
      <w:r>
        <w:t xml:space="preserve"> (as it would usually be shown in an edition printed in an Indic script), for example</w:t>
      </w:r>
    </w:p>
    <w:p w14:paraId="0590D399" w14:textId="77777777">
      <w:pPr>
        <w:pStyle w:val="Lista3"/>
      </w:pPr>
      <w:r>
        <w:t xml:space="preserve">in suppression, </w:t>
      </w:r>
      <w:r>
        <w:rPr>
          <w:rStyle w:val="Codetext"/>
        </w:rPr>
        <w:t>ś</w:t>
      </w:r>
      <w:r>
        <w:rPr>
          <w:rStyle w:val="Code"/>
        </w:rPr>
        <w:t>&lt;surplus&gt;</w:t>
      </w:r>
      <w:r>
        <w:rPr>
          <w:rStyle w:val="Codetext"/>
        </w:rPr>
        <w:t>r</w:t>
      </w:r>
      <w:r>
        <w:rPr>
          <w:rStyle w:val="Code"/>
        </w:rPr>
        <w:t>&lt;/surplus&gt;</w:t>
      </w:r>
      <w:r>
        <w:rPr>
          <w:rStyle w:val="Codetext"/>
        </w:rPr>
        <w:t>āpa</w:t>
      </w:r>
    </w:p>
    <w:p w14:paraId="20123C72" w14:textId="77777777">
      <w:pPr>
        <w:pStyle w:val="Lista4"/>
      </w:pPr>
      <w:r>
        <w:rPr>
          <w:b/>
          <w:bCs/>
        </w:rPr>
        <w:t>not</w:t>
      </w:r>
      <w:r>
        <w:t xml:space="preserve"> </w:t>
      </w:r>
      <w:r>
        <w:rPr>
          <w:rStyle w:val="Code"/>
        </w:rPr>
        <w:t>&lt;choice&gt;&lt;sic&gt;</w:t>
      </w:r>
      <w:r>
        <w:rPr>
          <w:rStyle w:val="Codetext"/>
        </w:rPr>
        <w:t>śrā</w:t>
      </w:r>
      <w:r>
        <w:rPr>
          <w:rStyle w:val="Code"/>
        </w:rPr>
        <w:t>&lt;/sic&gt;&lt;corr&gt;</w:t>
      </w:r>
      <w:r>
        <w:rPr>
          <w:rStyle w:val="Codetext"/>
        </w:rPr>
        <w:t>śā</w:t>
      </w:r>
      <w:r>
        <w:rPr>
          <w:rStyle w:val="Code"/>
        </w:rPr>
        <w:t>&lt;/corr&gt;&lt;/subst&gt;</w:t>
      </w:r>
      <w:r>
        <w:rPr>
          <w:rStyle w:val="Codetext"/>
        </w:rPr>
        <w:t>pa</w:t>
      </w:r>
    </w:p>
    <w:p w14:paraId="76A5AD2A" w14:textId="77777777">
      <w:pPr>
        <w:pStyle w:val="Lista3"/>
        <w:rPr>
          <w:rStyle w:val="Codetext"/>
          <w:rFonts w:ascii="Gentium" w:hAnsi="Gentium" w:cs="Tiro Devanagari Sanskrit"/>
          <w:noProof w:val="0"/>
          <w:color w:val="auto"/>
          <w:shd w:val="clear" w:color="auto" w:fill="auto"/>
        </w:rPr>
      </w:pPr>
      <w:r>
        <w:t xml:space="preserve">in restitution, </w:t>
      </w:r>
      <w:r>
        <w:rPr>
          <w:rStyle w:val="Codetext"/>
        </w:rPr>
        <w:t>tārkṣ</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y</w:t>
      </w:r>
      <w:r>
        <w:rPr>
          <w:rStyle w:val="Code"/>
        </w:rPr>
        <w:t>&lt;/supplied&gt;</w:t>
      </w:r>
      <w:r>
        <w:rPr>
          <w:rStyle w:val="Codetext"/>
        </w:rPr>
        <w:t>a</w:t>
      </w:r>
    </w:p>
    <w:p w14:paraId="4CF11699" w14:textId="77777777">
      <w:pPr>
        <w:pStyle w:val="Lista4"/>
        <w:rPr>
          <w:rStyle w:val="Code"/>
          <w:rFonts w:ascii="Gentium" w:hAnsi="Gentium" w:cs="Tiro Devanagari Sanskrit"/>
          <w:noProof w:val="0"/>
          <w:color w:val="auto"/>
          <w:shd w:val="clear" w:color="auto" w:fill="auto"/>
        </w:rPr>
      </w:pPr>
      <w:r>
        <w:rPr>
          <w:b/>
          <w:bCs/>
        </w:rPr>
        <w:t>not</w:t>
      </w:r>
      <w:r>
        <w:t xml:space="preserve"> </w:t>
      </w:r>
      <w:r>
        <w:rPr>
          <w:rStyle w:val="Codetext"/>
        </w:rPr>
        <w:t>tā</w:t>
      </w:r>
      <w:r>
        <w:rPr>
          <w:rStyle w:val="Code"/>
        </w:rPr>
        <w:t>&lt;choice&gt;&lt;sic&gt;</w:t>
      </w:r>
      <w:r>
        <w:rPr>
          <w:rStyle w:val="Codetext"/>
        </w:rPr>
        <w:t>rkṣa</w:t>
      </w:r>
      <w:r>
        <w:rPr>
          <w:rStyle w:val="Code"/>
        </w:rPr>
        <w:t>&lt;/sic&gt;&lt;corr&gt;</w:t>
      </w:r>
      <w:r>
        <w:rPr>
          <w:rStyle w:val="Codetext"/>
        </w:rPr>
        <w:t>rkṣya</w:t>
      </w:r>
      <w:r>
        <w:rPr>
          <w:rStyle w:val="Code"/>
        </w:rPr>
        <w:t>&lt;/corr&gt;&lt;/subst&gt;</w:t>
      </w:r>
    </w:p>
    <w:p w14:paraId="57FCCC9D" w14:textId="77777777">
      <w:pPr>
        <w:pStyle w:val="Lista3"/>
        <w:rPr>
          <w:rStyle w:val="Codetext"/>
          <w:rFonts w:ascii="Gentium" w:hAnsi="Gentium" w:cs="Tiro Devanagari Sanskrit"/>
          <w:noProof w:val="0"/>
          <w:color w:val="auto"/>
          <w:shd w:val="clear" w:color="auto" w:fill="auto"/>
        </w:rPr>
      </w:pPr>
      <w:r>
        <w:t xml:space="preserve">in substitution, </w:t>
      </w:r>
      <w:r>
        <w:rPr>
          <w:rStyle w:val="Codetext"/>
        </w:rPr>
        <w:t>pa</w:t>
      </w:r>
      <w:r>
        <w:rPr>
          <w:rStyle w:val="Code"/>
        </w:rPr>
        <w:t>&lt;choice&gt;&lt;sic&gt;</w:t>
      </w:r>
      <w:r>
        <w:rPr>
          <w:rStyle w:val="Codetext"/>
        </w:rPr>
        <w:t>t</w:t>
      </w:r>
      <w:r>
        <w:rPr>
          <w:rStyle w:val="Code"/>
        </w:rPr>
        <w:t>&lt;/sic&gt;&lt;corr&gt;</w:t>
      </w:r>
      <w:r>
        <w:rPr>
          <w:rStyle w:val="Codetext"/>
        </w:rPr>
        <w:t>d</w:t>
      </w:r>
      <w:r>
        <w:rPr>
          <w:rStyle w:val="Code"/>
        </w:rPr>
        <w:t>&lt;/corr&gt;&lt;/subst&gt;</w:t>
      </w:r>
      <w:r>
        <w:rPr>
          <w:rStyle w:val="Codetext"/>
        </w:rPr>
        <w:t>ma</w:t>
      </w:r>
    </w:p>
    <w:p w14:paraId="1842857E" w14:textId="77777777">
      <w:pPr>
        <w:pStyle w:val="Lista4"/>
      </w:pPr>
      <w:r>
        <w:rPr>
          <w:b/>
          <w:bCs/>
        </w:rPr>
        <w:t>not</w:t>
      </w:r>
      <w:r>
        <w:t xml:space="preserve"> </w:t>
      </w:r>
      <w:r>
        <w:rPr>
          <w:rStyle w:val="Codetext"/>
        </w:rPr>
        <w:t>pa</w:t>
      </w:r>
      <w:r>
        <w:rPr>
          <w:rStyle w:val="Code"/>
        </w:rPr>
        <w:t>&lt;choice&gt;&lt;sic&gt;</w:t>
      </w:r>
      <w:r>
        <w:rPr>
          <w:rStyle w:val="Codetext"/>
        </w:rPr>
        <w:t>tma</w:t>
      </w:r>
      <w:r>
        <w:rPr>
          <w:rStyle w:val="Code"/>
        </w:rPr>
        <w:t>&lt;/sic&gt;&lt;corr&gt;</w:t>
      </w:r>
      <w:r>
        <w:rPr>
          <w:rStyle w:val="Codetext"/>
        </w:rPr>
        <w:t>dma</w:t>
      </w:r>
      <w:r>
        <w:rPr>
          <w:rStyle w:val="Code"/>
        </w:rPr>
        <w:t>&lt;/corr&gt;&lt;/subst&gt;</w:t>
      </w:r>
    </w:p>
    <w:p w14:paraId="4B08002D" w14:textId="77777777">
      <w:pPr>
        <w:pStyle w:val="Lista"/>
      </w:pPr>
      <w:r>
        <w:t xml:space="preserve">editorial intervention </w:t>
      </w:r>
      <w:r>
        <w:rPr>
          <w:i/>
          <w:iCs/>
        </w:rPr>
        <w:t>cannot</w:t>
      </w:r>
      <w:r>
        <w:t xml:space="preserve"> apply to a unit smaller than the grapheme, so even if the engraver had merely omitted an element or added a superfluous stroke, editorial correction cannot be encoded at this level; instead</w:t>
      </w:r>
    </w:p>
    <w:p w14:paraId="0CFB8A2E" w14:textId="5773BE2B">
      <w:pPr>
        <w:pStyle w:val="Lista2"/>
      </w:pPr>
      <w:r>
        <w:t>the absence or superfluous presence of a non-distinctive element can be annotated if desired, but not represented in markup except by encoding eccentric ductus (§</w:t>
      </w:r>
      <w:r>
        <w:fldChar w:fldCharType="begin"/>
      </w:r>
      <w:r>
        <w:instrText xml:space="preserve"> REF _Ref227942295 \r \h </w:instrText>
      </w:r>
      <w:r>
        <w:fldChar w:fldCharType="separate"/>
      </w:r>
      <w:r>
        <w:t>6.3.1.2</w:t>
      </w:r>
      <w:r>
        <w:fldChar w:fldCharType="end"/>
      </w:r>
      <w:r>
        <w:t>)</w:t>
      </w:r>
    </w:p>
    <w:p w14:paraId="28F0B34C" w14:textId="77777777">
      <w:pPr>
        <w:pStyle w:val="Lista2"/>
      </w:pPr>
      <w:r>
        <w:t>the absence or superfluous presence of a distinctive element must be encoded as a correction of one grapheme to another, for example</w:t>
      </w:r>
    </w:p>
    <w:p w14:paraId="351B2102" w14:textId="77777777">
      <w:pPr>
        <w:pStyle w:val="Lista3"/>
      </w:pPr>
      <w:r>
        <w:t xml:space="preserve">in a script where </w:t>
      </w:r>
      <w:r>
        <w:rPr>
          <w:rStyle w:val="Foreign"/>
        </w:rPr>
        <w:t>ka</w:t>
      </w:r>
      <w:r>
        <w:t xml:space="preserve"> differs from </w:t>
      </w:r>
      <w:r>
        <w:rPr>
          <w:rStyle w:val="Foreign"/>
        </w:rPr>
        <w:t>ra</w:t>
      </w:r>
      <w:r>
        <w:t xml:space="preserve"> only in the presence of a cross-stroke in the former, and the scribe erroneously engraved </w:t>
      </w:r>
      <w:r>
        <w:rPr>
          <w:rStyle w:val="Foreign"/>
        </w:rPr>
        <w:t>lora</w:t>
      </w:r>
      <w:r>
        <w:t xml:space="preserve"> instead of </w:t>
      </w:r>
      <w:r>
        <w:rPr>
          <w:rStyle w:val="Foreign"/>
        </w:rPr>
        <w:t>loka</w:t>
      </w:r>
      <w:r>
        <w:t xml:space="preserve">, your rectification of that error is a correction of </w:t>
      </w:r>
      <w:r>
        <w:rPr>
          <w:rStyle w:val="Foreign"/>
        </w:rPr>
        <w:t>r</w:t>
      </w:r>
      <w:r>
        <w:t xml:space="preserve"> to </w:t>
      </w:r>
      <w:r>
        <w:rPr>
          <w:rStyle w:val="Foreign"/>
        </w:rPr>
        <w:t>k</w:t>
      </w:r>
      <w:r>
        <w:t xml:space="preserve">: </w:t>
      </w:r>
      <w:r>
        <w:rPr>
          <w:rStyle w:val="Codetext"/>
        </w:rPr>
        <w:t>lo</w:t>
      </w:r>
      <w:r>
        <w:rPr>
          <w:rStyle w:val="Code"/>
        </w:rPr>
        <w:t>&lt;choice&gt;&lt;sic&gt;</w:t>
      </w:r>
      <w:r>
        <w:rPr>
          <w:rStyle w:val="Codetext"/>
        </w:rPr>
        <w:t>r</w:t>
      </w:r>
      <w:r>
        <w:rPr>
          <w:rStyle w:val="Code"/>
        </w:rPr>
        <w:t>&lt;/sic&gt;&lt;corr&gt;</w:t>
      </w:r>
      <w:r>
        <w:rPr>
          <w:rStyle w:val="Codetext"/>
        </w:rPr>
        <w:t>k</w:t>
      </w:r>
      <w:r>
        <w:rPr>
          <w:rStyle w:val="Code"/>
        </w:rPr>
        <w:t>&lt;/corr&gt;&lt;/choice&gt;</w:t>
      </w:r>
      <w:r>
        <w:rPr>
          <w:rStyle w:val="Codetext"/>
        </w:rPr>
        <w:t>a</w:t>
      </w:r>
    </w:p>
    <w:p w14:paraId="6CCE1E9E" w14:textId="77777777">
      <w:pPr>
        <w:pStyle w:val="Lista4"/>
      </w:pPr>
      <w:r>
        <w:t xml:space="preserve">and not an editorial restitution </w:t>
      </w:r>
      <w:r>
        <w:rPr>
          <w:noProof/>
        </w:rPr>
        <w:t>(</w:t>
      </w:r>
      <w:r>
        <w:t>of the cross-stroke), even though the scribe’s physical error was the omission of a graphic element</w:t>
      </w:r>
    </w:p>
    <w:p w14:paraId="3A798BE2" w14:textId="77777777">
      <w:pPr>
        <w:pStyle w:val="Lista3"/>
      </w:pPr>
      <w:r>
        <w:t xml:space="preserve">in a script where </w:t>
      </w:r>
      <w:r>
        <w:rPr>
          <w:rStyle w:val="Foreign"/>
        </w:rPr>
        <w:t>śa</w:t>
      </w:r>
      <w:r>
        <w:t xml:space="preserve"> differs from </w:t>
      </w:r>
      <w:r>
        <w:rPr>
          <w:rStyle w:val="Foreign"/>
        </w:rPr>
        <w:t>ga</w:t>
      </w:r>
      <w:r>
        <w:t xml:space="preserve"> only in that the former has a cross-stroke, and the scribe erroneously engraved </w:t>
      </w:r>
      <w:r>
        <w:rPr>
          <w:rStyle w:val="Foreign"/>
        </w:rPr>
        <w:t>śuṇa</w:t>
      </w:r>
      <w:r>
        <w:t xml:space="preserve"> instead of </w:t>
      </w:r>
      <w:r>
        <w:rPr>
          <w:rStyle w:val="Foreign"/>
        </w:rPr>
        <w:t>guṇa</w:t>
      </w:r>
      <w:r>
        <w:t xml:space="preserve">, your rectification of that error is a correction of </w:t>
      </w:r>
      <w:r>
        <w:rPr>
          <w:rStyle w:val="Foreign"/>
        </w:rPr>
        <w:t>ś</w:t>
      </w:r>
      <w:r>
        <w:t xml:space="preserve"> to </w:t>
      </w:r>
      <w:r>
        <w:rPr>
          <w:rStyle w:val="Foreign"/>
        </w:rPr>
        <w:t>g</w:t>
      </w:r>
      <w:r>
        <w:t xml:space="preserve">: </w:t>
      </w:r>
      <w:r>
        <w:rPr>
          <w:rStyle w:val="Code"/>
        </w:rPr>
        <w:t>&lt;choice&gt;&lt;sic&gt;</w:t>
      </w:r>
      <w:r>
        <w:rPr>
          <w:rStyle w:val="Codetext"/>
        </w:rPr>
        <w:t>ś</w:t>
      </w:r>
      <w:r>
        <w:rPr>
          <w:rStyle w:val="Code"/>
        </w:rPr>
        <w:t>&lt;/sic&gt;&lt;corr&gt;</w:t>
      </w:r>
      <w:r>
        <w:rPr>
          <w:rStyle w:val="Codetext"/>
        </w:rPr>
        <w:t>g</w:t>
      </w:r>
      <w:r>
        <w:rPr>
          <w:rStyle w:val="Code"/>
        </w:rPr>
        <w:t>&lt;/corr&gt;&lt;/choice&gt;</w:t>
      </w:r>
      <w:r>
        <w:rPr>
          <w:rStyle w:val="Codetext"/>
        </w:rPr>
        <w:t>u</w:t>
      </w:r>
      <w:r>
        <w:rPr>
          <w:rStyle w:val="Code"/>
        </w:rPr>
        <w:t>ṇ</w:t>
      </w:r>
      <w:r>
        <w:rPr>
          <w:rStyle w:val="Codetext"/>
        </w:rPr>
        <w:t>a</w:t>
      </w:r>
    </w:p>
    <w:p w14:paraId="63F839F0" w14:textId="77777777">
      <w:pPr>
        <w:pStyle w:val="Lista4"/>
      </w:pPr>
      <w:r>
        <w:t xml:space="preserve">and not an editorial suppression </w:t>
      </w:r>
      <w:r>
        <w:rPr>
          <w:noProof/>
        </w:rPr>
        <w:t>(</w:t>
      </w:r>
      <w:r>
        <w:t>of the cross-stroke), even though the scribe’s physical error was the engraving of a superfluous glyph component</w:t>
      </w:r>
    </w:p>
    <w:p w14:paraId="44D3880D" w14:textId="77777777">
      <w:pPr>
        <w:pStyle w:val="Lista"/>
      </w:pPr>
      <w:r>
        <w:t xml:space="preserve">due to the nature of aksharic writing, the suppression or restitution of certain graphs (namely of a vowel marker or </w:t>
      </w:r>
      <w:r>
        <w:rPr>
          <w:rStyle w:val="Foreign"/>
        </w:rPr>
        <w:t>virāma</w:t>
      </w:r>
      <w:r>
        <w:t xml:space="preserve">) may result in the </w:t>
      </w:r>
      <w:r>
        <w:rPr>
          <w:i/>
          <w:iCs/>
        </w:rPr>
        <w:t>substitution</w:t>
      </w:r>
      <w:r>
        <w:t xml:space="preserve"> of one grapheme by another (viz. of the marked vowel or </w:t>
      </w:r>
      <w:r>
        <w:rPr>
          <w:rStyle w:val="Foreign"/>
        </w:rPr>
        <w:t>virāma</w:t>
      </w:r>
      <w:r>
        <w:t xml:space="preserve"> by the default vowel, or vice versa), which must be encoded as substitution rather than suppression or restitution; for example</w:t>
      </w:r>
    </w:p>
    <w:p w14:paraId="021728BA" w14:textId="77777777">
      <w:pPr>
        <w:pStyle w:val="Lista2"/>
      </w:pPr>
      <w:r>
        <w:t xml:space="preserve">if the scribe engraved </w:t>
      </w:r>
      <w:r>
        <w:rPr>
          <w:rStyle w:val="Foreign"/>
        </w:rPr>
        <w:t>mahāraja</w:t>
      </w:r>
      <w:r>
        <w:t xml:space="preserve"> and you correct this to </w:t>
      </w:r>
      <w:r>
        <w:rPr>
          <w:rStyle w:val="Foreign"/>
        </w:rPr>
        <w:t>mahārāja</w:t>
      </w:r>
      <w:r>
        <w:t xml:space="preserve">, your rectification of that error is a correction of </w:t>
      </w:r>
      <w:r>
        <w:rPr>
          <w:rStyle w:val="Foreign"/>
        </w:rPr>
        <w:t>a</w:t>
      </w:r>
      <w:r>
        <w:t xml:space="preserve"> to </w:t>
      </w:r>
      <w:r>
        <w:rPr>
          <w:rStyle w:val="Foreign"/>
        </w:rPr>
        <w:t>ā</w:t>
      </w:r>
      <w:r>
        <w:t xml:space="preserve">: </w:t>
      </w:r>
      <w:r>
        <w:rPr>
          <w:rStyle w:val="Codetext"/>
        </w:rPr>
        <w:t>mahār</w:t>
      </w:r>
      <w:r>
        <w:rPr>
          <w:rStyle w:val="Code"/>
        </w:rPr>
        <w:t>&lt;choice&gt;&lt;sic&gt;</w:t>
      </w:r>
      <w:r>
        <w:rPr>
          <w:rStyle w:val="Codetext"/>
        </w:rPr>
        <w:t>a</w:t>
      </w:r>
      <w:r>
        <w:rPr>
          <w:rStyle w:val="Code"/>
        </w:rPr>
        <w:t>&lt;/sic&gt;&lt;corr&gt;</w:t>
      </w:r>
      <w:r>
        <w:rPr>
          <w:rStyle w:val="Codetext"/>
        </w:rPr>
        <w:t>ā</w:t>
      </w:r>
      <w:r>
        <w:rPr>
          <w:rStyle w:val="Code"/>
        </w:rPr>
        <w:t>&lt;/corr&gt;&lt;/choice&gt;</w:t>
      </w:r>
      <w:r>
        <w:rPr>
          <w:rStyle w:val="Codetext"/>
        </w:rPr>
        <w:t>ja</w:t>
      </w:r>
    </w:p>
    <w:p w14:paraId="4D821E6B" w14:textId="77777777">
      <w:pPr>
        <w:pStyle w:val="Lista3"/>
      </w:pPr>
      <w:r>
        <w:t xml:space="preserve">and not an editorial restitution </w:t>
      </w:r>
      <w:r>
        <w:rPr>
          <w:noProof/>
        </w:rPr>
        <w:t>(</w:t>
      </w:r>
      <w:r>
        <w:t>of the vowel marker), even though the scribe’s physical error was the omission of a glyph component</w:t>
      </w:r>
    </w:p>
    <w:p w14:paraId="13D5C738" w14:textId="77777777">
      <w:pPr>
        <w:pStyle w:val="Lista3"/>
      </w:pPr>
      <w:r>
        <w:t xml:space="preserve">while </w:t>
      </w:r>
      <w:r>
        <w:rPr>
          <w:rStyle w:val="Codetext"/>
        </w:rPr>
        <w:t>mahār</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ā</w:t>
      </w:r>
      <w:r>
        <w:rPr>
          <w:rStyle w:val="Code"/>
        </w:rPr>
        <w:t>&lt;/supplied&gt;</w:t>
      </w:r>
      <w:r>
        <w:rPr>
          <w:rStyle w:val="Codetext"/>
        </w:rPr>
        <w:t>ja</w:t>
      </w:r>
      <w:r>
        <w:t xml:space="preserve"> would mean that the received reading is </w:t>
      </w:r>
      <w:r>
        <w:rPr>
          <w:rStyle w:val="Foreign"/>
        </w:rPr>
        <w:t>mahārja</w:t>
      </w:r>
      <w:r>
        <w:t xml:space="preserve">, which you correct to </w:t>
      </w:r>
      <w:r>
        <w:rPr>
          <w:rStyle w:val="Foreign"/>
        </w:rPr>
        <w:t>mahārāja</w:t>
      </w:r>
    </w:p>
    <w:p w14:paraId="0B485962" w14:textId="77777777">
      <w:pPr>
        <w:pStyle w:val="Lista2"/>
      </w:pPr>
      <w:r>
        <w:t xml:space="preserve">if the scribe engraved </w:t>
      </w:r>
      <w:r>
        <w:rPr>
          <w:rStyle w:val="Foreign"/>
        </w:rPr>
        <w:t>viditim</w:t>
      </w:r>
      <w:r>
        <w:t xml:space="preserve"> and you correct this to </w:t>
      </w:r>
      <w:r>
        <w:rPr>
          <w:rStyle w:val="Foreign"/>
        </w:rPr>
        <w:t>viditam</w:t>
      </w:r>
      <w:r>
        <w:t xml:space="preserve">, your rectification of that error is a correction of </w:t>
      </w:r>
      <w:r>
        <w:rPr>
          <w:rStyle w:val="Foreign"/>
        </w:rPr>
        <w:t>i</w:t>
      </w:r>
      <w:r>
        <w:t xml:space="preserve"> to </w:t>
      </w:r>
      <w:r>
        <w:rPr>
          <w:rStyle w:val="Foreign"/>
        </w:rPr>
        <w:t>a</w:t>
      </w:r>
      <w:r>
        <w:t xml:space="preserve">: </w:t>
      </w:r>
      <w:r>
        <w:rPr>
          <w:rStyle w:val="Codetext"/>
        </w:rPr>
        <w:t>vidit</w:t>
      </w:r>
      <w:r>
        <w:rPr>
          <w:rStyle w:val="Code"/>
        </w:rPr>
        <w:t>&lt;choice&gt;&lt;sic&gt;</w:t>
      </w:r>
      <w:r>
        <w:rPr>
          <w:rStyle w:val="Codetext"/>
        </w:rPr>
        <w:t>i</w:t>
      </w:r>
      <w:r>
        <w:rPr>
          <w:rStyle w:val="Code"/>
        </w:rPr>
        <w:t>&lt;/sic&gt;&lt;corr&gt;</w:t>
      </w:r>
      <w:r>
        <w:rPr>
          <w:rStyle w:val="Codetext"/>
        </w:rPr>
        <w:t>a</w:t>
      </w:r>
      <w:r>
        <w:rPr>
          <w:rStyle w:val="Code"/>
        </w:rPr>
        <w:t>&lt;/corr&gt;&lt;/choice&gt;</w:t>
      </w:r>
      <w:r>
        <w:rPr>
          <w:rStyle w:val="Codetext"/>
        </w:rPr>
        <w:t>m</w:t>
      </w:r>
    </w:p>
    <w:p w14:paraId="7199B441" w14:textId="77777777">
      <w:pPr>
        <w:pStyle w:val="Lista3"/>
      </w:pPr>
      <w:r>
        <w:t xml:space="preserve">and not an editorial suppression </w:t>
      </w:r>
      <w:r>
        <w:rPr>
          <w:noProof/>
        </w:rPr>
        <w:t>(</w:t>
      </w:r>
      <w:r>
        <w:t>of the vowel marker), even though the scribe’s physical error was the engraving of a superfluous glyph component</w:t>
      </w:r>
    </w:p>
    <w:p w14:paraId="30A50F89" w14:textId="77777777">
      <w:pPr>
        <w:pStyle w:val="Lista3"/>
        <w:rPr>
          <w:rStyle w:val="Foreign"/>
          <w:i w:val="0"/>
          <w:noProof w:val="0"/>
        </w:rPr>
      </w:pPr>
      <w:r>
        <w:t xml:space="preserve">while </w:t>
      </w:r>
      <w:r>
        <w:rPr>
          <w:rStyle w:val="Codetext"/>
        </w:rPr>
        <w:t>vidit</w:t>
      </w:r>
      <w:r>
        <w:rPr>
          <w:rStyle w:val="Code"/>
        </w:rPr>
        <w:t>&lt;surplus&gt;</w:t>
      </w:r>
      <w:r>
        <w:rPr>
          <w:rStyle w:val="Codetext"/>
        </w:rPr>
        <w:t>i</w:t>
      </w:r>
      <w:r>
        <w:rPr>
          <w:rStyle w:val="Code"/>
        </w:rPr>
        <w:t>&lt;/surplus&gt;</w:t>
      </w:r>
      <w:r>
        <w:rPr>
          <w:rStyle w:val="Codetext"/>
        </w:rPr>
        <w:t>m</w:t>
      </w:r>
      <w:r>
        <w:t xml:space="preserve"> would mean that your intended correction is </w:t>
      </w:r>
      <w:r>
        <w:rPr>
          <w:rStyle w:val="Foreign"/>
        </w:rPr>
        <w:t>viditm</w:t>
      </w:r>
    </w:p>
    <w:p w14:paraId="4751C03A" w14:textId="77777777">
      <w:pPr>
        <w:pStyle w:val="Lista2"/>
      </w:pPr>
      <w:r>
        <w:t xml:space="preserve">if the scribe engraved </w:t>
      </w:r>
      <w:r>
        <w:rPr>
          <w:rStyle w:val="Foreign"/>
        </w:rPr>
        <w:t>śrīmāna</w:t>
      </w:r>
      <w:r>
        <w:t xml:space="preserve"> and you correct this to </w:t>
      </w:r>
      <w:r>
        <w:rPr>
          <w:rStyle w:val="Foreign"/>
        </w:rPr>
        <w:t>śrīmān·</w:t>
      </w:r>
      <w:r>
        <w:t xml:space="preserve">, your rectification of that error is a correction of </w:t>
      </w:r>
      <w:r>
        <w:rPr>
          <w:rStyle w:val="Foreign"/>
        </w:rPr>
        <w:t>a</w:t>
      </w:r>
      <w:r>
        <w:t xml:space="preserve"> to </w:t>
      </w:r>
      <w:r>
        <w:rPr>
          <w:rStyle w:val="Foreign"/>
        </w:rPr>
        <w:t>virāma</w:t>
      </w:r>
      <w:r>
        <w:t xml:space="preserve">: </w:t>
      </w:r>
      <w:r>
        <w:rPr>
          <w:rStyle w:val="Codetext"/>
        </w:rPr>
        <w:t>śrīmān</w:t>
      </w:r>
      <w:r>
        <w:rPr>
          <w:rStyle w:val="Code"/>
        </w:rPr>
        <w:t>&lt;choice&gt;&lt;sic&gt;</w:t>
      </w:r>
      <w:r>
        <w:rPr>
          <w:rStyle w:val="Codetext"/>
        </w:rPr>
        <w:t>a</w:t>
      </w:r>
      <w:r>
        <w:rPr>
          <w:rStyle w:val="Code"/>
        </w:rPr>
        <w:t>&lt;/sic&gt;&lt;corr&gt;</w:t>
      </w:r>
      <w:r>
        <w:rPr>
          <w:rStyle w:val="Codetext"/>
        </w:rPr>
        <w:t>·</w:t>
      </w:r>
      <w:r>
        <w:rPr>
          <w:rStyle w:val="Code"/>
        </w:rPr>
        <w:t>&lt;/corr&gt;&lt;/choice&gt;</w:t>
      </w:r>
    </w:p>
    <w:p w14:paraId="26485986" w14:textId="77777777">
      <w:pPr>
        <w:pStyle w:val="Lista3"/>
      </w:pPr>
      <w:r>
        <w:t xml:space="preserve">instead of restituting a </w:t>
      </w:r>
      <w:r>
        <w:rPr>
          <w:rStyle w:val="Foreign"/>
        </w:rPr>
        <w:t>virāma</w:t>
      </w:r>
      <w:r>
        <w:t>, you may choose simply to suppress the inherent vowel</w:t>
      </w:r>
    </w:p>
    <w:p w14:paraId="409F2519" w14:textId="77777777">
      <w:pPr>
        <w:pStyle w:val="Lista4"/>
      </w:pPr>
      <w:r>
        <w:t xml:space="preserve">this will assert that your correct text, had it been present in the original, would have been written with a ligature (conjoining the final </w:t>
      </w:r>
      <w:r>
        <w:rPr>
          <w:rStyle w:val="Foreign"/>
        </w:rPr>
        <w:t>n</w:t>
      </w:r>
      <w:r>
        <w:t xml:space="preserve"> to the next </w:t>
      </w:r>
      <w:r>
        <w:rPr>
          <w:rStyle w:val="Foreign"/>
        </w:rPr>
        <w:t>akṣara</w:t>
      </w:r>
      <w:r>
        <w:t>) rather than in hiatus</w:t>
      </w:r>
    </w:p>
    <w:p w14:paraId="345F0B7F" w14:textId="77777777">
      <w:pPr>
        <w:pStyle w:val="Lista4"/>
        <w:rPr>
          <w:rStyle w:val="Foreign"/>
          <w:i w:val="0"/>
          <w:iCs w:val="0"/>
          <w:noProof w:val="0"/>
        </w:rPr>
      </w:pPr>
      <w:r>
        <w:t xml:space="preserve">e.g. </w:t>
      </w:r>
      <w:r>
        <w:rPr>
          <w:rStyle w:val="Codetext"/>
        </w:rPr>
        <w:t>śrīmān</w:t>
      </w:r>
      <w:r>
        <w:rPr>
          <w:rStyle w:val="Code"/>
        </w:rPr>
        <w:t>&lt;surplus&gt;</w:t>
      </w:r>
      <w:r>
        <w:rPr>
          <w:rStyle w:val="Codetext"/>
        </w:rPr>
        <w:t>a</w:t>
      </w:r>
      <w:r>
        <w:rPr>
          <w:rStyle w:val="Code"/>
        </w:rPr>
        <w:t>&lt;/surplus&gt;</w:t>
      </w:r>
      <w:r>
        <w:rPr>
          <w:rStyle w:val="Codetext"/>
        </w:rPr>
        <w:t xml:space="preserve"> mahārājaḥ</w:t>
      </w:r>
      <w:r>
        <w:t xml:space="preserve">, where the text corrected by you and written in the original writing system would have involved the ligature </w:t>
      </w:r>
      <w:r>
        <w:rPr>
          <w:rStyle w:val="Foreign"/>
        </w:rPr>
        <w:t>nma</w:t>
      </w:r>
    </w:p>
    <w:p w14:paraId="3D48D1B1" w14:textId="77777777">
      <w:pPr>
        <w:pStyle w:val="Lista3"/>
      </w:pPr>
      <w:r>
        <w:t>if the original document employs special final forms of consonants, then the editorial correction is different again, as illustrated in the next point</w:t>
      </w:r>
    </w:p>
    <w:p w14:paraId="2DA142E0" w14:textId="77777777">
      <w:pPr>
        <w:pStyle w:val="Lista"/>
      </w:pPr>
      <w:r>
        <w:lastRenderedPageBreak/>
        <w:t>also due to the nature of aksharic writing, the suppression or restitution of certain graphemes may entail the changing of an adjacent grapheme; for example</w:t>
      </w:r>
    </w:p>
    <w:p w14:paraId="1E8F6178" w14:textId="77777777">
      <w:pPr>
        <w:pStyle w:val="Lista2"/>
      </w:pPr>
      <w:r>
        <w:t>supplying a consonant before an initial vowel form requires the transformation of that initial vowel into a dependent vowel</w:t>
      </w:r>
    </w:p>
    <w:p w14:paraId="7D9B071D" w14:textId="77777777">
      <w:pPr>
        <w:pStyle w:val="Lista3"/>
      </w:pPr>
      <w:r>
        <w:t xml:space="preserve">e.g. correcting </w:t>
      </w:r>
      <w:r>
        <w:rPr>
          <w:rStyle w:val="Foreign"/>
        </w:rPr>
        <w:t>Adharma</w:t>
      </w:r>
      <w:r>
        <w:t xml:space="preserve"> to </w:t>
      </w:r>
      <w:r>
        <w:rPr>
          <w:rStyle w:val="Foreign"/>
        </w:rPr>
        <w:t>sadharma</w:t>
      </w:r>
      <w:r>
        <w:t xml:space="preserve"> is not simply a restitution of </w:t>
      </w:r>
      <w:r>
        <w:rPr>
          <w:rStyle w:val="Foreign"/>
        </w:rPr>
        <w:t>s</w:t>
      </w:r>
      <w:r>
        <w:t xml:space="preserve">, but a correction of </w:t>
      </w:r>
      <w:r>
        <w:rPr>
          <w:rStyle w:val="Foreign"/>
        </w:rPr>
        <w:t>A</w:t>
      </w:r>
      <w:r>
        <w:t xml:space="preserve"> to </w:t>
      </w:r>
      <w:r>
        <w:rPr>
          <w:rStyle w:val="Foreign"/>
        </w:rPr>
        <w:t>sa</w:t>
      </w:r>
      <w:r>
        <w:t xml:space="preserve">: </w:t>
      </w:r>
      <w:r>
        <w:rPr>
          <w:rStyle w:val="Code"/>
        </w:rPr>
        <w:t>&lt;choice&gt;&lt;sic&gt;</w:t>
      </w:r>
      <w:r>
        <w:rPr>
          <w:rStyle w:val="Codetext"/>
        </w:rPr>
        <w:t>A</w:t>
      </w:r>
      <w:r>
        <w:rPr>
          <w:rStyle w:val="Code"/>
        </w:rPr>
        <w:t>&lt;/sic&gt;&lt;corr&gt;</w:t>
      </w:r>
      <w:r>
        <w:rPr>
          <w:rStyle w:val="Codetext"/>
        </w:rPr>
        <w:t>sa</w:t>
      </w:r>
      <w:r>
        <w:rPr>
          <w:rStyle w:val="Code"/>
        </w:rPr>
        <w:t>&lt;/corr&gt;&lt;/choice&gt;</w:t>
      </w:r>
      <w:r>
        <w:rPr>
          <w:rStyle w:val="Codetext"/>
        </w:rPr>
        <w:t>dharma</w:t>
      </w:r>
    </w:p>
    <w:p w14:paraId="3F6CF186" w14:textId="77777777">
      <w:pPr>
        <w:pStyle w:val="Lista2"/>
      </w:pPr>
      <w:r>
        <w:t>suppressing a vowel in a final position may require the transformation of the preceding consonant into a final form (if the writing system in question employs final consonant forms and one is applicable in the context)</w:t>
      </w:r>
    </w:p>
    <w:p w14:paraId="517A839C" w14:textId="77777777">
      <w:pPr>
        <w:pStyle w:val="Lista3"/>
      </w:pPr>
      <w:r>
        <w:t xml:space="preserve">e.g. correcting </w:t>
      </w:r>
      <w:r>
        <w:rPr>
          <w:rStyle w:val="Foreign"/>
        </w:rPr>
        <w:t>śrīmāna</w:t>
      </w:r>
      <w:r>
        <w:t xml:space="preserve"> to </w:t>
      </w:r>
      <w:r>
        <w:rPr>
          <w:rStyle w:val="Foreign"/>
        </w:rPr>
        <w:t>śrīmāN</w:t>
      </w:r>
      <w:r>
        <w:t xml:space="preserve"> is not simply the suppression of </w:t>
      </w:r>
      <w:r>
        <w:rPr>
          <w:rStyle w:val="Foreign"/>
        </w:rPr>
        <w:t>a</w:t>
      </w:r>
      <w:r>
        <w:t xml:space="preserve">, but a correction of </w:t>
      </w:r>
      <w:r>
        <w:rPr>
          <w:rStyle w:val="Foreign"/>
        </w:rPr>
        <w:t>na</w:t>
      </w:r>
      <w:r>
        <w:t xml:space="preserve"> to </w:t>
      </w:r>
      <w:r>
        <w:rPr>
          <w:rStyle w:val="Foreign"/>
        </w:rPr>
        <w:t>N</w:t>
      </w:r>
      <w:r>
        <w:t xml:space="preserve">: </w:t>
      </w:r>
      <w:r>
        <w:rPr>
          <w:rStyle w:val="Codetext"/>
        </w:rPr>
        <w:t>śrīmā</w:t>
      </w:r>
      <w:r>
        <w:rPr>
          <w:rStyle w:val="Code"/>
        </w:rPr>
        <w:t>&lt;choice&gt;&lt;sic&gt;</w:t>
      </w:r>
      <w:r>
        <w:rPr>
          <w:rStyle w:val="Codetext"/>
        </w:rPr>
        <w:t>na</w:t>
      </w:r>
      <w:r>
        <w:rPr>
          <w:rStyle w:val="Code"/>
        </w:rPr>
        <w:t>&lt;/sic&gt;&lt;corr&gt;</w:t>
      </w:r>
      <w:r>
        <w:rPr>
          <w:rStyle w:val="Codetext"/>
        </w:rPr>
        <w:t>N</w:t>
      </w:r>
      <w:r>
        <w:rPr>
          <w:rStyle w:val="Code"/>
        </w:rPr>
        <w:t>&lt;/corr&gt;&lt;/choice&gt;</w:t>
      </w:r>
    </w:p>
    <w:p w14:paraId="6417E105" w14:textId="77777777">
      <w:pPr>
        <w:pStyle w:val="Lista"/>
      </w:pPr>
      <w:r>
        <w:t>due to the nature of our transliteration scheme, some source graphemes are represented by digraphs in our editions, but an editorial change that apparently affects only part of a digraph (a single target grapheme) in fact affects a complete source grapheme (represented by two target graphemes); for example</w:t>
      </w:r>
    </w:p>
    <w:p w14:paraId="0320657F" w14:textId="77777777">
      <w:pPr>
        <w:pStyle w:val="Lista2"/>
      </w:pPr>
      <w:r>
        <w:t xml:space="preserve">if the scribe engraved </w:t>
      </w:r>
      <w:r>
        <w:rPr>
          <w:rStyle w:val="Foreign"/>
        </w:rPr>
        <w:t>sukhya</w:t>
      </w:r>
      <w:r>
        <w:t xml:space="preserve"> and you correct this to </w:t>
      </w:r>
      <w:r>
        <w:rPr>
          <w:rStyle w:val="Foreign"/>
        </w:rPr>
        <w:t>saukhya</w:t>
      </w:r>
      <w:r>
        <w:t xml:space="preserve">, your rectification of that error is a correction of </w:t>
      </w:r>
      <w:r>
        <w:rPr>
          <w:rStyle w:val="Foreign"/>
        </w:rPr>
        <w:t>u</w:t>
      </w:r>
      <w:r>
        <w:t xml:space="preserve"> to </w:t>
      </w:r>
      <w:r>
        <w:rPr>
          <w:rStyle w:val="Foreign"/>
        </w:rPr>
        <w:t>au</w:t>
      </w:r>
      <w:r>
        <w:t xml:space="preserve">: </w:t>
      </w:r>
      <w:r>
        <w:rPr>
          <w:rStyle w:val="Codetext"/>
        </w:rPr>
        <w:t>s</w:t>
      </w:r>
      <w:r>
        <w:rPr>
          <w:rStyle w:val="Code"/>
        </w:rPr>
        <w:t>&lt;choice&gt;&lt;sic&gt;</w:t>
      </w:r>
      <w:r>
        <w:rPr>
          <w:rStyle w:val="Codetext"/>
        </w:rPr>
        <w:t>u</w:t>
      </w:r>
      <w:r>
        <w:rPr>
          <w:rStyle w:val="Code"/>
        </w:rPr>
        <w:t>&lt;/sic&gt;&lt;corr&gt;</w:t>
      </w:r>
      <w:r>
        <w:rPr>
          <w:rStyle w:val="Codetext"/>
        </w:rPr>
        <w:t>au</w:t>
      </w:r>
      <w:r>
        <w:rPr>
          <w:rStyle w:val="Code"/>
        </w:rPr>
        <w:t>&lt;/corr&gt;&lt;/choice&gt;</w:t>
      </w:r>
      <w:r>
        <w:rPr>
          <w:rStyle w:val="Codetext"/>
        </w:rPr>
        <w:t>khya</w:t>
      </w:r>
    </w:p>
    <w:p w14:paraId="0CE2631A" w14:textId="77777777">
      <w:pPr>
        <w:pStyle w:val="Lista3"/>
      </w:pPr>
      <w:r>
        <w:t xml:space="preserve">not restitution of </w:t>
      </w:r>
      <w:r>
        <w:rPr>
          <w:rStyle w:val="Foreign"/>
        </w:rPr>
        <w:t>a</w:t>
      </w:r>
      <w:r>
        <w:t>, even though in transliteration you are only adding a single target grapheme</w:t>
      </w:r>
    </w:p>
    <w:p w14:paraId="64008522" w14:textId="77777777">
      <w:pPr>
        <w:pStyle w:val="Lista2"/>
      </w:pPr>
      <w:r>
        <w:t xml:space="preserve">if the scribe engraved </w:t>
      </w:r>
      <w:r>
        <w:rPr>
          <w:rStyle w:val="Foreign"/>
        </w:rPr>
        <w:t>utphannasya</w:t>
      </w:r>
      <w:r>
        <w:t xml:space="preserve"> and you correct this to </w:t>
      </w:r>
      <w:r>
        <w:rPr>
          <w:rStyle w:val="Foreign"/>
        </w:rPr>
        <w:t>utpannasya</w:t>
      </w:r>
      <w:r>
        <w:t xml:space="preserve">, your rectification of that error is a correction of </w:t>
      </w:r>
      <w:r>
        <w:rPr>
          <w:rStyle w:val="Foreign"/>
        </w:rPr>
        <w:t>ph</w:t>
      </w:r>
      <w:r>
        <w:t xml:space="preserve"> to </w:t>
      </w:r>
      <w:r>
        <w:rPr>
          <w:rStyle w:val="Foreign"/>
        </w:rPr>
        <w:t>p</w:t>
      </w:r>
      <w:r>
        <w:t xml:space="preserve">: </w:t>
      </w:r>
      <w:r>
        <w:rPr>
          <w:rStyle w:val="Codetext"/>
        </w:rPr>
        <w:t>ut</w:t>
      </w:r>
      <w:r>
        <w:rPr>
          <w:rStyle w:val="Code"/>
        </w:rPr>
        <w:t>&lt;choice&gt;&lt;sic&gt;</w:t>
      </w:r>
      <w:r>
        <w:rPr>
          <w:rStyle w:val="Codetext"/>
        </w:rPr>
        <w:t>ph</w:t>
      </w:r>
      <w:r>
        <w:rPr>
          <w:rStyle w:val="Code"/>
        </w:rPr>
        <w:t>&lt;/sic&gt;&lt;corr&gt;</w:t>
      </w:r>
      <w:r>
        <w:rPr>
          <w:rStyle w:val="Codetext"/>
        </w:rPr>
        <w:t>p</w:t>
      </w:r>
      <w:r>
        <w:rPr>
          <w:rStyle w:val="Code"/>
        </w:rPr>
        <w:t>&lt;/corr&gt;&lt;/choice&gt;</w:t>
      </w:r>
      <w:r>
        <w:rPr>
          <w:rStyle w:val="Codetext"/>
        </w:rPr>
        <w:t>annasya</w:t>
      </w:r>
    </w:p>
    <w:p w14:paraId="03004C07" w14:textId="77777777">
      <w:pPr>
        <w:pStyle w:val="Lista3"/>
      </w:pPr>
      <w:r>
        <w:t xml:space="preserve">not suppression of </w:t>
      </w:r>
      <w:r>
        <w:rPr>
          <w:rStyle w:val="Foreign"/>
        </w:rPr>
        <w:t>h</w:t>
      </w:r>
      <w:r>
        <w:t>, even though in transliteration you are only removing a single target grapheme</w:t>
      </w:r>
    </w:p>
    <w:p w14:paraId="3D715533" w14:textId="77777777">
      <w:pPr>
        <w:pStyle w:val="Lista2"/>
      </w:pPr>
      <w:r>
        <w:t xml:space="preserve">if the scribe engraved </w:t>
      </w:r>
      <w:r>
        <w:rPr>
          <w:rStyle w:val="Foreign"/>
        </w:rPr>
        <w:t>nikhāya</w:t>
      </w:r>
      <w:r>
        <w:t xml:space="preserve"> and you correct this to </w:t>
      </w:r>
      <w:r>
        <w:rPr>
          <w:rStyle w:val="Foreign"/>
        </w:rPr>
        <w:t>nidhāya</w:t>
      </w:r>
      <w:r>
        <w:t xml:space="preserve">, your rectification of that error is a correction of </w:t>
      </w:r>
      <w:r>
        <w:rPr>
          <w:rStyle w:val="Foreign"/>
        </w:rPr>
        <w:t>kh</w:t>
      </w:r>
      <w:r>
        <w:t xml:space="preserve"> to </w:t>
      </w:r>
      <w:r>
        <w:rPr>
          <w:rStyle w:val="Foreign"/>
        </w:rPr>
        <w:t>dh</w:t>
      </w:r>
      <w:r>
        <w:t xml:space="preserve">: </w:t>
      </w:r>
      <w:r>
        <w:rPr>
          <w:rStyle w:val="Codetext"/>
        </w:rPr>
        <w:t>ni</w:t>
      </w:r>
      <w:r>
        <w:rPr>
          <w:rStyle w:val="Code"/>
        </w:rPr>
        <w:t>&lt;choice&gt;&lt;sic&gt;</w:t>
      </w:r>
      <w:r>
        <w:rPr>
          <w:rStyle w:val="Codetext"/>
        </w:rPr>
        <w:t>kh</w:t>
      </w:r>
      <w:r>
        <w:rPr>
          <w:rStyle w:val="Code"/>
        </w:rPr>
        <w:t>&lt;/sic&gt;&lt;corr&gt;</w:t>
      </w:r>
      <w:r>
        <w:rPr>
          <w:rStyle w:val="Codetext"/>
        </w:rPr>
        <w:t>dh</w:t>
      </w:r>
      <w:r>
        <w:rPr>
          <w:rStyle w:val="Code"/>
        </w:rPr>
        <w:t>&lt;/corr&gt;&lt;/choice&gt;</w:t>
      </w:r>
      <w:r>
        <w:rPr>
          <w:rStyle w:val="Codetext"/>
        </w:rPr>
        <w:t>āya</w:t>
      </w:r>
    </w:p>
    <w:p w14:paraId="3FDE6942" w14:textId="77777777">
      <w:pPr>
        <w:pStyle w:val="Lista3"/>
      </w:pPr>
      <w:r>
        <w:t xml:space="preserve">not correction of </w:t>
      </w:r>
      <w:r>
        <w:rPr>
          <w:rStyle w:val="Foreign"/>
        </w:rPr>
        <w:t>k</w:t>
      </w:r>
      <w:r>
        <w:t xml:space="preserve"> to </w:t>
      </w:r>
      <w:r>
        <w:rPr>
          <w:rStyle w:val="Foreign"/>
        </w:rPr>
        <w:t>d</w:t>
      </w:r>
      <w:r>
        <w:t>, even though in transliteration you are only changing that target grapheme</w:t>
      </w:r>
    </w:p>
    <w:p w14:paraId="5278F0C0" w14:textId="77777777">
      <w:pPr>
        <w:pStyle w:val="Cmsor3"/>
      </w:pPr>
      <w:bookmarkStart w:id="663" w:name="_Ref228973253"/>
      <w:bookmarkStart w:id="664" w:name="_Toc243922698"/>
      <w:r>
        <w:t>The scope of editorial intervention</w:t>
      </w:r>
      <w:bookmarkEnd w:id="663"/>
      <w:bookmarkEnd w:id="664"/>
    </w:p>
    <w:p w14:paraId="04B8E58C" w14:textId="3B3577A0">
      <w:r>
        <w:rPr>
          <w:lang w:eastAsia="en-US" w:bidi="ar-SA"/>
        </w:rPr>
        <w:t xml:space="preserve">When you flag or rectify anomalous language, the </w:t>
      </w:r>
      <w:r>
        <w:t>size of segments included in your tags should generally be whatever you deem to be a reasonable minimum to which the anomaly can be localised. Instead of placing only the absolute minimum within your tags, you may choose to include relevant context. In this connection, relevant context means any adjacent graphemes (or, for higher-level intervention, adjacent morphemes) which in your opinion may have played a role in generating the anomaly (as phonetic context engendering the use of an unexpected phoneme; as graphetic context engendering the use of an unexpected graph; or as grammatical or semantic context engendering the use of an unexpected word or morpheme), or are useful for highlighting the nature of the anomaly by suggesting what the expected reading should have been. Whether or not to include context is not a wholly subjective decision, and the choice has very little ultimate effect on our corpus so long as the received text is faithfully reproduced and any editorial intervention accurately reflects the rectified text. See also §</w:t>
      </w:r>
      <w:r>
        <w:fldChar w:fldCharType="begin"/>
      </w:r>
      <w:r>
        <w:instrText xml:space="preserve"> REF _Ref228956991 \r \h </w:instrText>
      </w:r>
      <w:r>
        <w:fldChar w:fldCharType="separate"/>
      </w:r>
      <w:r>
        <w:t>7.7.3</w:t>
      </w:r>
      <w:r>
        <w:fldChar w:fldCharType="end"/>
      </w:r>
      <w:r>
        <w:t xml:space="preserve"> on the option to encode several editorial changes as a single intervention. Additional considerations are provided for the normalisation and flagging of non-standard readings (§</w:t>
      </w:r>
      <w:r>
        <w:fldChar w:fldCharType="begin"/>
      </w:r>
      <w:r>
        <w:instrText xml:space="preserve"> REF _Ref228957347 \r \h </w:instrText>
      </w:r>
      <w:r>
        <w:fldChar w:fldCharType="separate"/>
      </w:r>
      <w:r>
        <w:t>7.7.2.1</w:t>
      </w:r>
      <w:r>
        <w:fldChar w:fldCharType="end"/>
      </w:r>
      <w:r>
        <w:t xml:space="preserve">). </w:t>
      </w:r>
    </w:p>
    <w:p w14:paraId="444ADFA3" w14:textId="77777777">
      <w:pPr>
        <w:pStyle w:val="Lista"/>
      </w:pPr>
      <w:r>
        <w:t>the rectification of orthography should target only the specific graphemes involved</w:t>
      </w:r>
    </w:p>
    <w:p w14:paraId="07723767" w14:textId="77777777">
      <w:pPr>
        <w:pStyle w:val="Lista2"/>
      </w:pPr>
      <w:r>
        <w:t>when anomalous orthography is flagged but not corrected, you may choose to include relevant context</w:t>
      </w:r>
    </w:p>
    <w:p w14:paraId="43C40CF6" w14:textId="77777777">
      <w:pPr>
        <w:pStyle w:val="Lista3"/>
      </w:pPr>
      <w:r>
        <w:t xml:space="preserve">e.g. </w:t>
      </w:r>
      <w:r>
        <w:rPr>
          <w:rStyle w:val="Codetext"/>
        </w:rPr>
        <w:t>sahas</w:t>
      </w:r>
      <w:r>
        <w:rPr>
          <w:rStyle w:val="Code"/>
        </w:rPr>
        <w:t>&lt;orig&gt;</w:t>
      </w:r>
      <w:r>
        <w:rPr>
          <w:rStyle w:val="Codetext"/>
        </w:rPr>
        <w:t>rān</w:t>
      </w:r>
      <w:r>
        <w:rPr>
          <w:rStyle w:val="Code"/>
        </w:rPr>
        <w:t>&lt;/orig&gt;</w:t>
      </w:r>
      <w:r>
        <w:rPr>
          <w:rStyle w:val="Codetext"/>
        </w:rPr>
        <w:t>i</w:t>
      </w:r>
      <w:r>
        <w:t xml:space="preserve"> </w:t>
      </w:r>
      <w:r>
        <w:rPr>
          <w:noProof/>
        </w:rPr>
        <w:t>(</w:t>
      </w:r>
      <w:r>
        <w:rPr>
          <w:rStyle w:val="Foreign"/>
        </w:rPr>
        <w:t>sahasrāṇi</w:t>
      </w:r>
      <w:r>
        <w:t xml:space="preserve"> is expected, and it is the vicinity of </w:t>
      </w:r>
      <w:r>
        <w:rPr>
          <w:rStyle w:val="Foreign"/>
        </w:rPr>
        <w:t>r</w:t>
      </w:r>
      <w:r>
        <w:t xml:space="preserve"> that drives the retroflexion of </w:t>
      </w:r>
      <w:r>
        <w:rPr>
          <w:rStyle w:val="Foreign"/>
        </w:rPr>
        <w:t>n</w:t>
      </w:r>
      <w:r>
        <w:t>)</w:t>
      </w:r>
    </w:p>
    <w:p w14:paraId="53320917" w14:textId="77777777">
      <w:pPr>
        <w:pStyle w:val="Lista"/>
      </w:pPr>
      <w:r>
        <w:t>the rectification of grammar may target</w:t>
      </w:r>
    </w:p>
    <w:p w14:paraId="41939B63" w14:textId="77777777">
      <w:pPr>
        <w:pStyle w:val="Lista2"/>
      </w:pPr>
      <w:r>
        <w:t>a specific grapheme or a small cluster of adjacent graphemes, when this is sufficient to clarify the correction</w:t>
      </w:r>
    </w:p>
    <w:p w14:paraId="56BCEB3F" w14:textId="77777777">
      <w:pPr>
        <w:pStyle w:val="Lista3"/>
      </w:pPr>
      <w:r>
        <w:t xml:space="preserve">e.g. </w:t>
      </w:r>
      <w:r>
        <w:rPr>
          <w:rStyle w:val="Codetext"/>
        </w:rPr>
        <w:t>yuṣmābh</w:t>
      </w:r>
      <w:r>
        <w:rPr>
          <w:rStyle w:val="Code"/>
        </w:rPr>
        <w:t>&lt;choice&gt;&lt;sic&gt;ya&lt;/sic&gt;&lt;corr&gt;</w:t>
      </w:r>
      <w:r>
        <w:rPr>
          <w:rStyle w:val="Codetext"/>
        </w:rPr>
        <w:t>i</w:t>
      </w:r>
      <w:r>
        <w:rPr>
          <w:rStyle w:val="Code"/>
        </w:rPr>
        <w:t>&lt;/corr&gt;&lt;/choice&gt;</w:t>
      </w:r>
      <w:r>
        <w:rPr>
          <w:rStyle w:val="Codetext"/>
        </w:rPr>
        <w:t>ḥ</w:t>
      </w:r>
    </w:p>
    <w:p w14:paraId="2899B843" w14:textId="77777777">
      <w:pPr>
        <w:pStyle w:val="Lista2"/>
      </w:pPr>
      <w:r>
        <w:t>the whole of a morpheme (word, stem, prefix, suffix, ending) when you feel that this improves clarity or when several non-adjacent graphemes would otherwise need to be modified</w:t>
      </w:r>
    </w:p>
    <w:p w14:paraId="2C3EBD28" w14:textId="77777777">
      <w:pPr>
        <w:pStyle w:val="Lista3"/>
      </w:pPr>
      <w:r>
        <w:t xml:space="preserve">e.g. </w:t>
      </w:r>
      <w:r>
        <w:rPr>
          <w:rStyle w:val="Codetext"/>
        </w:rPr>
        <w:t>mahārāj</w:t>
      </w:r>
      <w:r>
        <w:rPr>
          <w:rStyle w:val="Code"/>
        </w:rPr>
        <w:t>&lt;choice&gt;&lt;sic&gt;</w:t>
      </w:r>
      <w:r>
        <w:rPr>
          <w:rStyle w:val="Codetext"/>
        </w:rPr>
        <w:t>asya</w:t>
      </w:r>
      <w:r>
        <w:rPr>
          <w:rStyle w:val="Code"/>
        </w:rPr>
        <w:t>&lt;/sic&gt;&lt;corr&gt;</w:t>
      </w:r>
      <w:r>
        <w:rPr>
          <w:rStyle w:val="Codetext"/>
        </w:rPr>
        <w:t>ena</w:t>
      </w:r>
      <w:r>
        <w:rPr>
          <w:rStyle w:val="Code"/>
        </w:rPr>
        <w:t>&lt;/corr&gt;&lt;/choice&gt;</w:t>
      </w:r>
    </w:p>
    <w:p w14:paraId="7DEB60B3" w14:textId="77777777">
      <w:pPr>
        <w:pStyle w:val="Lista2"/>
      </w:pPr>
      <w:r>
        <w:lastRenderedPageBreak/>
        <w:t>when anomalous grammar is flagged but not corrected, you may choose to include context beyond the affected word</w:t>
      </w:r>
    </w:p>
    <w:p w14:paraId="49E9A392" w14:textId="77777777">
      <w:pPr>
        <w:pStyle w:val="Lista3"/>
      </w:pPr>
      <w:r>
        <w:t xml:space="preserve">e.g. </w:t>
      </w:r>
      <w:r>
        <w:rPr>
          <w:rStyle w:val="Code"/>
        </w:rPr>
        <w:t>&lt;orig&gt;</w:t>
      </w:r>
      <w:r>
        <w:rPr>
          <w:rStyle w:val="Codetext"/>
        </w:rPr>
        <w:t>tasmai viprasya</w:t>
      </w:r>
      <w:r>
        <w:rPr>
          <w:rStyle w:val="Code"/>
        </w:rPr>
        <w:t>&lt;/orig&gt;</w:t>
      </w:r>
      <w:r>
        <w:t xml:space="preserve"> (where either </w:t>
      </w:r>
      <w:r>
        <w:rPr>
          <w:rStyle w:val="Foreign"/>
        </w:rPr>
        <w:t>tasya viprasya</w:t>
      </w:r>
      <w:r>
        <w:t xml:space="preserve"> or </w:t>
      </w:r>
      <w:r>
        <w:rPr>
          <w:rStyle w:val="Foreign"/>
        </w:rPr>
        <w:t>tasmai viprāya</w:t>
      </w:r>
      <w:r>
        <w:t xml:space="preserve"> would be expected)</w:t>
      </w:r>
    </w:p>
    <w:p w14:paraId="2334EB49" w14:textId="77777777">
      <w:pPr>
        <w:pStyle w:val="Lista"/>
      </w:pPr>
      <w:r>
        <w:t>the rectification (in particular, normalisation) of non-standard lexicon should normally target whole words</w:t>
      </w:r>
    </w:p>
    <w:p w14:paraId="403321CB" w14:textId="77777777">
      <w:pPr>
        <w:pStyle w:val="Lista2"/>
      </w:pPr>
      <w:r>
        <w:t>but you may choose to target smaller units if this seems more expedient, for instance in a word that mixes Sanskritic and Middle Indic characteristics</w:t>
      </w:r>
    </w:p>
    <w:p w14:paraId="04A42D29" w14:textId="2C60FAEC">
      <w:pPr>
        <w:pStyle w:val="Lista"/>
      </w:pPr>
      <w:r>
        <w:t>editorial intervention at a larger scale, involving entire phrases or the transposition of words, should preferably not be made in the edition but only suggested in an apparatus note (§</w:t>
      </w:r>
      <w:r>
        <w:fldChar w:fldCharType="begin"/>
      </w:r>
      <w:r>
        <w:instrText xml:space="preserve"> REF _Ref43988104 \w \h  \* MERGEFORMAT </w:instrText>
      </w:r>
      <w:r>
        <w:fldChar w:fldCharType="separate"/>
      </w:r>
      <w:r>
        <w:t>10.7</w:t>
      </w:r>
      <w:r>
        <w:fldChar w:fldCharType="end"/>
      </w:r>
      <w:r>
        <w:t>)</w:t>
      </w:r>
    </w:p>
    <w:p w14:paraId="29652B27" w14:textId="77777777">
      <w:pPr>
        <w:pStyle w:val="Lista2"/>
      </w:pPr>
      <w:r>
        <w:t>but exceptions may be made for well-understood text with numerous anomalies</w:t>
      </w:r>
    </w:p>
    <w:p w14:paraId="293545EB" w14:textId="77777777">
      <w:pPr>
        <w:pStyle w:val="Lista2"/>
      </w:pPr>
      <w:r>
        <w:t xml:space="preserve">in particular, feel free to include the contents of an entire </w:t>
      </w:r>
      <w:r>
        <w:rPr>
          <w:rStyle w:val="Code"/>
        </w:rPr>
        <w:t>&lt;l&gt;</w:t>
      </w:r>
      <w:r>
        <w:t xml:space="preserve"> element in a single substitution in the stock admonitory stanzas cited in land grants, whose error-rate is often much higher than in the remainder of an inscription</w:t>
      </w:r>
    </w:p>
    <w:p w14:paraId="7BC81E89" w14:textId="77777777">
      <w:pPr>
        <w:pStyle w:val="Lista3"/>
      </w:pPr>
      <w:r>
        <w:t xml:space="preserve">e.g. </w:t>
      </w:r>
      <w:r>
        <w:rPr>
          <w:rStyle w:val="Code"/>
        </w:rPr>
        <w:t>&lt;l&gt;&lt;choice&gt;&lt;orig&gt;</w:t>
      </w:r>
      <w:r>
        <w:rPr>
          <w:rStyle w:val="Codetext"/>
        </w:rPr>
        <w:t>sva-datnā para-datnā vvā</w:t>
      </w:r>
      <w:r>
        <w:rPr>
          <w:rStyle w:val="Code"/>
        </w:rPr>
        <w:t>&lt;/orig&gt;&lt;reg&gt;</w:t>
      </w:r>
      <w:r>
        <w:rPr>
          <w:rStyle w:val="Codetext"/>
        </w:rPr>
        <w:t>sva-dattāṁ para-dattāṁ vā</w:t>
      </w:r>
      <w:r>
        <w:rPr>
          <w:rStyle w:val="Code"/>
        </w:rPr>
        <w:t>&lt;/reg&gt;&lt;/choice&gt;&lt;/l&gt;</w:t>
      </w:r>
    </w:p>
    <w:p w14:paraId="474869A0" w14:textId="77777777">
      <w:pPr>
        <w:pStyle w:val="Cmsor4"/>
      </w:pPr>
      <w:bookmarkStart w:id="665" w:name="_Ref228957347"/>
      <w:r>
        <w:t>The minimum scope of intervention for non-standard readings</w:t>
      </w:r>
      <w:bookmarkEnd w:id="665"/>
    </w:p>
    <w:p w14:paraId="400902B4" w14:textId="19D4E618">
      <w:r>
        <w:t>As indicated in §</w:t>
      </w:r>
      <w:r>
        <w:fldChar w:fldCharType="begin"/>
      </w:r>
      <w:r>
        <w:instrText xml:space="preserve"> REF _Ref228885762 \r \h </w:instrText>
      </w:r>
      <w:r>
        <w:fldChar w:fldCharType="separate"/>
      </w:r>
      <w:r>
        <w:t>7.2.1</w:t>
      </w:r>
      <w:r>
        <w:fldChar w:fldCharType="end"/>
      </w:r>
      <w:r>
        <w:t xml:space="preserve"> above, there is no encoding method dedicated to the suppression or restitution of individual graphemes in the framework of normalisation, so normalisation must always be encoded as substitution, even if the normalised reading can be obtained simply by adding or removing specific graphemes to or from the received text. Although it is theoretically permissible to leave empty either of the children of </w:t>
      </w:r>
      <w:r>
        <w:rPr>
          <w:rStyle w:val="Code"/>
        </w:rPr>
        <w:t>&lt;choice&gt;</w:t>
      </w:r>
      <w:r>
        <w:t xml:space="preserve"> </w:t>
      </w:r>
      <w:r>
        <w:rPr>
          <w:noProof/>
        </w:rPr>
        <w:t>(</w:t>
      </w:r>
      <w:r>
        <w:t xml:space="preserve">i.e. </w:t>
      </w:r>
      <w:r>
        <w:rPr>
          <w:rStyle w:val="Code"/>
        </w:rPr>
        <w:t>&lt;orig&gt;</w:t>
      </w:r>
      <w:r>
        <w:t xml:space="preserve"> or </w:t>
      </w:r>
      <w:r>
        <w:rPr>
          <w:rStyle w:val="Code"/>
        </w:rPr>
        <w:t>&lt;reg&gt;</w:t>
      </w:r>
      <w:r>
        <w:t xml:space="preserve">), and thus simulate suppletion or suppression, we avoid doing this in DHARMA practice because it is conceptually complicated and may be difficult to interpret when rendered for display. Moreover, doing so would still leave us without a method for merely flagging a locus that could be normalised by adding a specific grapheme. Therefore, when flagging or normalising non-standard usage, at least one adjacent grapheme must be included in your markup in the following situations. </w:t>
      </w:r>
    </w:p>
    <w:p w14:paraId="34B99C97" w14:textId="77777777">
      <w:pPr>
        <w:pStyle w:val="Lista"/>
      </w:pPr>
      <w:r>
        <w:t>when non-standard orthography manifests as the absence of an expected grapheme, then relevant context must be included in the markup</w:t>
      </w:r>
    </w:p>
    <w:p w14:paraId="4FB92798" w14:textId="77777777">
      <w:pPr>
        <w:pStyle w:val="Lista2"/>
      </w:pPr>
      <w:r>
        <w:t>in flagging (because nothing else is there to flag), e.g.</w:t>
      </w:r>
    </w:p>
    <w:p w14:paraId="0D30CACA" w14:textId="77777777">
      <w:pPr>
        <w:pStyle w:val="Lista3"/>
      </w:pPr>
      <w:r>
        <w:rPr>
          <w:rStyle w:val="Codetext"/>
        </w:rPr>
        <w:t>sa</w:t>
      </w:r>
      <w:r>
        <w:rPr>
          <w:rStyle w:val="Code"/>
        </w:rPr>
        <w:t>&lt;orig&gt;</w:t>
      </w:r>
      <w:r>
        <w:rPr>
          <w:rStyle w:val="Codetext"/>
        </w:rPr>
        <w:t>t</w:t>
      </w:r>
      <w:r>
        <w:rPr>
          <w:rStyle w:val="Code"/>
        </w:rPr>
        <w:t>&lt;/orig&gt;v</w:t>
      </w:r>
      <w:r>
        <w:rPr>
          <w:rStyle w:val="Codetext"/>
        </w:rPr>
        <w:t>a</w:t>
      </w:r>
    </w:p>
    <w:p w14:paraId="23E04F52" w14:textId="77777777">
      <w:pPr>
        <w:pStyle w:val="Lista3"/>
      </w:pPr>
      <w:r>
        <w:rPr>
          <w:rStyle w:val="Codetext"/>
        </w:rPr>
        <w:t>qə</w:t>
      </w:r>
      <w:r>
        <w:rPr>
          <w:rStyle w:val="Code"/>
        </w:rPr>
        <w:t>&lt;orig&gt;</w:t>
      </w:r>
      <w:r>
        <w:rPr>
          <w:rStyle w:val="Codetext"/>
        </w:rPr>
        <w:t>c</w:t>
      </w:r>
      <w:r>
        <w:rPr>
          <w:rStyle w:val="Code"/>
        </w:rPr>
        <w:t>&lt;/orig&gt;</w:t>
      </w:r>
      <w:r>
        <w:rPr>
          <w:rStyle w:val="Codetext"/>
        </w:rPr>
        <w:t>u</w:t>
      </w:r>
    </w:p>
    <w:p w14:paraId="6F4FCF82" w14:textId="77777777">
      <w:pPr>
        <w:pStyle w:val="Lista3"/>
      </w:pPr>
      <w:r>
        <w:rPr>
          <w:rStyle w:val="Codetext"/>
        </w:rPr>
        <w:t>sakuli</w:t>
      </w:r>
      <w:r>
        <w:rPr>
          <w:rStyle w:val="Code"/>
        </w:rPr>
        <w:t>&lt;orig&gt;</w:t>
      </w:r>
      <w:r>
        <w:rPr>
          <w:rStyle w:val="Codetext"/>
        </w:rPr>
        <w:t>li</w:t>
      </w:r>
      <w:r>
        <w:rPr>
          <w:rStyle w:val="Code"/>
        </w:rPr>
        <w:t>&lt;/orig&gt;</w:t>
      </w:r>
      <w:r>
        <w:rPr>
          <w:rStyle w:val="Codetext"/>
        </w:rPr>
        <w:t xml:space="preserve"> ḍayəḥ</w:t>
      </w:r>
    </w:p>
    <w:p w14:paraId="63D89C72" w14:textId="77777777">
      <w:pPr>
        <w:pStyle w:val="Lista2"/>
      </w:pPr>
      <w:r>
        <w:t xml:space="preserve">as well as in normalisation (to avoid using an empty </w:t>
      </w:r>
      <w:r>
        <w:rPr>
          <w:rStyle w:val="Code"/>
        </w:rPr>
        <w:t>&lt;orig&gt;</w:t>
      </w:r>
      <w:r>
        <w:t xml:space="preserve"> element), e.g.</w:t>
      </w:r>
    </w:p>
    <w:p w14:paraId="07F6A2C0" w14:textId="77777777">
      <w:pPr>
        <w:pStyle w:val="Lista3"/>
      </w:pPr>
      <w:r>
        <w:rPr>
          <w:rStyle w:val="Codetext"/>
        </w:rPr>
        <w:t>sa</w:t>
      </w:r>
      <w:r>
        <w:rPr>
          <w:rStyle w:val="Code"/>
        </w:rPr>
        <w:t>&lt;choice&gt;&lt;orig&gt;</w:t>
      </w:r>
      <w:r>
        <w:rPr>
          <w:rStyle w:val="Codetext"/>
        </w:rPr>
        <w:t>t</w:t>
      </w:r>
      <w:r>
        <w:rPr>
          <w:rStyle w:val="Code"/>
        </w:rPr>
        <w:t>&lt;/orig&gt;&lt;reg&gt;</w:t>
      </w:r>
      <w:r>
        <w:rPr>
          <w:rStyle w:val="Codetext"/>
        </w:rPr>
        <w:t>tt</w:t>
      </w:r>
      <w:r>
        <w:rPr>
          <w:rStyle w:val="Code"/>
        </w:rPr>
        <w:t>&lt;/reg&gt;&lt;/choice&gt;v</w:t>
      </w:r>
      <w:r>
        <w:rPr>
          <w:rStyle w:val="Codetext"/>
        </w:rPr>
        <w:t>a</w:t>
      </w:r>
    </w:p>
    <w:p w14:paraId="1BCE515B" w14:textId="77777777">
      <w:pPr>
        <w:pStyle w:val="Lista3"/>
      </w:pPr>
      <w:r>
        <w:rPr>
          <w:rStyle w:val="Codetext"/>
        </w:rPr>
        <w:t>qə</w:t>
      </w:r>
      <w:r>
        <w:rPr>
          <w:rStyle w:val="Code"/>
        </w:rPr>
        <w:t>&lt;choice&gt;&lt;orig&gt;</w:t>
      </w:r>
      <w:r>
        <w:rPr>
          <w:rStyle w:val="Codetext"/>
        </w:rPr>
        <w:t>c</w:t>
      </w:r>
      <w:r>
        <w:rPr>
          <w:rStyle w:val="Code"/>
        </w:rPr>
        <w:t>&lt;/orig&gt;&lt;reg&gt;</w:t>
      </w:r>
      <w:r>
        <w:rPr>
          <w:rStyle w:val="Codetext"/>
        </w:rPr>
        <w:t>ñc</w:t>
      </w:r>
      <w:r>
        <w:rPr>
          <w:rStyle w:val="Code"/>
        </w:rPr>
        <w:t>&lt;/reg&gt;&lt;/choice&gt;</w:t>
      </w:r>
      <w:r>
        <w:rPr>
          <w:rStyle w:val="Codetext"/>
        </w:rPr>
        <w:t>u</w:t>
      </w:r>
    </w:p>
    <w:p w14:paraId="5513CCF9" w14:textId="77777777">
      <w:pPr>
        <w:pStyle w:val="Lista3"/>
      </w:pPr>
      <w:r>
        <w:rPr>
          <w:rStyle w:val="Codetext"/>
        </w:rPr>
        <w:t>sakuli</w:t>
      </w:r>
      <w:r>
        <w:rPr>
          <w:rStyle w:val="Code"/>
        </w:rPr>
        <w:t>&lt;choice&gt;&lt;orig&gt;</w:t>
      </w:r>
      <w:r>
        <w:rPr>
          <w:rStyle w:val="Codetext"/>
        </w:rPr>
        <w:t>li</w:t>
      </w:r>
      <w:r>
        <w:rPr>
          <w:rStyle w:val="Code"/>
        </w:rPr>
        <w:t>&lt;/orig&gt;&lt;reg&gt;</w:t>
      </w:r>
      <w:r>
        <w:rPr>
          <w:rStyle w:val="Codetext"/>
        </w:rPr>
        <w:t>liṁ</w:t>
      </w:r>
      <w:r>
        <w:rPr>
          <w:rStyle w:val="Code"/>
        </w:rPr>
        <w:t>&lt;/reg&gt;&lt;/choice&gt;</w:t>
      </w:r>
      <w:r>
        <w:rPr>
          <w:rStyle w:val="Codetext"/>
        </w:rPr>
        <w:t xml:space="preserve"> ḍayəḥ</w:t>
      </w:r>
    </w:p>
    <w:p w14:paraId="73AB6025" w14:textId="77777777">
      <w:pPr>
        <w:pStyle w:val="Lista"/>
      </w:pPr>
      <w:r>
        <w:t>when non-standard orthography manifests as the presence of a superfluous grapheme, then</w:t>
      </w:r>
    </w:p>
    <w:p w14:paraId="109456AB" w14:textId="77777777">
      <w:pPr>
        <w:pStyle w:val="Lista3"/>
      </w:pPr>
      <w:r>
        <w:t>choose at your discretion whether to flag only the superfluous grapheme or include relevant context, e.g.</w:t>
      </w:r>
    </w:p>
    <w:p w14:paraId="25CD8EE7" w14:textId="77777777">
      <w:pPr>
        <w:pStyle w:val="Lista4"/>
      </w:pPr>
      <w:r>
        <w:rPr>
          <w:rStyle w:val="Codetext"/>
        </w:rPr>
        <w:t>e</w:t>
      </w:r>
      <w:r>
        <w:rPr>
          <w:rStyle w:val="Code"/>
        </w:rPr>
        <w:t>&lt;orig&gt;</w:t>
      </w:r>
      <w:r>
        <w:rPr>
          <w:rStyle w:val="Codetext"/>
        </w:rPr>
        <w:t>ṉ</w:t>
      </w:r>
      <w:r>
        <w:rPr>
          <w:rStyle w:val="Code"/>
        </w:rPr>
        <w:t>&lt;/orig&gt;</w:t>
      </w:r>
      <w:r>
        <w:rPr>
          <w:rStyle w:val="Codetext"/>
        </w:rPr>
        <w:t>ṉ eḻuttu</w:t>
      </w:r>
      <w:r>
        <w:t xml:space="preserve"> or </w:t>
      </w:r>
      <w:r>
        <w:rPr>
          <w:rStyle w:val="Codetext"/>
        </w:rPr>
        <w:t>e</w:t>
      </w:r>
      <w:r>
        <w:rPr>
          <w:rStyle w:val="Code"/>
        </w:rPr>
        <w:t>&lt;orig&gt;</w:t>
      </w:r>
      <w:r>
        <w:rPr>
          <w:rStyle w:val="Codetext"/>
        </w:rPr>
        <w:t>ṉṉ</w:t>
      </w:r>
      <w:r>
        <w:rPr>
          <w:rStyle w:val="Code"/>
        </w:rPr>
        <w:t>&lt;/orig&gt;</w:t>
      </w:r>
      <w:r>
        <w:rPr>
          <w:rStyle w:val="Codetext"/>
        </w:rPr>
        <w:t xml:space="preserve"> eḻuttu</w:t>
      </w:r>
    </w:p>
    <w:p w14:paraId="59EFF0E9" w14:textId="77777777">
      <w:pPr>
        <w:pStyle w:val="Lista4"/>
      </w:pPr>
      <w:r>
        <w:rPr>
          <w:rStyle w:val="Codetext"/>
        </w:rPr>
        <w:t>sa</w:t>
      </w:r>
      <w:r>
        <w:rPr>
          <w:rStyle w:val="Code"/>
        </w:rPr>
        <w:t>&lt;orig&gt;</w:t>
      </w:r>
      <w:r>
        <w:rPr>
          <w:rStyle w:val="Codetext"/>
        </w:rPr>
        <w:t>ṁ</w:t>
      </w:r>
      <w:r>
        <w:rPr>
          <w:rStyle w:val="Code"/>
        </w:rPr>
        <w:t>&lt;/orig&gt;</w:t>
      </w:r>
      <w:r>
        <w:rPr>
          <w:rStyle w:val="Codetext"/>
        </w:rPr>
        <w:t>mvat</w:t>
      </w:r>
      <w:r>
        <w:t xml:space="preserve"> or </w:t>
      </w:r>
      <w:r>
        <w:rPr>
          <w:rStyle w:val="Codetext"/>
        </w:rPr>
        <w:t>sa</w:t>
      </w:r>
      <w:r>
        <w:rPr>
          <w:rStyle w:val="Code"/>
        </w:rPr>
        <w:t>&lt;orig&gt;</w:t>
      </w:r>
      <w:r>
        <w:rPr>
          <w:rStyle w:val="Codetext"/>
        </w:rPr>
        <w:t>ṁm</w:t>
      </w:r>
      <w:r>
        <w:rPr>
          <w:rStyle w:val="Code"/>
        </w:rPr>
        <w:t>&lt;/orig&gt;</w:t>
      </w:r>
      <w:r>
        <w:rPr>
          <w:rStyle w:val="Codetext"/>
        </w:rPr>
        <w:t>vat</w:t>
      </w:r>
    </w:p>
    <w:p w14:paraId="64F9EEF0" w14:textId="77777777">
      <w:pPr>
        <w:pStyle w:val="Lista3"/>
      </w:pPr>
      <w:r>
        <w:t xml:space="preserve">while relevant context must be included in normalisation (to avoid the creation of an empty </w:t>
      </w:r>
      <w:r>
        <w:rPr>
          <w:rStyle w:val="Code"/>
        </w:rPr>
        <w:t>&lt;reg&gt;</w:t>
      </w:r>
      <w:r>
        <w:t xml:space="preserve"> element), e.g.</w:t>
      </w:r>
    </w:p>
    <w:p w14:paraId="63505449" w14:textId="77777777">
      <w:pPr>
        <w:pStyle w:val="Lista4"/>
      </w:pPr>
      <w:r>
        <w:rPr>
          <w:rStyle w:val="Codetext"/>
        </w:rPr>
        <w:t>e</w:t>
      </w:r>
      <w:r>
        <w:rPr>
          <w:rStyle w:val="Code"/>
        </w:rPr>
        <w:t>&lt;choice&gt;&lt;orig&gt;</w:t>
      </w:r>
      <w:r>
        <w:rPr>
          <w:rStyle w:val="Codetext"/>
        </w:rPr>
        <w:t>ṉṉ</w:t>
      </w:r>
      <w:r>
        <w:rPr>
          <w:rStyle w:val="Code"/>
        </w:rPr>
        <w:t>&lt;/orig&gt;&lt;reg&gt;</w:t>
      </w:r>
      <w:r>
        <w:rPr>
          <w:rStyle w:val="Codetext"/>
        </w:rPr>
        <w:t>ṉ</w:t>
      </w:r>
      <w:r>
        <w:rPr>
          <w:rStyle w:val="Code"/>
        </w:rPr>
        <w:t>&lt;/reg&gt;&lt;/choice&gt;</w:t>
      </w:r>
      <w:r>
        <w:rPr>
          <w:rStyle w:val="Codetext"/>
        </w:rPr>
        <w:t xml:space="preserve"> eḻuttu</w:t>
      </w:r>
    </w:p>
    <w:p w14:paraId="1BBE7254" w14:textId="77777777">
      <w:pPr>
        <w:pStyle w:val="Lista4"/>
      </w:pPr>
      <w:r>
        <w:rPr>
          <w:rStyle w:val="Codetext"/>
        </w:rPr>
        <w:t>sa</w:t>
      </w:r>
      <w:r>
        <w:rPr>
          <w:rStyle w:val="Code"/>
        </w:rPr>
        <w:t>&lt;choice&gt;&lt;orig&gt;</w:t>
      </w:r>
      <w:r>
        <w:rPr>
          <w:rStyle w:val="Codetext"/>
        </w:rPr>
        <w:t>ṁm</w:t>
      </w:r>
      <w:r>
        <w:rPr>
          <w:rStyle w:val="Code"/>
        </w:rPr>
        <w:t>&lt;/orig&gt;&lt;reg&gt;</w:t>
      </w:r>
      <w:r>
        <w:rPr>
          <w:rStyle w:val="Codetext"/>
        </w:rPr>
        <w:t>m</w:t>
      </w:r>
      <w:r>
        <w:rPr>
          <w:rStyle w:val="Code"/>
        </w:rPr>
        <w:t>&lt;/reg&gt;&lt;/choice&gt;</w:t>
      </w:r>
      <w:r>
        <w:rPr>
          <w:rStyle w:val="Codetext"/>
        </w:rPr>
        <w:t>vat</w:t>
      </w:r>
    </w:p>
    <w:p w14:paraId="7434B304" w14:textId="77777777">
      <w:pPr>
        <w:pStyle w:val="Cmsor3"/>
      </w:pPr>
      <w:bookmarkStart w:id="666" w:name="_Ref228956991"/>
      <w:bookmarkStart w:id="667" w:name="_Toc243922699"/>
      <w:r>
        <w:t>The precision of editorial intervention</w:t>
      </w:r>
      <w:bookmarkEnd w:id="666"/>
      <w:bookmarkEnd w:id="667"/>
    </w:p>
    <w:p w14:paraId="24C48AA1" w14:textId="6EF8D6E6">
      <w:pPr>
        <w:rPr>
          <w:lang w:eastAsia="en-US" w:bidi="ar-SA"/>
        </w:rPr>
      </w:pPr>
      <w:r>
        <w:rPr>
          <w:lang w:eastAsia="en-US" w:bidi="ar-SA"/>
        </w:rPr>
        <w:t>The tools at our disposal allow us to encode editorial intervention at the level of individual graphemes (§</w:t>
      </w:r>
      <w:r>
        <w:rPr>
          <w:lang w:eastAsia="en-US" w:bidi="ar-SA"/>
        </w:rPr>
        <w:fldChar w:fldCharType="begin"/>
      </w:r>
      <w:r>
        <w:rPr>
          <w:lang w:eastAsia="en-US" w:bidi="ar-SA"/>
        </w:rPr>
        <w:instrText xml:space="preserve"> REF _Ref228952859 \r \h </w:instrText>
      </w:r>
      <w:r>
        <w:rPr>
          <w:lang w:eastAsia="en-US" w:bidi="ar-SA"/>
        </w:rPr>
      </w:r>
      <w:r>
        <w:rPr>
          <w:lang w:eastAsia="en-US" w:bidi="ar-SA"/>
        </w:rPr>
        <w:fldChar w:fldCharType="separate"/>
      </w:r>
      <w:r>
        <w:rPr>
          <w:lang w:eastAsia="en-US" w:bidi="ar-SA"/>
        </w:rPr>
        <w:t>7.7.1</w:t>
      </w:r>
      <w:r>
        <w:rPr>
          <w:lang w:eastAsia="en-US" w:bidi="ar-SA"/>
        </w:rPr>
        <w:fldChar w:fldCharType="end"/>
      </w:r>
      <w:r>
        <w:rPr>
          <w:lang w:eastAsia="en-US" w:bidi="ar-SA"/>
        </w:rPr>
        <w:t xml:space="preserve">). This level of precision is, in an ideal situation, applicable to and desirable in all editorial intervention. However, many source documents call for a large number of editorial corrections and, as the case may </w:t>
      </w:r>
      <w:r>
        <w:rPr>
          <w:lang w:eastAsia="en-US" w:bidi="ar-SA"/>
        </w:rPr>
        <w:lastRenderedPageBreak/>
        <w:t xml:space="preserve">be, normalisations. Encoding several separate editorial interventions in a small space creates clutter which makes it difficult to work with (and easy to make mistakes in) our encoded files and can also hinder the legibility of the edition as displayed to the end user. The purpose of editorial intervention is to reveal to the scholarly reader where the editor sees a problem with the received text, how the editor identifies that problem, and how she rectifies it. This can be likewise achieved by bundling several alterations into a single act of intervention. </w:t>
      </w:r>
      <w:r>
        <w:t xml:space="preserve">So long as the received text is faithfully reproduced </w:t>
      </w:r>
      <w:r>
        <w:rPr>
          <w:noProof/>
        </w:rPr>
        <w:t>(</w:t>
      </w:r>
      <w:r>
        <w:t>and if an editorial rectification is present, then that too is accurate and fits the context), the tagging of a short segment and the tagging of a longer segment that includes graphemes not directly involved in the anomaly are functionally equivalent.</w:t>
      </w:r>
      <w:r>
        <w:rPr>
          <w:lang w:eastAsia="en-US" w:bidi="ar-SA"/>
        </w:rPr>
        <w:t xml:space="preserve"> Therefore, at your discretion, feel free to encode a single editorial substitution on a string of graphemes that would, in principle, call for several separate interventions on smaller units. </w:t>
      </w:r>
    </w:p>
    <w:p w14:paraId="230704CD" w14:textId="77777777">
      <w:pPr>
        <w:pStyle w:val="Lista"/>
      </w:pPr>
      <w:r>
        <w:t>for example</w:t>
      </w:r>
    </w:p>
    <w:p w14:paraId="5F4FFCCB" w14:textId="77777777">
      <w:pPr>
        <w:pStyle w:val="Lista2"/>
      </w:pPr>
      <w:r>
        <w:t xml:space="preserve">a single correction </w:t>
      </w:r>
      <w:r>
        <w:rPr>
          <w:rStyle w:val="Codetext"/>
        </w:rPr>
        <w:t>mahārāj</w:t>
      </w:r>
      <w:r>
        <w:rPr>
          <w:rStyle w:val="Code"/>
        </w:rPr>
        <w:t>&lt;choice&gt;&lt;sic&gt;</w:t>
      </w:r>
      <w:r>
        <w:rPr>
          <w:rStyle w:val="Codetext"/>
        </w:rPr>
        <w:t>adhijājā</w:t>
      </w:r>
      <w:r>
        <w:rPr>
          <w:rStyle w:val="Code"/>
        </w:rPr>
        <w:t>&lt;/sic&gt;&lt;corr&gt;</w:t>
      </w:r>
      <w:r>
        <w:rPr>
          <w:rStyle w:val="Codetext"/>
        </w:rPr>
        <w:t>ādhirāja</w:t>
      </w:r>
      <w:r>
        <w:rPr>
          <w:rStyle w:val="Code"/>
        </w:rPr>
        <w:t>&lt;/corr&gt;&lt;/choice&gt;</w:t>
      </w:r>
    </w:p>
    <w:p w14:paraId="1AA1ED29" w14:textId="77777777">
      <w:pPr>
        <w:pStyle w:val="Lista2"/>
      </w:pPr>
      <w:r>
        <w:t xml:space="preserve">may replace meticulous detail: </w:t>
      </w:r>
      <w:r>
        <w:rPr>
          <w:rStyle w:val="Codetext"/>
        </w:rPr>
        <w:t>mahārāj</w:t>
      </w:r>
      <w:r>
        <w:rPr>
          <w:rStyle w:val="Code"/>
        </w:rPr>
        <w:t>&lt;choice&gt;&lt;sic&gt;</w:t>
      </w:r>
      <w:r>
        <w:rPr>
          <w:rStyle w:val="Codetext"/>
        </w:rPr>
        <w:t>a</w:t>
      </w:r>
      <w:r>
        <w:rPr>
          <w:rStyle w:val="Code"/>
        </w:rPr>
        <w:t>&lt;/sic&gt;&lt;corr&gt;</w:t>
      </w:r>
      <w:r>
        <w:rPr>
          <w:rStyle w:val="Codetext"/>
        </w:rPr>
        <w:t>ā</w:t>
      </w:r>
      <w:r>
        <w:rPr>
          <w:rStyle w:val="Code"/>
        </w:rPr>
        <w:t>&lt;/corr&gt;&lt;/choice&gt;</w:t>
      </w:r>
      <w:r>
        <w:rPr>
          <w:rStyle w:val="Codetext"/>
        </w:rPr>
        <w:t>dhi</w:t>
      </w:r>
      <w:r>
        <w:rPr>
          <w:rStyle w:val="Code"/>
        </w:rPr>
        <w:t>&lt;choice&gt;&lt;sic&gt;</w:t>
      </w:r>
      <w:r>
        <w:rPr>
          <w:rStyle w:val="Codetext"/>
        </w:rPr>
        <w:t>j</w:t>
      </w:r>
      <w:r>
        <w:rPr>
          <w:rStyle w:val="Code"/>
        </w:rPr>
        <w:t>&lt;/sic&gt;&lt;corr&gt;</w:t>
      </w:r>
      <w:r>
        <w:rPr>
          <w:rStyle w:val="Codetext"/>
        </w:rPr>
        <w:t>r</w:t>
      </w:r>
      <w:r>
        <w:rPr>
          <w:rStyle w:val="Code"/>
        </w:rPr>
        <w:t>&lt;/corr&gt;&lt;/choice&gt;</w:t>
      </w:r>
      <w:r>
        <w:rPr>
          <w:rStyle w:val="Codetext"/>
        </w:rPr>
        <w:t>āj</w:t>
      </w:r>
      <w:r>
        <w:rPr>
          <w:rStyle w:val="Code"/>
        </w:rPr>
        <w:t>&lt;choice&gt;&lt;sic&gt;</w:t>
      </w:r>
      <w:r>
        <w:rPr>
          <w:rStyle w:val="Codetext"/>
        </w:rPr>
        <w:t>ā</w:t>
      </w:r>
      <w:r>
        <w:rPr>
          <w:rStyle w:val="Code"/>
        </w:rPr>
        <w:t>&lt;/sic&gt;&lt;corr&gt;</w:t>
      </w:r>
      <w:r>
        <w:rPr>
          <w:rStyle w:val="Codetext"/>
        </w:rPr>
        <w:t>a</w:t>
      </w:r>
      <w:r>
        <w:rPr>
          <w:rStyle w:val="Code"/>
        </w:rPr>
        <w:t>&lt;/corr&gt;&lt;/choice&gt;</w:t>
      </w:r>
    </w:p>
    <w:p w14:paraId="51140992" w14:textId="77777777">
      <w:pPr>
        <w:pStyle w:val="Cmsor3"/>
      </w:pPr>
      <w:bookmarkStart w:id="668" w:name="_Ref232089210"/>
      <w:bookmarkStart w:id="669" w:name="_Toc243922700"/>
      <w:r>
        <w:t>Editorial intervention in metrical verse</w:t>
      </w:r>
      <w:bookmarkEnd w:id="661"/>
      <w:bookmarkEnd w:id="668"/>
      <w:bookmarkEnd w:id="669"/>
    </w:p>
    <w:p w14:paraId="08C0116A" w14:textId="77777777">
      <w:r>
        <w:t>Scribal mistakes, non-standard language, and the correction or normalisation thereof, can interfere with prosody, therefore editorial intervention in metrical verse must be executed with extra care. The leading principles are the following:</w:t>
      </w:r>
    </w:p>
    <w:p w14:paraId="4B68CE26" w14:textId="77777777">
      <w:pPr>
        <w:pStyle w:val="Lista"/>
      </w:pPr>
      <w:r>
        <w:t>if a correction or normalisation is encoded in verse, then the prosody of the locus is to be understood as the prosody of the rectified (and not the received) reading; therefore</w:t>
      </w:r>
    </w:p>
    <w:p w14:paraId="0EB95BF4" w14:textId="77777777">
      <w:pPr>
        <w:pStyle w:val="Lista2"/>
      </w:pPr>
      <w:r>
        <w:t xml:space="preserve">if the prosody is deviant in the received text but appropriate in the rectified text, then the line containing the anomaly does not need encoding for a metrical deviation </w:t>
      </w:r>
    </w:p>
    <w:p w14:paraId="78095270" w14:textId="048D91F9">
      <w:pPr>
        <w:pStyle w:val="Lista2"/>
      </w:pPr>
      <w:r>
        <w:t xml:space="preserve">if the prosody is deviant in the rectified text, then the line containing the anomaly must be encoded as metrically deviant </w:t>
      </w:r>
      <w:r>
        <w:rPr>
          <w:noProof/>
        </w:rPr>
        <w:t>(</w:t>
      </w:r>
      <w:r>
        <w:t xml:space="preserve">with the attribute </w:t>
      </w:r>
      <w:r>
        <w:rPr>
          <w:rStyle w:val="Codeattribute"/>
        </w:rPr>
        <w:t>@real</w:t>
      </w:r>
      <w:r>
        <w:t>, as per §</w:t>
      </w:r>
      <w:r>
        <w:fldChar w:fldCharType="begin"/>
      </w:r>
      <w:r>
        <w:instrText xml:space="preserve"> REF _Ref43980303 \r \h  \* MERGEFORMAT </w:instrText>
      </w:r>
      <w:r>
        <w:fldChar w:fldCharType="separate"/>
      </w:r>
      <w:r>
        <w:t>3.3.4.1</w:t>
      </w:r>
      <w:r>
        <w:fldChar w:fldCharType="end"/>
      </w:r>
      <w:r>
        <w:t>)</w:t>
      </w:r>
    </w:p>
    <w:p w14:paraId="18AC98BD" w14:textId="77777777">
      <w:pPr>
        <w:pStyle w:val="Lista"/>
      </w:pPr>
      <w:r>
        <w:t>in rectifying anomalies in verse, correct prosody should be prioritised over linguistic neatness; therefore</w:t>
      </w:r>
    </w:p>
    <w:p w14:paraId="306C3C7D" w14:textId="77777777">
      <w:pPr>
        <w:pStyle w:val="Lista2"/>
      </w:pPr>
      <w:r>
        <w:t>always correct scribal mistakes and standardise non-standard usage where such an intervention can restore faulty prosody to the expected</w:t>
      </w:r>
    </w:p>
    <w:p w14:paraId="4359593B" w14:textId="77777777">
      <w:pPr>
        <w:pStyle w:val="Lista2"/>
      </w:pPr>
      <w:r>
        <w:t>abstain from encoding either a correction or a normalisation (and instead, merely flag the spot) if doing so would disrupt otherwise correct metre</w:t>
      </w:r>
    </w:p>
    <w:p w14:paraId="55C113C2" w14:textId="77777777">
      <w:pPr>
        <w:pStyle w:val="Lista2"/>
      </w:pPr>
      <w:r>
        <w:t>but keep in mind that non-standard prosody has a right to exist, and do not “correct” non-standard prosody in reasonably correct language just to put the metre right</w:t>
      </w:r>
    </w:p>
    <w:p w14:paraId="6B1FE5D2" w14:textId="402AE596">
      <w:pPr>
        <w:pStyle w:val="Lista"/>
      </w:pPr>
      <w:r>
        <w:t>“correct prosody” in this context means the prosody expected on the basis of the applicable template</w:t>
      </w:r>
    </w:p>
    <w:p w14:paraId="41C09C28" w14:textId="3AE24752">
      <w:pPr>
        <w:pStyle w:val="Lista2"/>
      </w:pPr>
      <w:r>
        <w:t xml:space="preserve">in order to facilitate research on prosody, all deviations from the standard rules shall preferably be encoded with </w:t>
      </w:r>
      <w:r>
        <w:rPr>
          <w:rStyle w:val="Codeattribute"/>
        </w:rPr>
        <w:t>@real</w:t>
      </w:r>
      <w:r>
        <w:t xml:space="preserve"> including</w:t>
      </w:r>
    </w:p>
    <w:p w14:paraId="15336F8B" w14:textId="30F2DC20">
      <w:pPr>
        <w:pStyle w:val="Lista3"/>
      </w:pPr>
      <w:r>
        <w:rPr>
          <w:rStyle w:val="Foreign"/>
        </w:rPr>
        <w:t>vipulā anuṣṭubh</w:t>
      </w:r>
      <w:r>
        <w:t xml:space="preserve"> (§</w:t>
      </w:r>
      <w:r>
        <w:fldChar w:fldCharType="begin"/>
      </w:r>
      <w:r>
        <w:instrText xml:space="preserve"> REF _Ref224725166 \r \h </w:instrText>
      </w:r>
      <w:r>
        <w:fldChar w:fldCharType="separate"/>
      </w:r>
      <w:r>
        <w:t>3.3.4.1</w:t>
      </w:r>
      <w:r>
        <w:fldChar w:fldCharType="end"/>
      </w:r>
      <w:r>
        <w:t>)</w:t>
      </w:r>
    </w:p>
    <w:p w14:paraId="714AE622" w14:textId="77777777">
      <w:pPr>
        <w:pStyle w:val="Lista3"/>
      </w:pPr>
      <w:r>
        <w:t>the presumed use of poetic licence</w:t>
      </w:r>
    </w:p>
    <w:p w14:paraId="616BA0DC" w14:textId="77777777">
      <w:pPr>
        <w:pStyle w:val="Lista"/>
      </w:pPr>
      <w:r>
        <w:t>detailed instructions for possible scenarios are given in the subsections below</w:t>
      </w:r>
    </w:p>
    <w:p w14:paraId="7906F129" w14:textId="77777777">
      <w:pPr>
        <w:pStyle w:val="Cmsor4"/>
      </w:pPr>
      <w:r>
        <w:t>If the prosody is incorrect, but the language is not anomalous</w:t>
      </w:r>
    </w:p>
    <w:p w14:paraId="1A5E988D" w14:textId="5AC05CF3">
      <w:r>
        <w:t>If the received text has deviant metre, but is otherwise linguistically standard, correct and meaningful, then editorial intervention is usually not warranted. Incorrect or non-standard metre does not in itself constitute grounds for correction or normalisation. Instead, encode the metrical deviation as per §</w:t>
      </w:r>
      <w:r>
        <w:fldChar w:fldCharType="begin"/>
      </w:r>
      <w:r>
        <w:instrText xml:space="preserve"> REF _Ref224726481 \r \h </w:instrText>
      </w:r>
      <w:r>
        <w:fldChar w:fldCharType="separate"/>
      </w:r>
      <w:r>
        <w:t>3.3.4.2</w:t>
      </w:r>
      <w:r>
        <w:fldChar w:fldCharType="end"/>
      </w:r>
      <w:r>
        <w:t>. Editorial intervention is, however, permitted if you can thereby restore the expected metre and believe that your intervention is in line with the composer’s intent, i.e. that the metrical deviation is a result of scribal mistake. In this case proceed as in §</w:t>
      </w:r>
      <w:r>
        <w:fldChar w:fldCharType="begin"/>
      </w:r>
      <w:r>
        <w:instrText xml:space="preserve"> REF _Ref229047302 \r \h </w:instrText>
      </w:r>
      <w:r>
        <w:fldChar w:fldCharType="separate"/>
      </w:r>
      <w:r>
        <w:t>7.7.4.2</w:t>
      </w:r>
      <w:r>
        <w:fldChar w:fldCharType="end"/>
      </w:r>
      <w:r>
        <w:t>.</w:t>
      </w:r>
    </w:p>
    <w:p w14:paraId="3A0F0701" w14:textId="77777777">
      <w:pPr>
        <w:pStyle w:val="Normlbehzs"/>
      </w:pPr>
      <w:r>
        <w:lastRenderedPageBreak/>
        <w:t>As a special case, a prosodic deviation in linguistically standard text can sometimes be corrected by the application of a straightforward “de-normalisation” where the composer presumably had a metrically appropriate non-standard form in mind, but the scribe has replaced this with the metrically inappropriate standard form.</w:t>
      </w:r>
    </w:p>
    <w:p w14:paraId="6D8C8A87" w14:textId="58081287">
      <w:pPr>
        <w:pStyle w:val="Lista"/>
      </w:pPr>
      <w:r>
        <w:t xml:space="preserve">de-normalisation should not be encoded in your edition: instead, add </w:t>
      </w:r>
      <w:r>
        <w:rPr>
          <w:rStyle w:val="Codeattribute"/>
        </w:rPr>
        <w:t>@real</w:t>
      </w:r>
      <w:r>
        <w:t xml:space="preserve"> to the </w:t>
      </w:r>
      <w:r>
        <w:rPr>
          <w:rStyle w:val="Code"/>
        </w:rPr>
        <w:t>&lt;l&gt;</w:t>
      </w:r>
      <w:r>
        <w:t xml:space="preserve"> element affected </w:t>
      </w:r>
      <w:r>
        <w:rPr>
          <w:noProof/>
        </w:rPr>
        <w:t>(</w:t>
      </w:r>
      <w:r>
        <w:t>§</w:t>
      </w:r>
      <w:r>
        <w:fldChar w:fldCharType="begin"/>
      </w:r>
      <w:r>
        <w:instrText xml:space="preserve"> REF _Ref43980303 \r \h  \* MERGEFORMAT </w:instrText>
      </w:r>
      <w:r>
        <w:fldChar w:fldCharType="separate"/>
      </w:r>
      <w:r>
        <w:t>3.3.4.1</w:t>
      </w:r>
      <w:r>
        <w:fldChar w:fldCharType="end"/>
      </w:r>
      <w:r>
        <w:t xml:space="preserve">), and explain the situation in an apparatus note </w:t>
      </w:r>
      <w:r>
        <w:rPr>
          <w:noProof/>
        </w:rPr>
        <w:t>(</w:t>
      </w:r>
      <w:r>
        <w:t>§</w:t>
      </w:r>
      <w:r>
        <w:fldChar w:fldCharType="begin"/>
      </w:r>
      <w:r>
        <w:instrText xml:space="preserve"> REF _Ref43988104 \w \h  \* MERGEFORMAT </w:instrText>
      </w:r>
      <w:r>
        <w:fldChar w:fldCharType="separate"/>
      </w:r>
      <w:r>
        <w:t>10.7</w:t>
      </w:r>
      <w:r>
        <w:fldChar w:fldCharType="end"/>
      </w:r>
      <w:r>
        <w:t>)</w:t>
      </w:r>
    </w:p>
    <w:p w14:paraId="43AB3CBA" w14:textId="77777777">
      <w:pPr>
        <w:pStyle w:val="Lista"/>
      </w:pPr>
      <w:r>
        <w:t xml:space="preserve">for example, in an even </w:t>
      </w:r>
      <w:r>
        <w:rPr>
          <w:rStyle w:val="Foreign"/>
        </w:rPr>
        <w:t>pāda</w:t>
      </w:r>
      <w:r>
        <w:t xml:space="preserve"> of an </w:t>
      </w:r>
      <w:r>
        <w:rPr>
          <w:rStyle w:val="Foreign"/>
        </w:rPr>
        <w:t>anuṣṭubh</w:t>
      </w:r>
      <w:r>
        <w:t xml:space="preserve"> stanza: </w:t>
      </w:r>
    </w:p>
    <w:p w14:paraId="1B4583C3" w14:textId="77777777">
      <w:pPr>
        <w:pStyle w:val="Lista2"/>
      </w:pPr>
      <w:r>
        <w:rPr>
          <w:rStyle w:val="Code"/>
        </w:rPr>
        <w:t xml:space="preserve">&lt;l </w:t>
      </w:r>
      <w:r>
        <w:rPr>
          <w:rStyle w:val="Codeattribute"/>
        </w:rPr>
        <w:t>n</w:t>
      </w:r>
      <w:r>
        <w:rPr>
          <w:rStyle w:val="Code"/>
        </w:rPr>
        <w:t>=</w:t>
      </w:r>
      <w:r>
        <w:rPr>
          <w:rStyle w:val="Codevalue"/>
        </w:rPr>
        <w:t>"a"</w:t>
      </w:r>
      <w:r>
        <w:rPr>
          <w:rStyle w:val="Code"/>
        </w:rPr>
        <w:t xml:space="preserve"> </w:t>
      </w:r>
      <w:r>
        <w:rPr>
          <w:rStyle w:val="Codeattribute"/>
        </w:rPr>
        <w:t>real</w:t>
      </w:r>
      <w:r>
        <w:rPr>
          <w:rStyle w:val="Code"/>
        </w:rPr>
        <w:t>=</w:t>
      </w:r>
      <w:r>
        <w:rPr>
          <w:rStyle w:val="Codevalue"/>
        </w:rPr>
        <w:t>"-+-+-+-+"</w:t>
      </w:r>
      <w:r>
        <w:rPr>
          <w:rStyle w:val="Code"/>
        </w:rPr>
        <w:t>&gt;</w:t>
      </w:r>
      <w:r>
        <w:rPr>
          <w:rStyle w:val="Codetext"/>
        </w:rPr>
        <w:t>kṣitīśa-siṅhavarmmaṇas</w:t>
      </w:r>
      <w:r>
        <w:rPr>
          <w:rStyle w:val="Code"/>
        </w:rPr>
        <w:t>&lt;/l&gt;</w:t>
      </w:r>
      <w:r>
        <w:t xml:space="preserve"> </w:t>
      </w:r>
    </w:p>
    <w:p w14:paraId="54DCA1A9" w14:textId="77777777">
      <w:pPr>
        <w:pStyle w:val="Lista2"/>
      </w:pPr>
      <w:r>
        <w:t xml:space="preserve">accompanied by a note explaining that the non-standard form </w:t>
      </w:r>
      <w:r>
        <w:rPr>
          <w:rStyle w:val="Foreign"/>
        </w:rPr>
        <w:t>siṅhavarmmasya</w:t>
      </w:r>
      <w:r>
        <w:t>, for which parallels are known to occur in related texts, would be metrically correct</w:t>
      </w:r>
    </w:p>
    <w:p w14:paraId="2F32B7B9" w14:textId="77777777">
      <w:pPr>
        <w:pStyle w:val="Cmsor4"/>
      </w:pPr>
      <w:bookmarkStart w:id="670" w:name="_Ref229047302"/>
      <w:r>
        <w:t>If rectifying an anomaly can achieve correct prosody</w:t>
      </w:r>
      <w:bookmarkEnd w:id="670"/>
    </w:p>
    <w:p w14:paraId="47BEFA31" w14:textId="77777777">
      <w:r>
        <w:t>If the prosody is deviant, but the correction of an error or the normalisation of non-standard orthography or morphology can restore the prosody to the expected pattern, proceed as follows.</w:t>
      </w:r>
    </w:p>
    <w:p w14:paraId="0490F64E" w14:textId="77777777">
      <w:pPr>
        <w:pStyle w:val="Lista"/>
      </w:pPr>
      <w:r>
        <w:t>rectify the anomaly even if you would ignore or merely flag the same anomaly in other circumstances</w:t>
      </w:r>
    </w:p>
    <w:p w14:paraId="4845D345" w14:textId="60F913B4">
      <w:pPr>
        <w:pStyle w:val="Lista2"/>
      </w:pPr>
      <w:r>
        <w:t>unless you feel that doing so would be contrary to the composer’s intent, in which case proceed as in §</w:t>
      </w:r>
      <w:r>
        <w:fldChar w:fldCharType="begin"/>
      </w:r>
      <w:r>
        <w:instrText xml:space="preserve"> REF _Ref229048033 \r \h </w:instrText>
      </w:r>
      <w:r>
        <w:fldChar w:fldCharType="separate"/>
      </w:r>
      <w:r>
        <w:t>7.7.4.3</w:t>
      </w:r>
      <w:r>
        <w:fldChar w:fldCharType="end"/>
      </w:r>
    </w:p>
    <w:p w14:paraId="39C6DC1A" w14:textId="77777777">
      <w:pPr>
        <w:pStyle w:val="Lista"/>
      </w:pPr>
      <w:r>
        <w:t>encode this intervention as a correction, even if in other circumstances you would encode the same intervention as normalisation</w:t>
      </w:r>
    </w:p>
    <w:p w14:paraId="1CF6A9B7" w14:textId="77777777">
      <w:pPr>
        <w:pStyle w:val="Lista2"/>
      </w:pPr>
      <w:r>
        <w:t>the underlying assumption in this case is that the composer had the correct or standard form in mind, but that form has been replaced by an incorrect or non-standard form in the process of the creation of the document</w:t>
      </w:r>
    </w:p>
    <w:p w14:paraId="3DD983E8" w14:textId="77777777">
      <w:pPr>
        <w:pStyle w:val="Lista"/>
      </w:pPr>
      <w:r>
        <w:t xml:space="preserve">do not add </w:t>
      </w:r>
      <w:r>
        <w:rPr>
          <w:rStyle w:val="Codeattribute"/>
        </w:rPr>
        <w:t>@real</w:t>
      </w:r>
      <w:r>
        <w:t xml:space="preserve"> to the </w:t>
      </w:r>
      <w:r>
        <w:rPr>
          <w:rStyle w:val="Code"/>
        </w:rPr>
        <w:t>&lt;l&gt;</w:t>
      </w:r>
      <w:r>
        <w:t xml:space="preserve"> element affected</w:t>
      </w:r>
      <w:r>
        <w:rPr>
          <w:noProof/>
        </w:rPr>
        <w:t>, since the prosody has been restored</w:t>
      </w:r>
    </w:p>
    <w:p w14:paraId="5CA63E7C" w14:textId="77777777">
      <w:pPr>
        <w:pStyle w:val="Lista"/>
      </w:pPr>
      <w:r>
        <w:t xml:space="preserve">for example, in an odd </w:t>
      </w:r>
      <w:r>
        <w:rPr>
          <w:rStyle w:val="Foreign"/>
        </w:rPr>
        <w:t>pāda</w:t>
      </w:r>
      <w:r>
        <w:t xml:space="preserve"> of an </w:t>
      </w:r>
      <w:r>
        <w:rPr>
          <w:rStyle w:val="Foreign"/>
        </w:rPr>
        <w:t>anuṣṭubh</w:t>
      </w:r>
      <w:r>
        <w:t xml:space="preserve"> stanza:</w:t>
      </w:r>
    </w:p>
    <w:p w14:paraId="70B807C4" w14:textId="77777777">
      <w:pPr>
        <w:pStyle w:val="Lista2"/>
      </w:pPr>
      <w:r>
        <w:rPr>
          <w:rStyle w:val="Code"/>
        </w:rPr>
        <w:t xml:space="preserve">&lt;l </w:t>
      </w:r>
      <w:r>
        <w:rPr>
          <w:rStyle w:val="Codeattribute"/>
        </w:rPr>
        <w:t>n</w:t>
      </w:r>
      <w:r>
        <w:rPr>
          <w:rStyle w:val="Code"/>
        </w:rPr>
        <w:t>=</w:t>
      </w:r>
      <w:r>
        <w:rPr>
          <w:rStyle w:val="Codevalue"/>
        </w:rPr>
        <w:t>"c"</w:t>
      </w:r>
      <w:r>
        <w:rPr>
          <w:rStyle w:val="Code"/>
        </w:rPr>
        <w:t>&gt;</w:t>
      </w:r>
      <w:r>
        <w:rPr>
          <w:rStyle w:val="Codetext"/>
        </w:rPr>
        <w:t xml:space="preserve">ṣaṣṭi </w:t>
      </w:r>
      <w:r>
        <w:rPr>
          <w:rStyle w:val="Code"/>
        </w:rPr>
        <w:t>&lt;choice&gt;&lt;sic&gt;</w:t>
      </w:r>
      <w:r>
        <w:rPr>
          <w:rStyle w:val="Codetext"/>
        </w:rPr>
        <w:t>varuṣa</w:t>
      </w:r>
      <w:r>
        <w:rPr>
          <w:rStyle w:val="Code"/>
        </w:rPr>
        <w:t>&lt;/sic&gt;&lt;corr&gt;</w:t>
      </w:r>
      <w:r>
        <w:rPr>
          <w:rStyle w:val="Codetext"/>
        </w:rPr>
        <w:t>varṣa</w:t>
      </w:r>
      <w:r>
        <w:rPr>
          <w:rStyle w:val="Code"/>
        </w:rPr>
        <w:t>&lt;/corr&gt;&lt;/choice&gt;</w:t>
      </w:r>
      <w:r>
        <w:rPr>
          <w:rStyle w:val="Codetext"/>
        </w:rPr>
        <w:t>-sahasrāṇi</w:t>
      </w:r>
      <w:r>
        <w:rPr>
          <w:rStyle w:val="Code"/>
        </w:rPr>
        <w:t>&lt;/l&gt;</w:t>
      </w:r>
    </w:p>
    <w:p w14:paraId="5F0ED98C" w14:textId="77777777">
      <w:pPr>
        <w:pStyle w:val="Lista2"/>
      </w:pPr>
      <w:r>
        <w:t xml:space="preserve">where </w:t>
      </w:r>
      <w:r>
        <w:rPr>
          <w:rStyle w:val="Foreign"/>
        </w:rPr>
        <w:t>varuṣa</w:t>
      </w:r>
      <w:r>
        <w:t xml:space="preserve"> is a vernacularised spelling of </w:t>
      </w:r>
      <w:r>
        <w:rPr>
          <w:rStyle w:val="Foreign"/>
        </w:rPr>
        <w:t>varṣa</w:t>
      </w:r>
      <w:r>
        <w:t xml:space="preserve"> that is hypermetrical here</w:t>
      </w:r>
    </w:p>
    <w:p w14:paraId="57BCA6B3" w14:textId="77777777">
      <w:pPr>
        <w:pStyle w:val="Lista2"/>
      </w:pPr>
      <w:r>
        <w:t xml:space="preserve">the alteration to </w:t>
      </w:r>
      <w:r>
        <w:rPr>
          <w:rStyle w:val="Foreign"/>
        </w:rPr>
        <w:t>varṣa</w:t>
      </w:r>
      <w:r>
        <w:t xml:space="preserve"> is encoded as a correction</w:t>
      </w:r>
    </w:p>
    <w:p w14:paraId="7B540EDE" w14:textId="77777777">
      <w:pPr>
        <w:pStyle w:val="Lista2"/>
      </w:pPr>
      <w:r>
        <w:t xml:space="preserve">since the intervention restores the expected metre, </w:t>
      </w:r>
      <w:r>
        <w:rPr>
          <w:rStyle w:val="Codeattribute"/>
        </w:rPr>
        <w:t>@real</w:t>
      </w:r>
      <w:r>
        <w:t xml:space="preserve"> is not encoded on the line</w:t>
      </w:r>
    </w:p>
    <w:p w14:paraId="62CB65CA" w14:textId="77777777">
      <w:pPr>
        <w:pStyle w:val="Cmsor4"/>
      </w:pPr>
      <w:bookmarkStart w:id="671" w:name="_Ref229048033"/>
      <w:r>
        <w:t>If correct prosody cannot be achieved</w:t>
      </w:r>
      <w:bookmarkEnd w:id="671"/>
    </w:p>
    <w:p w14:paraId="300CDC10" w14:textId="77777777">
      <w:r>
        <w:t>If the received text has both anomalous language and deviant prosody, but you see no straightforward way to restore the prosody to the expected pattern by correcting or normalising the language, or feel that doing so would change the intended meaning or be otherwise incompatible with the composer’s intent, proceed as follows.</w:t>
      </w:r>
    </w:p>
    <w:p w14:paraId="786317F1" w14:textId="1702E943">
      <w:pPr>
        <w:pStyle w:val="Lista"/>
      </w:pPr>
      <w:r>
        <w:t xml:space="preserve">preferably, merely flag the anomaly and add </w:t>
      </w:r>
      <w:r>
        <w:rPr>
          <w:rStyle w:val="Codeattribute"/>
        </w:rPr>
        <w:t>@real</w:t>
      </w:r>
      <w:r>
        <w:t xml:space="preserve"> to the </w:t>
      </w:r>
      <w:r>
        <w:rPr>
          <w:rStyle w:val="Code"/>
        </w:rPr>
        <w:t>&lt;l&gt;</w:t>
      </w:r>
      <w:r>
        <w:t xml:space="preserve"> element affected </w:t>
      </w:r>
      <w:r>
        <w:rPr>
          <w:noProof/>
        </w:rPr>
        <w:t>(</w:t>
      </w:r>
      <w:r>
        <w:t>§</w:t>
      </w:r>
      <w:r>
        <w:fldChar w:fldCharType="begin"/>
      </w:r>
      <w:r>
        <w:instrText xml:space="preserve"> REF _Ref43980303 \r \h  \* MERGEFORMAT </w:instrText>
      </w:r>
      <w:r>
        <w:fldChar w:fldCharType="separate"/>
      </w:r>
      <w:r>
        <w:t>3.3.4.1</w:t>
      </w:r>
      <w:r>
        <w:fldChar w:fldCharType="end"/>
      </w:r>
      <w:r>
        <w:t>)</w:t>
      </w:r>
    </w:p>
    <w:p w14:paraId="0C9A795B" w14:textId="61BC32BC">
      <w:pPr>
        <w:pStyle w:val="Lista2"/>
      </w:pPr>
      <w:r>
        <w:t xml:space="preserve">the proposed rectification of the anomaly may be mentioned in an apparatus note </w:t>
      </w:r>
      <w:r>
        <w:rPr>
          <w:noProof/>
        </w:rPr>
        <w:t>(</w:t>
      </w:r>
      <w:r>
        <w:t>§</w:t>
      </w:r>
      <w:r>
        <w:fldChar w:fldCharType="begin"/>
      </w:r>
      <w:r>
        <w:instrText xml:space="preserve"> REF _Ref43988104 \w \h  \* MERGEFORMAT </w:instrText>
      </w:r>
      <w:r>
        <w:fldChar w:fldCharType="separate"/>
      </w:r>
      <w:r>
        <w:t>10.7</w:t>
      </w:r>
      <w:r>
        <w:fldChar w:fldCharType="end"/>
      </w:r>
      <w:r>
        <w:t>)</w:t>
      </w:r>
    </w:p>
    <w:p w14:paraId="1D2E54D4" w14:textId="77777777">
      <w:pPr>
        <w:pStyle w:val="Lista2"/>
      </w:pPr>
      <w:r>
        <w:t xml:space="preserve">for example, in an even </w:t>
      </w:r>
      <w:r>
        <w:rPr>
          <w:rStyle w:val="Foreign"/>
        </w:rPr>
        <w:t>pāda</w:t>
      </w:r>
      <w:r>
        <w:t xml:space="preserve"> of an </w:t>
      </w:r>
      <w:r>
        <w:rPr>
          <w:rStyle w:val="Foreign"/>
        </w:rPr>
        <w:t>anuṣṭubh</w:t>
      </w:r>
      <w:r>
        <w:t xml:space="preserve"> stanza: </w:t>
      </w:r>
    </w:p>
    <w:p w14:paraId="15790868" w14:textId="77777777">
      <w:pPr>
        <w:pStyle w:val="Lista3"/>
      </w:pPr>
      <w:r>
        <w:rPr>
          <w:rStyle w:val="Code"/>
        </w:rPr>
        <w:t xml:space="preserve">&lt;l </w:t>
      </w:r>
      <w:r>
        <w:rPr>
          <w:rStyle w:val="Codeattribute"/>
        </w:rPr>
        <w:t>n</w:t>
      </w:r>
      <w:r>
        <w:rPr>
          <w:rStyle w:val="Code"/>
        </w:rPr>
        <w:t>=</w:t>
      </w:r>
      <w:r>
        <w:rPr>
          <w:rStyle w:val="Codevalue"/>
        </w:rPr>
        <w:t>"a"</w:t>
      </w:r>
      <w:r>
        <w:rPr>
          <w:rStyle w:val="Code"/>
        </w:rPr>
        <w:t xml:space="preserve"> </w:t>
      </w:r>
      <w:r>
        <w:rPr>
          <w:rStyle w:val="Codeattribute"/>
        </w:rPr>
        <w:t>real</w:t>
      </w:r>
      <w:r>
        <w:rPr>
          <w:rStyle w:val="Code"/>
        </w:rPr>
        <w:t>=</w:t>
      </w:r>
      <w:r>
        <w:rPr>
          <w:rStyle w:val="Codevalue"/>
        </w:rPr>
        <w:t>"-++--+++-"</w:t>
      </w:r>
      <w:r>
        <w:rPr>
          <w:rStyle w:val="Code"/>
        </w:rPr>
        <w:t>&gt;</w:t>
      </w:r>
      <w:r>
        <w:rPr>
          <w:rStyle w:val="Codetext"/>
        </w:rPr>
        <w:t>sva-dattāṁ para</w:t>
      </w:r>
      <w:r>
        <w:rPr>
          <w:rStyle w:val="Code"/>
        </w:rPr>
        <w:t xml:space="preserve">&lt;lb </w:t>
      </w:r>
      <w:r>
        <w:rPr>
          <w:rStyle w:val="Codeattribute"/>
        </w:rPr>
        <w:t>break</w:t>
      </w:r>
      <w:r>
        <w:rPr>
          <w:rStyle w:val="Code"/>
        </w:rPr>
        <w:t>=</w:t>
      </w:r>
      <w:r>
        <w:rPr>
          <w:rStyle w:val="Codevalue"/>
        </w:rPr>
        <w:t>"no"</w:t>
      </w:r>
      <w:r>
        <w:rPr>
          <w:rStyle w:val="Code"/>
        </w:rPr>
        <w:t xml:space="preserve"> </w:t>
      </w:r>
      <w:r>
        <w:rPr>
          <w:rStyle w:val="Codeattribute"/>
        </w:rPr>
        <w:t>n</w:t>
      </w:r>
      <w:r>
        <w:rPr>
          <w:rStyle w:val="Code"/>
        </w:rPr>
        <w:t>=</w:t>
      </w:r>
      <w:r>
        <w:rPr>
          <w:rStyle w:val="Codevalue"/>
        </w:rPr>
        <w:t>"20"</w:t>
      </w:r>
      <w:r>
        <w:rPr>
          <w:rStyle w:val="Code"/>
        </w:rPr>
        <w:t>/&gt;-</w:t>
      </w:r>
      <w:r>
        <w:rPr>
          <w:rStyle w:val="Codetext"/>
        </w:rPr>
        <w:t xml:space="preserve">dattām </w:t>
      </w:r>
      <w:r>
        <w:rPr>
          <w:rStyle w:val="Code"/>
        </w:rPr>
        <w:t>&lt;orig&gt;</w:t>
      </w:r>
      <w:r>
        <w:rPr>
          <w:rStyle w:val="Codetext"/>
        </w:rPr>
        <w:t>vāpi</w:t>
      </w:r>
      <w:r>
        <w:rPr>
          <w:rStyle w:val="Code"/>
        </w:rPr>
        <w:t>&lt;/orig&gt;&lt;/l&gt;</w:t>
      </w:r>
    </w:p>
    <w:p w14:paraId="5F444AE2" w14:textId="77777777">
      <w:pPr>
        <w:pStyle w:val="Lista3"/>
      </w:pPr>
      <w:r>
        <w:t xml:space="preserve">instead of </w:t>
      </w:r>
      <w:r>
        <w:rPr>
          <w:rStyle w:val="Foreign"/>
        </w:rPr>
        <w:t>vāpi</w:t>
      </w:r>
      <w:r>
        <w:t xml:space="preserve">, the standard version of this common stanza has </w:t>
      </w:r>
      <w:r>
        <w:rPr>
          <w:rStyle w:val="Foreign"/>
        </w:rPr>
        <w:t>vā</w:t>
      </w:r>
      <w:r>
        <w:t>, which is metrically appropriate</w:t>
      </w:r>
    </w:p>
    <w:p w14:paraId="59F9966B" w14:textId="77777777">
      <w:pPr>
        <w:pStyle w:val="Lista3"/>
        <w:rPr>
          <w:rStyle w:val="Foreign"/>
          <w:i w:val="0"/>
          <w:iCs w:val="0"/>
          <w:noProof w:val="0"/>
        </w:rPr>
      </w:pPr>
      <w:r>
        <w:t xml:space="preserve">but since </w:t>
      </w:r>
      <w:r>
        <w:rPr>
          <w:rStyle w:val="Foreign"/>
        </w:rPr>
        <w:t>vāpi</w:t>
      </w:r>
      <w:r>
        <w:t xml:space="preserve"> is morphologically and orthographically correct, fully standard, and meaningful in the context, it is assumed to be deliberate and only flagged as original and not corrected to </w:t>
      </w:r>
      <w:r>
        <w:rPr>
          <w:rStyle w:val="Foreign"/>
        </w:rPr>
        <w:t>vā</w:t>
      </w:r>
    </w:p>
    <w:p w14:paraId="570C6A4D" w14:textId="77777777">
      <w:pPr>
        <w:pStyle w:val="Lista"/>
      </w:pPr>
      <w:r>
        <w:t>however, if you feel confident that a particular correction or normalisation is warranted, you may choose to implement it at your discretion even if doing so still leaves the prosody deviant</w:t>
      </w:r>
    </w:p>
    <w:p w14:paraId="1256E73D" w14:textId="77777777">
      <w:pPr>
        <w:pStyle w:val="Lista2"/>
      </w:pPr>
      <w:r>
        <w:t xml:space="preserve">the pattern encoded in </w:t>
      </w:r>
      <w:r>
        <w:rPr>
          <w:rStyle w:val="Codeattribute"/>
        </w:rPr>
        <w:t>@real</w:t>
      </w:r>
      <w:r>
        <w:t xml:space="preserve"> must in this case correspond to the prosody of the rectified text, not that of the received text</w:t>
      </w:r>
    </w:p>
    <w:p w14:paraId="2AF1CBC7" w14:textId="77777777">
      <w:pPr>
        <w:pStyle w:val="Cmsor4"/>
      </w:pPr>
      <w:r>
        <w:t>If rectification would disrupt correct prosody</w:t>
      </w:r>
    </w:p>
    <w:p w14:paraId="1923691D" w14:textId="77777777">
      <w:pPr>
        <w:rPr>
          <w:lang w:eastAsia="en-US" w:bidi="ar-SA"/>
        </w:rPr>
      </w:pPr>
      <w:r>
        <w:rPr>
          <w:lang w:eastAsia="en-US" w:bidi="ar-SA"/>
        </w:rPr>
        <w:t>If the received text is anomalous in language but metrically appropriate, and rectifying the anomaly would render the prosody inappropriate, proceed as follows.</w:t>
      </w:r>
    </w:p>
    <w:p w14:paraId="7E842C83" w14:textId="77777777">
      <w:pPr>
        <w:pStyle w:val="Lista"/>
      </w:pPr>
      <w:r>
        <w:lastRenderedPageBreak/>
        <w:t>preferably, abstain from implementing the correction or normalisation</w:t>
      </w:r>
    </w:p>
    <w:p w14:paraId="2FAC9986" w14:textId="77777777">
      <w:pPr>
        <w:pStyle w:val="Lista2"/>
      </w:pPr>
      <w:r>
        <w:t>instead, simply flag the spot as erroneous or non-standard</w:t>
      </w:r>
    </w:p>
    <w:p w14:paraId="0B8A6DF1" w14:textId="0B56C2B8">
      <w:pPr>
        <w:pStyle w:val="Lista3"/>
      </w:pPr>
      <w:r>
        <w:t xml:space="preserve">the correct or standard form may be mentioned in an apparatus note </w:t>
      </w:r>
      <w:r>
        <w:rPr>
          <w:noProof/>
        </w:rPr>
        <w:t>(</w:t>
      </w:r>
      <w:r>
        <w:t>§</w:t>
      </w:r>
      <w:r>
        <w:fldChar w:fldCharType="begin"/>
      </w:r>
      <w:r>
        <w:instrText xml:space="preserve"> REF _Ref43988104 \w \h  \* MERGEFORMAT </w:instrText>
      </w:r>
      <w:r>
        <w:fldChar w:fldCharType="separate"/>
      </w:r>
      <w:r>
        <w:t>10.7</w:t>
      </w:r>
      <w:r>
        <w:fldChar w:fldCharType="end"/>
      </w:r>
      <w:r>
        <w:t>)</w:t>
      </w:r>
    </w:p>
    <w:p w14:paraId="58A87C3C" w14:textId="77777777">
      <w:pPr>
        <w:pStyle w:val="Lista2"/>
      </w:pPr>
      <w:r>
        <w:t xml:space="preserve">for example, in a </w:t>
      </w:r>
      <w:r>
        <w:rPr>
          <w:rStyle w:val="Foreign"/>
        </w:rPr>
        <w:t>vasantatilakā</w:t>
      </w:r>
      <w:r>
        <w:t xml:space="preserve"> stanza, </w:t>
      </w:r>
      <w:r>
        <w:rPr>
          <w:rStyle w:val="Code"/>
        </w:rPr>
        <w:t xml:space="preserve">&lt;l </w:t>
      </w:r>
      <w:r>
        <w:rPr>
          <w:rStyle w:val="Codeattribute"/>
        </w:rPr>
        <w:t>n</w:t>
      </w:r>
      <w:r>
        <w:rPr>
          <w:rStyle w:val="Code"/>
        </w:rPr>
        <w:t>=</w:t>
      </w:r>
      <w:r>
        <w:rPr>
          <w:rStyle w:val="Codevalue"/>
        </w:rPr>
        <w:t>"a"</w:t>
      </w:r>
      <w:r>
        <w:rPr>
          <w:rStyle w:val="Code"/>
        </w:rPr>
        <w:t>&gt;</w:t>
      </w:r>
      <w:r>
        <w:rPr>
          <w:rStyle w:val="Codetext"/>
        </w:rPr>
        <w:t>saḥ sarvva-satva-satat</w:t>
      </w:r>
      <w:r>
        <w:rPr>
          <w:rStyle w:val="Code"/>
        </w:rPr>
        <w:t>&lt;orig&gt;</w:t>
      </w:r>
      <w:r>
        <w:rPr>
          <w:rStyle w:val="Codetext"/>
        </w:rPr>
        <w:t>ārtthibhi</w:t>
      </w:r>
      <w:r>
        <w:rPr>
          <w:rStyle w:val="Code"/>
        </w:rPr>
        <w:t>&lt;/orig&gt;</w:t>
      </w:r>
      <w:r>
        <w:rPr>
          <w:rStyle w:val="Codetext"/>
        </w:rPr>
        <w:t xml:space="preserve"> nitya-dātā</w:t>
      </w:r>
      <w:r>
        <w:rPr>
          <w:rStyle w:val="Code"/>
        </w:rPr>
        <w:t>&lt;/l&gt;</w:t>
      </w:r>
    </w:p>
    <w:p w14:paraId="52B2E0CA" w14:textId="77777777">
      <w:pPr>
        <w:pStyle w:val="Lista3"/>
      </w:pPr>
      <w:r>
        <w:t xml:space="preserve">the metre is correct, but the form </w:t>
      </w:r>
      <w:r>
        <w:rPr>
          <w:rStyle w:val="Foreign"/>
        </w:rPr>
        <w:t>°ārtthibhi</w:t>
      </w:r>
      <w:r>
        <w:t xml:space="preserve"> is a solecism for expected </w:t>
      </w:r>
      <w:r>
        <w:rPr>
          <w:rStyle w:val="Foreign"/>
        </w:rPr>
        <w:t>°ārtthibhyo</w:t>
      </w:r>
      <w:r>
        <w:t>, which in turn would be metrically incorrect, so the locus has been merely flagged as non-standard</w:t>
      </w:r>
    </w:p>
    <w:p w14:paraId="33667ACD" w14:textId="77777777">
      <w:pPr>
        <w:pStyle w:val="Lista"/>
      </w:pPr>
      <w:r>
        <w:t>however, if you deem that correction or normalisation within the edition is essential, then you may encode it</w:t>
      </w:r>
    </w:p>
    <w:p w14:paraId="7D81E701" w14:textId="2503E0A3">
      <w:pPr>
        <w:pStyle w:val="Lista2"/>
      </w:pPr>
      <w:r>
        <w:t xml:space="preserve">in this case, </w:t>
      </w:r>
      <w:r>
        <w:rPr>
          <w:rStyle w:val="Codeattribute"/>
        </w:rPr>
        <w:t>@real</w:t>
      </w:r>
      <w:r>
        <w:t xml:space="preserve"> must be added to the </w:t>
      </w:r>
      <w:r>
        <w:rPr>
          <w:rStyle w:val="Code"/>
        </w:rPr>
        <w:t>&lt;l&gt;</w:t>
      </w:r>
      <w:r>
        <w:t xml:space="preserve"> element affected </w:t>
      </w:r>
      <w:r>
        <w:rPr>
          <w:noProof/>
        </w:rPr>
        <w:t>(</w:t>
      </w:r>
      <w:r>
        <w:t>§</w:t>
      </w:r>
      <w:r>
        <w:fldChar w:fldCharType="begin"/>
      </w:r>
      <w:r>
        <w:instrText xml:space="preserve"> REF _Ref43980303 \r \h  \* MERGEFORMAT </w:instrText>
      </w:r>
      <w:r>
        <w:fldChar w:fldCharType="separate"/>
      </w:r>
      <w:r>
        <w:t>3.3.4.1</w:t>
      </w:r>
      <w:r>
        <w:fldChar w:fldCharType="end"/>
      </w:r>
      <w:r>
        <w:t>), with a value corresponding to the prosody of the rectified text</w:t>
      </w:r>
    </w:p>
    <w:p w14:paraId="7B881E13" w14:textId="77777777">
      <w:pPr>
        <w:pStyle w:val="Lista2"/>
      </w:pPr>
      <w:r>
        <w:t xml:space="preserve">for example, normalising the above excerpt: </w:t>
      </w:r>
      <w:r>
        <w:rPr>
          <w:rStyle w:val="Code"/>
        </w:rPr>
        <w:t xml:space="preserve">&lt;l </w:t>
      </w:r>
      <w:r>
        <w:rPr>
          <w:rStyle w:val="Codeattribute"/>
        </w:rPr>
        <w:t>n</w:t>
      </w:r>
      <w:r>
        <w:rPr>
          <w:rStyle w:val="Code"/>
        </w:rPr>
        <w:t>=</w:t>
      </w:r>
      <w:r>
        <w:rPr>
          <w:rStyle w:val="Codevalue"/>
        </w:rPr>
        <w:t>"a"</w:t>
      </w:r>
      <w:r>
        <w:rPr>
          <w:rStyle w:val="Code"/>
        </w:rPr>
        <w:t xml:space="preserve"> </w:t>
      </w:r>
      <w:r>
        <w:rPr>
          <w:rStyle w:val="Codeattribute"/>
        </w:rPr>
        <w:t>real</w:t>
      </w:r>
      <w:r>
        <w:rPr>
          <w:rStyle w:val="Code"/>
        </w:rPr>
        <w:t>=</w:t>
      </w:r>
      <w:r>
        <w:rPr>
          <w:rStyle w:val="Codevalue"/>
        </w:rPr>
        <w:t>"++-+---++++-++"</w:t>
      </w:r>
      <w:r>
        <w:rPr>
          <w:rStyle w:val="Code"/>
        </w:rPr>
        <w:t>&gt;</w:t>
      </w:r>
      <w:r>
        <w:rPr>
          <w:rStyle w:val="Codetext"/>
        </w:rPr>
        <w:t>saḥ sarvva-satva-satat</w:t>
      </w:r>
      <w:r>
        <w:rPr>
          <w:rStyle w:val="Code"/>
        </w:rPr>
        <w:t>&lt;choice&gt;&lt;orig&gt;</w:t>
      </w:r>
      <w:r>
        <w:rPr>
          <w:rStyle w:val="Codetext"/>
        </w:rPr>
        <w:t>ārtthibhi</w:t>
      </w:r>
      <w:r>
        <w:rPr>
          <w:rStyle w:val="Code"/>
        </w:rPr>
        <w:t>&lt;/orig&gt;&lt;reg&gt;</w:t>
      </w:r>
      <w:r>
        <w:rPr>
          <w:rStyle w:val="Codetext"/>
        </w:rPr>
        <w:t>ārtthibhyo</w:t>
      </w:r>
      <w:r>
        <w:rPr>
          <w:rStyle w:val="Code"/>
        </w:rPr>
        <w:t>&lt;/reg&gt;&lt;/choice&gt;</w:t>
      </w:r>
      <w:r>
        <w:rPr>
          <w:rStyle w:val="Codetext"/>
        </w:rPr>
        <w:t xml:space="preserve"> nitya-dātā</w:t>
      </w:r>
      <w:r>
        <w:rPr>
          <w:rStyle w:val="Code"/>
        </w:rPr>
        <w:t>&lt;/l&gt;</w:t>
      </w:r>
    </w:p>
    <w:p w14:paraId="2FF6C3E7" w14:textId="77777777">
      <w:pPr>
        <w:pStyle w:val="Cmsor3"/>
      </w:pPr>
      <w:bookmarkStart w:id="672" w:name="_Ref43988493"/>
      <w:bookmarkStart w:id="673" w:name="_Toc243922701"/>
      <w:r>
        <w:t>Nesting correction and normalisation</w:t>
      </w:r>
      <w:bookmarkEnd w:id="673"/>
      <w:r>
        <w:t xml:space="preserve"> </w:t>
      </w:r>
      <w:bookmarkEnd w:id="672"/>
    </w:p>
    <w:p w14:paraId="28C63848" w14:textId="77777777">
      <w:r>
        <w:t xml:space="preserve">Should you find it necessary to do so, it is technically possible acceptable to use error encoding </w:t>
      </w:r>
      <w:r>
        <w:rPr>
          <w:noProof/>
        </w:rPr>
        <w:t>(</w:t>
      </w:r>
      <w:r>
        <w:t xml:space="preserve">including flagging, correction, suppression and suppletion) within the markup for non-standard usage </w:t>
      </w:r>
      <w:r>
        <w:rPr>
          <w:noProof/>
        </w:rPr>
        <w:t>(</w:t>
      </w:r>
      <w:r>
        <w:t>including flagging and normalisation). This corresponds to the editorial opinion that a non-standard reading (corresponding to the composer’s intent) was written erroneously by the scribe. In such a case, the recommendation is to include an entire word as relevant context in the markup for non-standard usage, to separate it more clearly for the specific locus of the error. Because of the complexity involved, it is recommended that you use this method (especially its most complex variant, correction within normalisation) sparingly and instead try encoding the two interventions on separate chunks of text or, when this is not possible, resort to annotation.</w:t>
      </w:r>
    </w:p>
    <w:p w14:paraId="5769E0F2" w14:textId="77777777">
      <w:pPr>
        <w:pStyle w:val="Lista"/>
        <w:rPr>
          <w:rStyle w:val="Code"/>
          <w:rFonts w:ascii="Gentium" w:hAnsi="Gentium" w:cs="Tiro Devanagari Sanskrit"/>
          <w:noProof w:val="0"/>
          <w:color w:val="auto"/>
          <w:shd w:val="clear" w:color="auto" w:fill="auto"/>
        </w:rPr>
      </w:pPr>
      <w:r>
        <w:t xml:space="preserve">for example, the word </w:t>
      </w:r>
      <w:r>
        <w:rPr>
          <w:rStyle w:val="Foreign"/>
        </w:rPr>
        <w:t>mahārajñaḥ</w:t>
      </w:r>
      <w:r>
        <w:t xml:space="preserve"> is non-standard (the standard genitive being </w:t>
      </w:r>
      <w:r>
        <w:rPr>
          <w:rStyle w:val="Foreign"/>
        </w:rPr>
        <w:t>mahārājasya</w:t>
      </w:r>
      <w:r>
        <w:t xml:space="preserve">) and also contains a likely scribal mistake (as the correct non-standard form would be </w:t>
      </w:r>
      <w:r>
        <w:rPr>
          <w:rStyle w:val="Foreign"/>
        </w:rPr>
        <w:t>mahārājñaḥ</w:t>
      </w:r>
      <w:r>
        <w:t>)</w:t>
      </w:r>
    </w:p>
    <w:p w14:paraId="13E78600" w14:textId="77777777">
      <w:pPr>
        <w:pStyle w:val="Lista2"/>
      </w:pPr>
      <w:r>
        <w:t xml:space="preserve">flagged for both anomalies: </w:t>
      </w:r>
      <w:r>
        <w:rPr>
          <w:rStyle w:val="Code"/>
        </w:rPr>
        <w:t>&lt;orig&gt;</w:t>
      </w:r>
      <w:r>
        <w:rPr>
          <w:rStyle w:val="Codetext"/>
        </w:rPr>
        <w:t>mahār</w:t>
      </w:r>
      <w:r>
        <w:rPr>
          <w:rStyle w:val="Code"/>
        </w:rPr>
        <w:t>&lt;sic&gt;</w:t>
      </w:r>
      <w:r>
        <w:rPr>
          <w:rStyle w:val="Codetext"/>
        </w:rPr>
        <w:t>a</w:t>
      </w:r>
      <w:r>
        <w:rPr>
          <w:rStyle w:val="Code"/>
        </w:rPr>
        <w:t>&lt;/sic&gt;</w:t>
      </w:r>
      <w:r>
        <w:rPr>
          <w:rStyle w:val="Codetext"/>
        </w:rPr>
        <w:t>jñaḥ</w:t>
      </w:r>
      <w:r>
        <w:rPr>
          <w:rStyle w:val="Code"/>
        </w:rPr>
        <w:t>&lt;/orig&gt;</w:t>
      </w:r>
    </w:p>
    <w:p w14:paraId="340C588F" w14:textId="77777777">
      <w:pPr>
        <w:pStyle w:val="Lista2"/>
        <w:rPr>
          <w:rStyle w:val="Code"/>
          <w:rFonts w:ascii="Gentium Plus" w:hAnsi="Gentium Plus" w:cs="Arial Unicode MS"/>
          <w:noProof w:val="0"/>
          <w:color w:val="auto"/>
          <w:shd w:val="clear" w:color="auto" w:fill="auto"/>
        </w:rPr>
      </w:pPr>
      <w:r>
        <w:t xml:space="preserve">corrected and flagged for non-standard usage: </w:t>
      </w:r>
      <w:r>
        <w:rPr>
          <w:rStyle w:val="Code"/>
        </w:rPr>
        <w:t>&lt;orig&gt;</w:t>
      </w:r>
      <w:r>
        <w:rPr>
          <w:rStyle w:val="Codetext"/>
        </w:rPr>
        <w:t>mahār</w:t>
      </w:r>
      <w:r>
        <w:rPr>
          <w:rStyle w:val="Code"/>
        </w:rPr>
        <w:t>&lt;choice&gt;&lt;sic&gt;</w:t>
      </w:r>
      <w:r>
        <w:rPr>
          <w:rStyle w:val="Codetext"/>
        </w:rPr>
        <w:t>a</w:t>
      </w:r>
      <w:r>
        <w:rPr>
          <w:rStyle w:val="Code"/>
        </w:rPr>
        <w:t>&lt;/sic&gt;&lt;corr&gt;</w:t>
      </w:r>
      <w:r>
        <w:rPr>
          <w:rStyle w:val="Codetext"/>
        </w:rPr>
        <w:t>ā</w:t>
      </w:r>
      <w:r>
        <w:rPr>
          <w:rStyle w:val="Code"/>
        </w:rPr>
        <w:t>&lt;/corr&gt;&lt;/choice&gt;</w:t>
      </w:r>
      <w:r>
        <w:rPr>
          <w:rStyle w:val="Codetext"/>
        </w:rPr>
        <w:t>jñaḥ</w:t>
      </w:r>
      <w:r>
        <w:rPr>
          <w:rStyle w:val="Code"/>
        </w:rPr>
        <w:t>&lt;/orig&gt;</w:t>
      </w:r>
    </w:p>
    <w:p w14:paraId="58AE4661" w14:textId="77777777">
      <w:pPr>
        <w:pStyle w:val="Lista3"/>
      </w:pPr>
      <w:r>
        <w:t>as in the above example, but the scribal mistake is corrected rather than only flagged</w:t>
      </w:r>
    </w:p>
    <w:p w14:paraId="30CEEEAD" w14:textId="77777777">
      <w:pPr>
        <w:pStyle w:val="Lista2"/>
        <w:rPr>
          <w:rStyle w:val="Code"/>
          <w:rFonts w:ascii="Gentium Plus" w:hAnsi="Gentium Plus" w:cs="Arial Unicode MS"/>
          <w:noProof w:val="0"/>
          <w:color w:val="auto"/>
          <w:shd w:val="clear" w:color="auto" w:fill="auto"/>
        </w:rPr>
      </w:pPr>
      <w:r>
        <w:t xml:space="preserve">corrected and normalised: </w:t>
      </w:r>
      <w:r>
        <w:rPr>
          <w:rStyle w:val="Code"/>
        </w:rPr>
        <w:t>&lt;choice&gt;&lt;orig&gt;</w:t>
      </w:r>
      <w:r>
        <w:rPr>
          <w:rStyle w:val="Codetext"/>
        </w:rPr>
        <w:t>mahār</w:t>
      </w:r>
      <w:r>
        <w:rPr>
          <w:rStyle w:val="Code"/>
        </w:rPr>
        <w:t xml:space="preserve"> &lt;choice&gt;&lt;sic&gt;</w:t>
      </w:r>
      <w:r>
        <w:rPr>
          <w:rStyle w:val="Codetext"/>
        </w:rPr>
        <w:t>a</w:t>
      </w:r>
      <w:r>
        <w:rPr>
          <w:rStyle w:val="Code"/>
        </w:rPr>
        <w:t>&lt;/sic&gt;&lt;corr&gt;</w:t>
      </w:r>
      <w:r>
        <w:rPr>
          <w:rStyle w:val="Codetext"/>
        </w:rPr>
        <w:t>ā</w:t>
      </w:r>
      <w:r>
        <w:rPr>
          <w:rStyle w:val="Code"/>
        </w:rPr>
        <w:t>&lt;/corr&gt;&lt;/choice&gt;</w:t>
      </w:r>
      <w:r>
        <w:rPr>
          <w:rStyle w:val="Codetext"/>
        </w:rPr>
        <w:t>jñaḥ</w:t>
      </w:r>
      <w:r>
        <w:rPr>
          <w:rStyle w:val="Code"/>
        </w:rPr>
        <w:t>&lt;/orig&gt;&lt;reg&gt;</w:t>
      </w:r>
      <w:r>
        <w:rPr>
          <w:rStyle w:val="Codetext"/>
        </w:rPr>
        <w:t>mahārājasya</w:t>
      </w:r>
      <w:r>
        <w:rPr>
          <w:rStyle w:val="Code"/>
        </w:rPr>
        <w:t>&lt;/reg&gt;&lt;/choice&gt;</w:t>
      </w:r>
    </w:p>
    <w:p w14:paraId="0DA72ADB" w14:textId="77777777">
      <w:pPr>
        <w:pStyle w:val="Lista2"/>
        <w:rPr>
          <w:rStyle w:val="Code"/>
          <w:rFonts w:ascii="Gentium Plus" w:hAnsi="Gentium Plus" w:cs="Arial Unicode MS"/>
          <w:noProof w:val="0"/>
          <w:color w:val="auto"/>
          <w:shd w:val="clear" w:color="auto" w:fill="auto"/>
        </w:rPr>
      </w:pPr>
      <w:r>
        <w:t xml:space="preserve">corrected and normalised as separate interventions without nesting: </w:t>
      </w:r>
      <w:r>
        <w:rPr>
          <w:rStyle w:val="Codetext"/>
        </w:rPr>
        <w:t>mahār</w:t>
      </w:r>
      <w:r>
        <w:rPr>
          <w:rStyle w:val="Code"/>
        </w:rPr>
        <w:t>&lt;choice&gt;&lt;sic&gt;</w:t>
      </w:r>
      <w:r>
        <w:rPr>
          <w:rStyle w:val="Codetext"/>
        </w:rPr>
        <w:t>a</w:t>
      </w:r>
      <w:r>
        <w:rPr>
          <w:rStyle w:val="Code"/>
        </w:rPr>
        <w:t>&lt;/sic&gt;&lt;corr&gt;</w:t>
      </w:r>
      <w:r>
        <w:rPr>
          <w:rStyle w:val="Codetext"/>
        </w:rPr>
        <w:t>ā</w:t>
      </w:r>
      <w:r>
        <w:rPr>
          <w:rStyle w:val="Code"/>
        </w:rPr>
        <w:t>&lt;/corr&gt;&lt;/choice&gt;</w:t>
      </w:r>
      <w:r>
        <w:rPr>
          <w:rStyle w:val="Codetext"/>
        </w:rPr>
        <w:t>j</w:t>
      </w:r>
      <w:r>
        <w:rPr>
          <w:rStyle w:val="Code"/>
        </w:rPr>
        <w:t>&lt;choice&gt;&lt;orig&gt;</w:t>
      </w:r>
      <w:r>
        <w:rPr>
          <w:rStyle w:val="Codetext"/>
        </w:rPr>
        <w:t>ñaḥ</w:t>
      </w:r>
      <w:r>
        <w:rPr>
          <w:rStyle w:val="Code"/>
        </w:rPr>
        <w:t>&lt;/orig&gt;&lt;reg&gt;</w:t>
      </w:r>
      <w:r>
        <w:rPr>
          <w:rStyle w:val="Codetext"/>
        </w:rPr>
        <w:t>asya</w:t>
      </w:r>
      <w:r>
        <w:rPr>
          <w:rStyle w:val="Code"/>
        </w:rPr>
        <w:t>&lt;/reg&gt;&lt;/choice&gt;</w:t>
      </w:r>
    </w:p>
    <w:p w14:paraId="6123DC63" w14:textId="77777777">
      <w:pPr>
        <w:pStyle w:val="Lista"/>
      </w:pPr>
      <w:r>
        <w:t>nesting editorial intervention in any other combination must be avoided; thus</w:t>
      </w:r>
    </w:p>
    <w:p w14:paraId="37CAB116" w14:textId="77777777">
      <w:pPr>
        <w:pStyle w:val="Lista2"/>
      </w:pPr>
      <w:r>
        <w:t>do not nest a normalisation within a correction</w:t>
      </w:r>
    </w:p>
    <w:p w14:paraId="75F85AC7" w14:textId="77777777">
      <w:pPr>
        <w:pStyle w:val="Lista2"/>
      </w:pPr>
      <w:r>
        <w:t>do not nest a correction within another correction</w:t>
      </w:r>
    </w:p>
    <w:p w14:paraId="53BF7090" w14:textId="77777777">
      <w:pPr>
        <w:pStyle w:val="Lista2"/>
      </w:pPr>
      <w:r>
        <w:t>do not nest a normalisation within another normalisation</w:t>
      </w:r>
    </w:p>
    <w:p w14:paraId="724E3048" w14:textId="77777777">
      <w:pPr>
        <w:pStyle w:val="Lista"/>
      </w:pPr>
      <w:r>
        <w:t xml:space="preserve">in situations where you feel that a received non-standard form is the result of two successive stages of non-standard alteration </w:t>
      </w:r>
      <w:r>
        <w:rPr>
          <w:noProof/>
        </w:rPr>
        <w:t>(</w:t>
      </w:r>
      <w:r>
        <w:t>e.g. non-standard morphology written with non-standard orthography), we recommend one of the following strategies</w:t>
      </w:r>
    </w:p>
    <w:p w14:paraId="3C9F308B" w14:textId="08728518">
      <w:pPr>
        <w:pStyle w:val="Lista2"/>
      </w:pPr>
      <w:r>
        <w:t xml:space="preserve">encode only the received reading </w:t>
      </w:r>
      <w:r>
        <w:rPr>
          <w:noProof/>
        </w:rPr>
        <w:t>(</w:t>
      </w:r>
      <w:r>
        <w:t xml:space="preserve">as </w:t>
      </w:r>
      <w:r>
        <w:rPr>
          <w:rStyle w:val="Code"/>
        </w:rPr>
        <w:t>&lt;orig&gt;</w:t>
      </w:r>
      <w:r>
        <w:t xml:space="preserve">) and the ultimate normalisation </w:t>
      </w:r>
      <w:r>
        <w:rPr>
          <w:noProof/>
        </w:rPr>
        <w:t>(</w:t>
      </w:r>
      <w:r>
        <w:t xml:space="preserve">as </w:t>
      </w:r>
      <w:r>
        <w:rPr>
          <w:rStyle w:val="Code"/>
        </w:rPr>
        <w:t>&lt;reg&gt;</w:t>
      </w:r>
      <w:r>
        <w:t xml:space="preserve">), and record your ideas about an intermediate stage in an apparatus note </w:t>
      </w:r>
      <w:r>
        <w:rPr>
          <w:noProof/>
        </w:rPr>
        <w:t>(</w:t>
      </w:r>
      <w:r>
        <w:t>§</w:t>
      </w:r>
      <w:r>
        <w:fldChar w:fldCharType="begin"/>
      </w:r>
      <w:r>
        <w:instrText xml:space="preserve"> REF _Ref43988104 \w \h  \* MERGEFORMAT </w:instrText>
      </w:r>
      <w:r>
        <w:fldChar w:fldCharType="separate"/>
      </w:r>
      <w:r>
        <w:t>10.7</w:t>
      </w:r>
      <w:r>
        <w:fldChar w:fldCharType="end"/>
      </w:r>
      <w:r>
        <w:t>)</w:t>
      </w:r>
    </w:p>
    <w:p w14:paraId="42161E09" w14:textId="77777777">
      <w:pPr>
        <w:pStyle w:val="Lista2"/>
      </w:pPr>
      <w:r>
        <w:t>or encode the intermediate stage as the correction of a scribal mistake in the received text and, as permitted above, encode a normalisation with that correction nested inside it, e.g.</w:t>
      </w:r>
    </w:p>
    <w:p w14:paraId="658B1B6E" w14:textId="77777777">
      <w:pPr>
        <w:pStyle w:val="Lista3"/>
      </w:pPr>
      <w:r>
        <w:t xml:space="preserve">for example, the word </w:t>
      </w:r>
      <w:r>
        <w:rPr>
          <w:rStyle w:val="Foreign"/>
        </w:rPr>
        <w:t>pāñcavarṣaIkā</w:t>
      </w:r>
      <w:r>
        <w:t xml:space="preserve"> is assumed to be a non-standard spelling of </w:t>
      </w:r>
      <w:r>
        <w:rPr>
          <w:rStyle w:val="Foreign"/>
        </w:rPr>
        <w:t>*pāñcavarṣayikā</w:t>
      </w:r>
      <w:r>
        <w:t xml:space="preserve">, which itself is a non-standard derivation whose expected form would be </w:t>
      </w:r>
      <w:r>
        <w:rPr>
          <w:rStyle w:val="Foreign"/>
        </w:rPr>
        <w:t>pāñcavarṣikā</w:t>
      </w:r>
    </w:p>
    <w:p w14:paraId="24A834D6" w14:textId="77777777">
      <w:pPr>
        <w:pStyle w:val="Lista3"/>
      </w:pPr>
      <w:r>
        <w:lastRenderedPageBreak/>
        <w:t xml:space="preserve">encoded with the received reading and the fully rectified reading: </w:t>
      </w:r>
      <w:r>
        <w:rPr>
          <w:rStyle w:val="Codetext"/>
        </w:rPr>
        <w:t>pāñcavarṣ</w:t>
      </w:r>
      <w:r>
        <w:rPr>
          <w:rStyle w:val="Code"/>
        </w:rPr>
        <w:t>&lt;choice&gt;&lt;orig&gt;</w:t>
      </w:r>
      <w:r>
        <w:rPr>
          <w:rStyle w:val="Codetext"/>
        </w:rPr>
        <w:t>aI</w:t>
      </w:r>
      <w:r>
        <w:rPr>
          <w:rStyle w:val="Code"/>
        </w:rPr>
        <w:t>&lt;/orig&gt;&lt;reg&gt;</w:t>
      </w:r>
      <w:r>
        <w:rPr>
          <w:rStyle w:val="Codetext"/>
        </w:rPr>
        <w:t>i</w:t>
      </w:r>
      <w:r>
        <w:rPr>
          <w:rStyle w:val="Code"/>
        </w:rPr>
        <w:t>&lt;/reg&gt;&lt;/choice&gt;</w:t>
      </w:r>
      <w:r>
        <w:rPr>
          <w:rStyle w:val="Codetext"/>
        </w:rPr>
        <w:t>kā</w:t>
      </w:r>
    </w:p>
    <w:p w14:paraId="63FFC278" w14:textId="77777777">
      <w:pPr>
        <w:pStyle w:val="Lista3"/>
      </w:pPr>
      <w:r>
        <w:t xml:space="preserve">encoded as correction nested in normalisation: </w:t>
      </w:r>
      <w:r>
        <w:rPr>
          <w:rStyle w:val="Codetext"/>
        </w:rPr>
        <w:t>pāñcavarṣ</w:t>
      </w:r>
      <w:r>
        <w:rPr>
          <w:rStyle w:val="Code"/>
        </w:rPr>
        <w:t>&lt;choice&gt;&lt;orig&gt;</w:t>
      </w:r>
      <w:r>
        <w:rPr>
          <w:rStyle w:val="Codetext"/>
        </w:rPr>
        <w:t>a</w:t>
      </w:r>
      <w:r>
        <w:rPr>
          <w:rStyle w:val="Code"/>
        </w:rPr>
        <w:t>&lt;choice&gt;&lt;sic&gt;</w:t>
      </w:r>
      <w:r>
        <w:rPr>
          <w:rStyle w:val="Codetext"/>
        </w:rPr>
        <w:t>I</w:t>
      </w:r>
      <w:r>
        <w:rPr>
          <w:rStyle w:val="Code"/>
        </w:rPr>
        <w:t>&lt;/sic&gt;&lt;corr&gt;</w:t>
      </w:r>
      <w:r>
        <w:rPr>
          <w:rStyle w:val="Codetext"/>
        </w:rPr>
        <w:t>yi</w:t>
      </w:r>
      <w:r>
        <w:rPr>
          <w:rStyle w:val="Code"/>
        </w:rPr>
        <w:t>&lt;/corr&gt;&lt;/choice&gt;&lt;/orig&gt;&lt;reg&gt;</w:t>
      </w:r>
      <w:r>
        <w:rPr>
          <w:rStyle w:val="Codetext"/>
        </w:rPr>
        <w:t>i</w:t>
      </w:r>
      <w:r>
        <w:rPr>
          <w:rStyle w:val="Code"/>
        </w:rPr>
        <w:t>&lt;/reg&gt;&lt;/choice&gt;</w:t>
      </w:r>
      <w:r>
        <w:rPr>
          <w:rStyle w:val="Codetext"/>
        </w:rPr>
        <w:t>kā</w:t>
      </w:r>
    </w:p>
    <w:p w14:paraId="65D44F6E" w14:textId="77777777">
      <w:pPr>
        <w:pStyle w:val="Cmsor2"/>
      </w:pPr>
      <w:bookmarkStart w:id="674" w:name="_Ref229056523"/>
      <w:bookmarkStart w:id="675" w:name="_Ref181352167"/>
      <w:bookmarkStart w:id="676" w:name="_Toc243922702"/>
      <w:bookmarkEnd w:id="656"/>
      <w:r>
        <w:t>Editorial curation</w:t>
      </w:r>
      <w:bookmarkEnd w:id="674"/>
      <w:bookmarkEnd w:id="676"/>
    </w:p>
    <w:p w14:paraId="1CF82700" w14:textId="77777777">
      <w:bookmarkStart w:id="677" w:name="_9w2cv2tff5ws" w:colFirst="0" w:colLast="0"/>
      <w:bookmarkStart w:id="678" w:name="_xk5v4l7lzr6g" w:colFirst="0" w:colLast="0"/>
      <w:bookmarkStart w:id="679" w:name="_s3fp2wg6e0tr" w:colFirst="0" w:colLast="0"/>
      <w:bookmarkStart w:id="680" w:name="_4q8co2w6em7s" w:colFirst="0" w:colLast="0"/>
      <w:bookmarkStart w:id="681" w:name="_gfq2483l08s8" w:colFirst="0" w:colLast="0"/>
      <w:bookmarkStart w:id="682" w:name="_17phg3rwszds" w:colFirst="0" w:colLast="0"/>
      <w:bookmarkStart w:id="683" w:name="_ed4evxx65471" w:colFirst="0" w:colLast="0"/>
      <w:bookmarkStart w:id="684" w:name="_ucm4r081jfln" w:colFirst="0" w:colLast="0"/>
      <w:bookmarkStart w:id="685" w:name="_65k0k8n31en0" w:colFirst="0" w:colLast="0"/>
      <w:bookmarkStart w:id="686" w:name="_Ref43987541"/>
      <w:bookmarkEnd w:id="677"/>
      <w:bookmarkEnd w:id="678"/>
      <w:bookmarkEnd w:id="679"/>
      <w:bookmarkEnd w:id="680"/>
      <w:bookmarkEnd w:id="681"/>
      <w:bookmarkEnd w:id="682"/>
      <w:bookmarkEnd w:id="683"/>
      <w:bookmarkEnd w:id="684"/>
      <w:bookmarkEnd w:id="685"/>
      <w:r>
        <w:rPr>
          <w:lang w:eastAsia="en-US" w:bidi="ar-SA"/>
        </w:rPr>
        <w:t xml:space="preserve">As discussed in TG §3.3, our editions can include some basic text-based markup that we call </w:t>
      </w:r>
      <w:r>
        <w:rPr>
          <w:i/>
          <w:iCs/>
          <w:lang w:eastAsia="en-US" w:bidi="ar-SA"/>
        </w:rPr>
        <w:t>shorthand</w:t>
      </w:r>
      <w:r>
        <w:t>, which we employ in order to reduce clutter in our encoding. Essential shorthand (TG §3.3.1) is notation that could in principle be replaced by XML encoding, but we choose never to do so. When shorthand is present in a DHARMA digital edition, it will always be implicitly understood as editorial, even though it is not explicitly encoded as such.</w:t>
      </w:r>
    </w:p>
    <w:p w14:paraId="76FCDE06" w14:textId="411DD57F">
      <w:pPr>
        <w:pStyle w:val="Normlbehzs"/>
      </w:pPr>
      <w:r>
        <w:t>Essential shorthand includes the disambiguation colon (TG §3.3.1.1), the placeholders for orphaned graphic elements (§</w:t>
      </w:r>
      <w:r>
        <w:fldChar w:fldCharType="begin"/>
      </w:r>
      <w:r>
        <w:instrText xml:space="preserve"> REF _Ref43987165 \r \h </w:instrText>
      </w:r>
      <w:r>
        <w:fldChar w:fldCharType="separate"/>
      </w:r>
      <w:r>
        <w:t>5.1.4</w:t>
      </w:r>
      <w:r>
        <w:fldChar w:fldCharType="end"/>
      </w:r>
      <w:r>
        <w:t xml:space="preserve"> and TG§3.3.1.2), the spaces and hyphens for editorial segmentation (TG §7.3) and the hyphens used for sandhi analysis (TG §7.2).</w:t>
      </w:r>
    </w:p>
    <w:p w14:paraId="5DDE80C4" w14:textId="70BDB32E">
      <w:pPr>
        <w:pStyle w:val="Normlbehzs"/>
      </w:pPr>
      <w:r>
        <w:t>Optional shorthand is notation for which an equivalent or functionally similar encoding alternative exists in DHARMA practice, but which is nonetheless permitted (with different degrees of endorsement) in our XML editions when their simplicity is preferred to the potentially complex encoding alternative. Optional shorthand includes the character joiner sign = (§</w:t>
      </w:r>
      <w:r>
        <w:fldChar w:fldCharType="begin"/>
      </w:r>
      <w:r>
        <w:instrText xml:space="preserve"> REF _Ref43987221 \r \h </w:instrText>
      </w:r>
      <w:r>
        <w:fldChar w:fldCharType="separate"/>
      </w:r>
      <w:r>
        <w:t>5.1.1</w:t>
      </w:r>
      <w:r>
        <w:fldChar w:fldCharType="end"/>
      </w:r>
      <w:r>
        <w:t xml:space="preserve"> and TG§3.3.2.1) and the wildcards V and C for generic vowels and consonants (§</w:t>
      </w:r>
      <w:r>
        <w:fldChar w:fldCharType="begin"/>
      </w:r>
      <w:r>
        <w:instrText xml:space="preserve"> REF _Ref228202081 \r \h </w:instrText>
      </w:r>
      <w:r>
        <w:fldChar w:fldCharType="separate"/>
      </w:r>
      <w:r>
        <w:t>5.1.2</w:t>
      </w:r>
      <w:r>
        <w:fldChar w:fldCharType="end"/>
      </w:r>
      <w:r>
        <w:t xml:space="preserve"> and TG §3.3.2.2) as well as some forms of notation which are essentially a kind of editorial normalisation. The following subsections discuss editorial punctuation (which is not shorthand and must always be accompanied by encoding), along with these latter optional shorthand solutions and their encoding alternatives.</w:t>
      </w:r>
    </w:p>
    <w:p w14:paraId="3BFED152" w14:textId="77777777">
      <w:pPr>
        <w:pStyle w:val="Cmsor3"/>
      </w:pPr>
      <w:bookmarkStart w:id="687" w:name="_Ref43984944"/>
      <w:bookmarkStart w:id="688" w:name="_Toc243922703"/>
      <w:r>
        <w:t>Editorial spac</w:t>
      </w:r>
      <w:bookmarkEnd w:id="687"/>
      <w:r>
        <w:t>ing</w:t>
      </w:r>
      <w:bookmarkEnd w:id="688"/>
    </w:p>
    <w:p w14:paraId="39B102C4" w14:textId="03C4C87C">
      <w:r>
        <w:t xml:space="preserve">See TG §7.3.4 for general guidance about where and how editorial spaces </w:t>
      </w:r>
      <w:r>
        <w:rPr>
          <w:noProof/>
        </w:rPr>
        <w:t>(</w:t>
      </w:r>
      <w:r>
        <w:t>for word separation) should be employed, and §</w:t>
      </w:r>
      <w:r>
        <w:fldChar w:fldCharType="begin"/>
      </w:r>
      <w:r>
        <w:instrText xml:space="preserve"> REF _Ref43989206 \w \h  \* MERGEFORMAT </w:instrText>
      </w:r>
      <w:r>
        <w:fldChar w:fldCharType="separate"/>
      </w:r>
      <w:r>
        <w:t>16.1</w:t>
      </w:r>
      <w:r>
        <w:fldChar w:fldCharType="end"/>
      </w:r>
      <w:r>
        <w:t xml:space="preserve"> about how spaces in your XML document will be processed. That summary of white space in the processing of XML documents will not necessarily apply to the processing of our encoded files, chiefly because not all processing algorithms behave identically in complex situations while treating white space and the attribute </w:t>
      </w:r>
      <w:r>
        <w:rPr>
          <w:rStyle w:val="Codeattribute"/>
        </w:rPr>
        <w:t>@xml:space</w:t>
      </w:r>
      <w:r>
        <w:rPr>
          <w:rStyle w:val="Codetext"/>
        </w:rPr>
        <w:t>=</w:t>
      </w:r>
      <w:r>
        <w:rPr>
          <w:rStyle w:val="Codevalue"/>
        </w:rPr>
        <w:t>"preserve"</w:t>
      </w:r>
      <w:r>
        <w:t xml:space="preserve"> on the </w:t>
      </w:r>
      <w:r>
        <w:rPr>
          <w:rStyle w:val="Code"/>
        </w:rPr>
        <w:t>&lt;text&gt;</w:t>
      </w:r>
      <w:r>
        <w:t xml:space="preserve"> element of our documents. Therefore, do not bother memorising the subtleties of whitespace handling theory; instead, adhere to the following rules of thumb.</w:t>
      </w:r>
    </w:p>
    <w:p w14:paraId="56C3FA16" w14:textId="77777777">
      <w:pPr>
        <w:pStyle w:val="Lista"/>
      </w:pPr>
      <w:r>
        <w:t>avoid adding spaces to your text except where an editorial space is required</w:t>
      </w:r>
    </w:p>
    <w:p w14:paraId="375DF283" w14:textId="77777777">
      <w:pPr>
        <w:pStyle w:val="Lista"/>
      </w:pPr>
      <w:r>
        <w:t>make sure to add all required editorial spaces even if an XML element is also present at the same point</w:t>
      </w:r>
    </w:p>
    <w:p w14:paraId="2A2D613C" w14:textId="0DEFC685">
      <w:pPr>
        <w:pStyle w:val="Lista2"/>
      </w:pPr>
      <w:r>
        <w:t>as far as possible, avoid editorial spaces at the beginning and end of the content of a container element, especially in the situations addressed in §</w:t>
      </w:r>
      <w:r>
        <w:fldChar w:fldCharType="begin"/>
      </w:r>
      <w:r>
        <w:instrText xml:space="preserve"> REF _Ref232068629 \r \h </w:instrText>
      </w:r>
      <w:r>
        <w:fldChar w:fldCharType="separate"/>
      </w:r>
      <w:r>
        <w:t>7.8.1.1</w:t>
      </w:r>
      <w:r>
        <w:fldChar w:fldCharType="end"/>
      </w:r>
      <w:r>
        <w:t xml:space="preserve"> below</w:t>
      </w:r>
    </w:p>
    <w:p w14:paraId="29F805E0" w14:textId="77777777">
      <w:pPr>
        <w:pStyle w:val="Lista"/>
      </w:pPr>
      <w:r>
        <w:t>with block-level containers, feel free to enter their contents in a new line after the start tag and/or to put the end tag in a new line if that makes your work easier for you</w:t>
      </w:r>
    </w:p>
    <w:p w14:paraId="2B063C5E" w14:textId="77777777">
      <w:pPr>
        <w:pStyle w:val="Cmsor4"/>
      </w:pPr>
      <w:bookmarkStart w:id="689" w:name="_Ref232068629"/>
      <w:r>
        <w:t>Spacing phrase-level elements</w:t>
      </w:r>
      <w:bookmarkEnd w:id="689"/>
    </w:p>
    <w:p w14:paraId="29469B65" w14:textId="77777777">
      <w:r>
        <w:t>Phrase-level elements enclosing text (e.g. those representing legibility issues, editorial intervention and restoration) are text containers, therefore</w:t>
      </w:r>
    </w:p>
    <w:p w14:paraId="14C442D7" w14:textId="77777777">
      <w:pPr>
        <w:pStyle w:val="Lista"/>
      </w:pPr>
      <w:r>
        <w:t>spaces outside such elements should be used wherever necessary, i.e. wherever the text within a phrase-level container belongs to a word separate from its neighbour outside the container, e.g.</w:t>
      </w:r>
    </w:p>
    <w:p w14:paraId="48450114" w14:textId="77777777">
      <w:pPr>
        <w:pStyle w:val="Lista2"/>
      </w:pPr>
      <w:r>
        <w:rPr>
          <w:rStyle w:val="Codetext"/>
        </w:rPr>
        <w:t xml:space="preserve">evam </w:t>
      </w:r>
      <w:r>
        <w:rPr>
          <w:rStyle w:val="Code"/>
        </w:rPr>
        <w:t>&lt;unclear&gt;</w:t>
      </w:r>
      <w:r>
        <w:rPr>
          <w:rStyle w:val="Codetext"/>
        </w:rPr>
        <w:t>etaT</w:t>
      </w:r>
      <w:r>
        <w:rPr>
          <w:rStyle w:val="Code"/>
        </w:rPr>
        <w:t>&lt;/unclear&gt;</w:t>
      </w:r>
      <w:r>
        <w:t xml:space="preserve"> must have a space before the container</w:t>
      </w:r>
    </w:p>
    <w:p w14:paraId="1A474757" w14:textId="77777777">
      <w:pPr>
        <w:pStyle w:val="Lista2"/>
      </w:pPr>
      <w:r>
        <w:rPr>
          <w:rStyle w:val="Codetext"/>
        </w:rPr>
        <w:t>evam e</w:t>
      </w:r>
      <w:r>
        <w:rPr>
          <w:rStyle w:val="Code"/>
        </w:rPr>
        <w:t>&lt;unclear&gt;</w:t>
      </w:r>
      <w:r>
        <w:rPr>
          <w:rStyle w:val="Codetext"/>
        </w:rPr>
        <w:t>taT</w:t>
      </w:r>
      <w:r>
        <w:rPr>
          <w:rStyle w:val="Code"/>
        </w:rPr>
        <w:t>&lt;/unclear&gt;</w:t>
      </w:r>
      <w:r>
        <w:t xml:space="preserve"> must not have a space before the container</w:t>
      </w:r>
    </w:p>
    <w:p w14:paraId="3B889DBC" w14:textId="77777777">
      <w:pPr>
        <w:pStyle w:val="Lista"/>
      </w:pPr>
      <w:r>
        <w:t>white space at the inner edges of such containers may be trimmed from their content in processing</w:t>
      </w:r>
    </w:p>
    <w:p w14:paraId="031819EE" w14:textId="77777777">
      <w:pPr>
        <w:pStyle w:val="Lista2"/>
      </w:pPr>
      <w:r>
        <w:t>therefore any necessary spaces must be placed outside these containers, e.g.</w:t>
      </w:r>
    </w:p>
    <w:p w14:paraId="4EA770C3" w14:textId="77777777">
      <w:pPr>
        <w:pStyle w:val="Lista3"/>
      </w:pPr>
      <w:r>
        <w:rPr>
          <w:rStyle w:val="Codetext"/>
        </w:rPr>
        <w:t>evam</w:t>
      </w:r>
      <w:r>
        <w:rPr>
          <w:rStyle w:val="Code"/>
        </w:rPr>
        <w:t xml:space="preserve">&lt;unclear&gt; </w:t>
      </w:r>
      <w:r>
        <w:rPr>
          <w:rStyle w:val="Codetext"/>
        </w:rPr>
        <w:t>etaT</w:t>
      </w:r>
      <w:r>
        <w:rPr>
          <w:rStyle w:val="Code"/>
        </w:rPr>
        <w:t>&lt;/unclear&gt;</w:t>
      </w:r>
      <w:r>
        <w:t xml:space="preserve"> is incorrectly spaced</w:t>
      </w:r>
    </w:p>
    <w:p w14:paraId="089DD69E" w14:textId="77777777">
      <w:pPr>
        <w:pStyle w:val="Lista3"/>
      </w:pPr>
      <w:r>
        <w:lastRenderedPageBreak/>
        <w:t xml:space="preserve">while </w:t>
      </w:r>
      <w:r>
        <w:rPr>
          <w:rStyle w:val="Codetext"/>
        </w:rPr>
        <w:t xml:space="preserve">evam </w:t>
      </w:r>
      <w:r>
        <w:rPr>
          <w:rStyle w:val="Code"/>
        </w:rPr>
        <w:t xml:space="preserve">&lt;unclear&gt; </w:t>
      </w:r>
      <w:r>
        <w:rPr>
          <w:rStyle w:val="Codetext"/>
        </w:rPr>
        <w:t>etaT</w:t>
      </w:r>
      <w:r>
        <w:rPr>
          <w:rStyle w:val="Code"/>
        </w:rPr>
        <w:t>&lt;/unclear&gt;</w:t>
      </w:r>
      <w:r>
        <w:t xml:space="preserve"> is technically correct, though it contains a superfluous space within the </w:t>
      </w:r>
      <w:r>
        <w:rPr>
          <w:rStyle w:val="Code"/>
        </w:rPr>
        <w:t>&lt;unclear&gt;</w:t>
      </w:r>
      <w:r>
        <w:t xml:space="preserve"> tag</w:t>
      </w:r>
    </w:p>
    <w:p w14:paraId="2A3F137D" w14:textId="77777777">
      <w:pPr>
        <w:pStyle w:val="Lista"/>
      </w:pPr>
      <w:r>
        <w:t xml:space="preserve">in elements that encode two </w:t>
      </w:r>
      <w:r>
        <w:rPr>
          <w:noProof/>
        </w:rPr>
        <w:t>(</w:t>
      </w:r>
      <w:r>
        <w:t>or more) alternative readings for a stretch of text, it may be necessary to add a space at the beginning or end of only one of these alternatives</w:t>
      </w:r>
    </w:p>
    <w:p w14:paraId="50DB5CB4" w14:textId="77777777">
      <w:pPr>
        <w:pStyle w:val="Lista2"/>
      </w:pPr>
      <w:r>
        <w:t>to avoid anomalies in processing, in such cases you should increase the scope of the elements so that the space is not at the edge of the content, e.g.</w:t>
      </w:r>
    </w:p>
    <w:p w14:paraId="0A804B5F" w14:textId="77777777">
      <w:pPr>
        <w:pStyle w:val="Lista3"/>
      </w:pPr>
      <w:r>
        <w:t xml:space="preserve">in an ambivalent reading that may be read as </w:t>
      </w:r>
      <w:r>
        <w:rPr>
          <w:rStyle w:val="Foreign"/>
        </w:rPr>
        <w:t>tathāpi</w:t>
      </w:r>
      <w:r>
        <w:t xml:space="preserve"> </w:t>
      </w:r>
      <w:r>
        <w:rPr>
          <w:noProof/>
        </w:rPr>
        <w:t>(</w:t>
      </w:r>
      <w:r>
        <w:rPr>
          <w:rStyle w:val="Foreign"/>
        </w:rPr>
        <w:t>tathā*api</w:t>
      </w:r>
      <w:r>
        <w:t xml:space="preserve"> in inseparable sandhi) or </w:t>
      </w:r>
      <w:r>
        <w:rPr>
          <w:rStyle w:val="Foreign"/>
        </w:rPr>
        <w:t>tathā hi</w:t>
      </w:r>
      <w:r>
        <w:t xml:space="preserve"> (two separable words)</w:t>
      </w:r>
    </w:p>
    <w:p w14:paraId="76D83727" w14:textId="77777777">
      <w:pPr>
        <w:pStyle w:val="Lista4"/>
      </w:pPr>
      <w:r>
        <w:rPr>
          <w:rStyle w:val="Codetext"/>
        </w:rPr>
        <w:t>tathā</w:t>
      </w:r>
      <w:r>
        <w:rPr>
          <w:rStyle w:val="Code"/>
        </w:rPr>
        <w:t>&lt;choice&gt;&lt;unclear&gt;</w:t>
      </w:r>
      <w:r>
        <w:rPr>
          <w:rStyle w:val="Codetext"/>
        </w:rPr>
        <w:t>p</w:t>
      </w:r>
      <w:r>
        <w:rPr>
          <w:rStyle w:val="Code"/>
        </w:rPr>
        <w:t xml:space="preserve">&lt;/unclear&gt;&lt;unclear&gt; </w:t>
      </w:r>
      <w:r>
        <w:rPr>
          <w:rStyle w:val="Codetext"/>
        </w:rPr>
        <w:t>h</w:t>
      </w:r>
      <w:r>
        <w:rPr>
          <w:rStyle w:val="Code"/>
        </w:rPr>
        <w:t>&lt;/unclear&gt;&lt;/choice&gt;</w:t>
      </w:r>
      <w:r>
        <w:rPr>
          <w:rStyle w:val="Codetext"/>
        </w:rPr>
        <w:t>i</w:t>
      </w:r>
      <w:r>
        <w:t xml:space="preserve"> is incorrectly spaced </w:t>
      </w:r>
      <w:r>
        <w:rPr>
          <w:noProof/>
        </w:rPr>
        <w:t>(</w:t>
      </w:r>
      <w:r>
        <w:t xml:space="preserve">since the space before </w:t>
      </w:r>
      <w:r>
        <w:rPr>
          <w:rStyle w:val="Foreign"/>
        </w:rPr>
        <w:t>h</w:t>
      </w:r>
      <w:r>
        <w:t xml:space="preserve"> may be trimmed)</w:t>
      </w:r>
    </w:p>
    <w:p w14:paraId="5FC8C37C" w14:textId="77777777">
      <w:pPr>
        <w:pStyle w:val="Lista4"/>
      </w:pPr>
      <w:r>
        <w:t xml:space="preserve">to eliminate the problem, use </w:t>
      </w:r>
    </w:p>
    <w:p w14:paraId="340050AD" w14:textId="77777777">
      <w:pPr>
        <w:pStyle w:val="Lista5"/>
      </w:pPr>
      <w:r>
        <w:t xml:space="preserve">either </w:t>
      </w:r>
      <w:r>
        <w:rPr>
          <w:rStyle w:val="Code"/>
        </w:rPr>
        <w:t>&lt;choice&gt;&lt;unclear&gt;</w:t>
      </w:r>
      <w:r>
        <w:rPr>
          <w:rStyle w:val="Codetext"/>
        </w:rPr>
        <w:t>tathāpi</w:t>
      </w:r>
      <w:r>
        <w:rPr>
          <w:rStyle w:val="Code"/>
        </w:rPr>
        <w:t>&lt;/unclear&gt;&lt;unclear&gt;</w:t>
      </w:r>
      <w:r>
        <w:rPr>
          <w:rStyle w:val="Codetext"/>
        </w:rPr>
        <w:t>tathā hi</w:t>
      </w:r>
      <w:r>
        <w:rPr>
          <w:rStyle w:val="Code"/>
        </w:rPr>
        <w:t>&lt;/unclear&gt;&lt;/choice&gt;</w:t>
      </w:r>
      <w:r>
        <w:t xml:space="preserve"> </w:t>
      </w:r>
    </w:p>
    <w:p w14:paraId="0B23D484" w14:textId="77777777">
      <w:pPr>
        <w:pStyle w:val="Lista5"/>
      </w:pPr>
      <w:r>
        <w:t xml:space="preserve">or </w:t>
      </w:r>
      <w:r>
        <w:rPr>
          <w:rStyle w:val="Codetext"/>
        </w:rPr>
        <w:t>tath</w:t>
      </w:r>
      <w:r>
        <w:rPr>
          <w:rStyle w:val="Code"/>
        </w:rPr>
        <w:t>&lt;choice&gt;&lt;unclear&gt;</w:t>
      </w:r>
      <w:r>
        <w:rPr>
          <w:rStyle w:val="Codetext"/>
        </w:rPr>
        <w:t>āp</w:t>
      </w:r>
      <w:r>
        <w:rPr>
          <w:rStyle w:val="Code"/>
        </w:rPr>
        <w:t>&lt;/unclear&gt;&lt;unclear&gt;</w:t>
      </w:r>
      <w:r>
        <w:rPr>
          <w:rStyle w:val="Codetext"/>
        </w:rPr>
        <w:t>ā h</w:t>
      </w:r>
      <w:r>
        <w:rPr>
          <w:rStyle w:val="Code"/>
        </w:rPr>
        <w:t>&lt;/unclear&gt;&lt;/choice&gt;</w:t>
      </w:r>
      <w:r>
        <w:rPr>
          <w:rStyle w:val="Codetext"/>
        </w:rPr>
        <w:t>i</w:t>
      </w:r>
    </w:p>
    <w:p w14:paraId="789C935B" w14:textId="77777777">
      <w:pPr>
        <w:pStyle w:val="Lista3"/>
      </w:pPr>
      <w:r>
        <w:t xml:space="preserve">in an editorial correction of </w:t>
      </w:r>
      <w:r>
        <w:rPr>
          <w:rStyle w:val="Foreign"/>
        </w:rPr>
        <w:t>gata-kāle</w:t>
      </w:r>
      <w:r>
        <w:t xml:space="preserve"> to </w:t>
      </w:r>
      <w:r>
        <w:rPr>
          <w:rStyle w:val="Foreign"/>
        </w:rPr>
        <w:t>gate kāle</w:t>
      </w:r>
    </w:p>
    <w:p w14:paraId="29CE0E3C" w14:textId="77777777">
      <w:pPr>
        <w:pStyle w:val="Lista4"/>
      </w:pPr>
      <w:r>
        <w:rPr>
          <w:rStyle w:val="Codetext"/>
        </w:rPr>
        <w:t>gat</w:t>
      </w:r>
      <w:r>
        <w:rPr>
          <w:rStyle w:val="Code"/>
        </w:rPr>
        <w:t>&lt;choice&gt;&lt;sic&gt;</w:t>
      </w:r>
      <w:r>
        <w:rPr>
          <w:rStyle w:val="Codetext"/>
        </w:rPr>
        <w:t>a-</w:t>
      </w:r>
      <w:r>
        <w:rPr>
          <w:rStyle w:val="Code"/>
        </w:rPr>
        <w:t>&lt;/sic&gt;&lt;corr&gt;</w:t>
      </w:r>
      <w:r>
        <w:rPr>
          <w:rStyle w:val="Codetext"/>
        </w:rPr>
        <w:t xml:space="preserve">e </w:t>
      </w:r>
      <w:r>
        <w:rPr>
          <w:rStyle w:val="Code"/>
        </w:rPr>
        <w:t>&lt;/corr&gt;&lt;/choice&gt;</w:t>
      </w:r>
      <w:r>
        <w:rPr>
          <w:rStyle w:val="Codetext"/>
        </w:rPr>
        <w:t>kāle</w:t>
      </w:r>
      <w:r>
        <w:t xml:space="preserve"> is incorrectly spaced </w:t>
      </w:r>
      <w:r>
        <w:rPr>
          <w:noProof/>
        </w:rPr>
        <w:t>(</w:t>
      </w:r>
      <w:r>
        <w:t xml:space="preserve">since the space after </w:t>
      </w:r>
      <w:r>
        <w:rPr>
          <w:rStyle w:val="Foreign"/>
        </w:rPr>
        <w:t>e</w:t>
      </w:r>
      <w:r>
        <w:t xml:space="preserve"> may be trimmed)</w:t>
      </w:r>
    </w:p>
    <w:p w14:paraId="6104D728" w14:textId="77777777">
      <w:pPr>
        <w:pStyle w:val="Lista4"/>
      </w:pPr>
      <w:r>
        <w:t xml:space="preserve">to eliminate the problem, use </w:t>
      </w:r>
    </w:p>
    <w:p w14:paraId="11BEFEB0" w14:textId="77777777">
      <w:pPr>
        <w:pStyle w:val="Lista5"/>
      </w:pPr>
      <w:r>
        <w:t xml:space="preserve">either </w:t>
      </w:r>
      <w:r>
        <w:rPr>
          <w:rStyle w:val="Code"/>
        </w:rPr>
        <w:t>&lt;choice&gt;&lt;sic&gt;</w:t>
      </w:r>
      <w:r>
        <w:rPr>
          <w:rStyle w:val="Codetext"/>
        </w:rPr>
        <w:t>gata-kāle</w:t>
      </w:r>
      <w:r>
        <w:rPr>
          <w:rStyle w:val="Code"/>
        </w:rPr>
        <w:t>&lt;/sic&gt;&lt;corr&gt;</w:t>
      </w:r>
      <w:r>
        <w:rPr>
          <w:rStyle w:val="Codetext"/>
        </w:rPr>
        <w:t>gate kāle</w:t>
      </w:r>
      <w:r>
        <w:rPr>
          <w:rStyle w:val="Code"/>
        </w:rPr>
        <w:t>&lt;/corr&gt;&lt;/choice&gt;</w:t>
      </w:r>
      <w:r>
        <w:t xml:space="preserve"> </w:t>
      </w:r>
    </w:p>
    <w:p w14:paraId="673D61A7" w14:textId="77777777">
      <w:pPr>
        <w:pStyle w:val="Lista5"/>
      </w:pPr>
      <w:r>
        <w:t xml:space="preserve">or </w:t>
      </w:r>
      <w:r>
        <w:rPr>
          <w:rStyle w:val="Codetext"/>
        </w:rPr>
        <w:t>gat</w:t>
      </w:r>
      <w:r>
        <w:rPr>
          <w:rStyle w:val="Code"/>
        </w:rPr>
        <w:t>&lt;choice&gt;&lt;sic&gt;</w:t>
      </w:r>
      <w:r>
        <w:rPr>
          <w:rStyle w:val="Codetext"/>
        </w:rPr>
        <w:t>a-k</w:t>
      </w:r>
      <w:r>
        <w:rPr>
          <w:rStyle w:val="Code"/>
        </w:rPr>
        <w:t>&lt;/sic&gt;&lt;corr&gt;</w:t>
      </w:r>
      <w:r>
        <w:rPr>
          <w:rStyle w:val="Codetext"/>
        </w:rPr>
        <w:t>e k</w:t>
      </w:r>
      <w:r>
        <w:rPr>
          <w:rStyle w:val="Code"/>
        </w:rPr>
        <w:t>&lt;/corr&gt;&lt;/choice&gt;</w:t>
      </w:r>
      <w:r>
        <w:rPr>
          <w:rStyle w:val="Codetext"/>
        </w:rPr>
        <w:t>āle</w:t>
      </w:r>
    </w:p>
    <w:p w14:paraId="38D83AF4" w14:textId="77777777">
      <w:pPr>
        <w:pStyle w:val="Cmsor3"/>
      </w:pPr>
      <w:bookmarkStart w:id="690" w:name="_xg74xrj1ejbr" w:colFirst="0" w:colLast="0"/>
      <w:bookmarkStart w:id="691" w:name="_Ref232156818"/>
      <w:bookmarkStart w:id="692" w:name="_Toc243922704"/>
      <w:bookmarkEnd w:id="690"/>
      <w:r>
        <w:t>Editorial hyphenation</w:t>
      </w:r>
      <w:bookmarkEnd w:id="691"/>
      <w:bookmarkEnd w:id="692"/>
    </w:p>
    <w:p w14:paraId="5A5A8312" w14:textId="77777777">
      <w:r>
        <w:t xml:space="preserve">See TG §7.3.5 for general guidance about where and how editorial hyphens </w:t>
      </w:r>
      <w:r>
        <w:rPr>
          <w:noProof/>
        </w:rPr>
        <w:t>(</w:t>
      </w:r>
      <w:r>
        <w:t xml:space="preserve">for compound segmentation and some cases of sandhi analysis) should be employed. </w:t>
      </w:r>
    </w:p>
    <w:p w14:paraId="5D6340F9" w14:textId="77777777">
      <w:pPr>
        <w:pStyle w:val="Lista"/>
      </w:pPr>
      <w:r>
        <w:t>hyphens must never be added at the ends of epigraphic lines</w:t>
      </w:r>
    </w:p>
    <w:p w14:paraId="43C07ED4" w14:textId="77777777">
      <w:pPr>
        <w:pStyle w:val="Lista2"/>
      </w:pPr>
      <w:r>
        <w:t xml:space="preserve">if a line beginning interrupts a word, the element encoding the new line must take the attribute </w:t>
      </w:r>
      <w:r>
        <w:rPr>
          <w:rStyle w:val="Codeattribute"/>
        </w:rPr>
        <w:t>@break</w:t>
      </w:r>
      <w:r>
        <w:rPr>
          <w:rStyle w:val="Code"/>
        </w:rPr>
        <w:t>=</w:t>
      </w:r>
      <w:r>
        <w:rPr>
          <w:rStyle w:val="Codevalue"/>
        </w:rPr>
        <w:t>"no"</w:t>
      </w:r>
    </w:p>
    <w:p w14:paraId="4ACE53D8" w14:textId="77777777">
      <w:pPr>
        <w:pStyle w:val="Lista2"/>
      </w:pPr>
      <w:r>
        <w:t xml:space="preserve">the same applies to </w:t>
      </w:r>
      <w:r>
        <w:rPr>
          <w:rStyle w:val="Code"/>
        </w:rPr>
        <w:t>&lt;pb/&gt;</w:t>
      </w:r>
      <w:r>
        <w:t xml:space="preserve"> and </w:t>
      </w:r>
      <w:r>
        <w:rPr>
          <w:rStyle w:val="Code"/>
        </w:rPr>
        <w:t>&lt;milestone/&gt;</w:t>
      </w:r>
      <w:r>
        <w:t xml:space="preserve"> elements</w:t>
      </w:r>
    </w:p>
    <w:p w14:paraId="68737496" w14:textId="77777777">
      <w:pPr>
        <w:pStyle w:val="Lista2"/>
      </w:pPr>
      <w:r>
        <w:t>this encoding replaces the word-breaking hyphen used at the ends of printed lines</w:t>
      </w:r>
    </w:p>
    <w:p w14:paraId="304C86A5" w14:textId="77777777">
      <w:pPr>
        <w:pStyle w:val="Lista"/>
      </w:pPr>
      <w:r>
        <w:t xml:space="preserve">when an editorial hyphen </w:t>
      </w:r>
      <w:r>
        <w:rPr>
          <w:noProof/>
        </w:rPr>
        <w:t>(</w:t>
      </w:r>
      <w:r>
        <w:t xml:space="preserve">marking an in-compound word boundary) coincides with one of the above elements or with an encoded </w:t>
      </w:r>
      <w:r>
        <w:rPr>
          <w:rStyle w:val="Code"/>
        </w:rPr>
        <w:t>&lt;space/&gt;</w:t>
      </w:r>
      <w:r>
        <w:t>, the hyphen shall be placed at the beginning of the text after the intervening element</w:t>
      </w:r>
      <w:r>
        <w:rPr>
          <w:noProof/>
        </w:rPr>
        <w:t>(</w:t>
      </w:r>
      <w:r>
        <w:t>s)</w:t>
      </w:r>
    </w:p>
    <w:p w14:paraId="02D62DDB" w14:textId="77777777">
      <w:pPr>
        <w:pStyle w:val="Lista2"/>
      </w:pPr>
      <w:r>
        <w:t xml:space="preserve">e.g. </w:t>
      </w:r>
      <w:r>
        <w:rPr>
          <w:rStyle w:val="Codetext"/>
        </w:rPr>
        <w:t>nr̥pati</w:t>
      </w:r>
      <w:r>
        <w:rPr>
          <w:rStyle w:val="Code"/>
        </w:rPr>
        <w:t xml:space="preserve">&lt;lb </w:t>
      </w:r>
      <w:r>
        <w:rPr>
          <w:rStyle w:val="Codeattribute"/>
        </w:rPr>
        <w:t>n=</w:t>
      </w:r>
      <w:r>
        <w:rPr>
          <w:rStyle w:val="Codevalue"/>
        </w:rPr>
        <w:t>"12"</w:t>
      </w:r>
      <w:r>
        <w:rPr>
          <w:rStyle w:val="Code"/>
        </w:rPr>
        <w:t xml:space="preserve"> </w:t>
      </w:r>
      <w:r>
        <w:rPr>
          <w:rStyle w:val="Codeattribute"/>
        </w:rPr>
        <w:t>break=</w:t>
      </w:r>
      <w:r>
        <w:rPr>
          <w:rStyle w:val="Codevalue"/>
        </w:rPr>
        <w:t>"no"</w:t>
      </w:r>
      <w:r>
        <w:rPr>
          <w:rStyle w:val="Code"/>
        </w:rPr>
        <w:t>/&gt;</w:t>
      </w:r>
      <w:r>
        <w:rPr>
          <w:rStyle w:val="Codetext"/>
        </w:rPr>
        <w:t>-makuṭa</w:t>
      </w:r>
    </w:p>
    <w:p w14:paraId="6DA9C9BA" w14:textId="77777777">
      <w:pPr>
        <w:pStyle w:val="Lista"/>
      </w:pPr>
      <w:r>
        <w:t>unlike space, hyphens may be used without technical worries at the beginning or end of text-containing elements</w:t>
      </w:r>
    </w:p>
    <w:p w14:paraId="25ACD3FE" w14:textId="77777777">
      <w:pPr>
        <w:pStyle w:val="Lista"/>
      </w:pPr>
      <w:r>
        <w:t>as far as feasible, avoid including editorial hyphens within markup describing the received text, e.g.</w:t>
      </w:r>
    </w:p>
    <w:p w14:paraId="724D8592" w14:textId="77777777">
      <w:pPr>
        <w:pStyle w:val="Lista3"/>
      </w:pPr>
      <w:r>
        <w:rPr>
          <w:rStyle w:val="Codetext"/>
        </w:rPr>
        <w:t>sarva-</w:t>
      </w:r>
      <w:r>
        <w:rPr>
          <w:rStyle w:val="Code"/>
        </w:rPr>
        <w:t>&lt;unclear&gt;</w:t>
      </w:r>
      <w:r>
        <w:rPr>
          <w:rStyle w:val="Codetext"/>
        </w:rPr>
        <w:t>lokā</w:t>
      </w:r>
      <w:r>
        <w:rPr>
          <w:rStyle w:val="Code"/>
        </w:rPr>
        <w:t>&lt;/unclear&gt;</w:t>
      </w:r>
      <w:r>
        <w:rPr>
          <w:rStyle w:val="Codetext"/>
        </w:rPr>
        <w:t>nām</w:t>
      </w:r>
      <w:r>
        <w:t xml:space="preserve"> is preferable to </w:t>
      </w:r>
      <w:r>
        <w:rPr>
          <w:rStyle w:val="Codetext"/>
        </w:rPr>
        <w:t>sarva</w:t>
      </w:r>
      <w:r>
        <w:rPr>
          <w:rStyle w:val="Code"/>
        </w:rPr>
        <w:t>&lt;unclear&gt;</w:t>
      </w:r>
      <w:r>
        <w:rPr>
          <w:rStyle w:val="Codetext"/>
        </w:rPr>
        <w:t>-lokā</w:t>
      </w:r>
      <w:r>
        <w:rPr>
          <w:rStyle w:val="Code"/>
        </w:rPr>
        <w:t>&lt;/unclear&gt;</w:t>
      </w:r>
      <w:r>
        <w:rPr>
          <w:rStyle w:val="Codetext"/>
        </w:rPr>
        <w:t>nām</w:t>
      </w:r>
      <w:r>
        <w:t>, since the hyphen is not actually present in the text and thus not unclear</w:t>
      </w:r>
    </w:p>
    <w:p w14:paraId="230A2B20" w14:textId="77777777">
      <w:pPr>
        <w:pStyle w:val="Lista3"/>
      </w:pPr>
      <w:r>
        <w:rPr>
          <w:rStyle w:val="Codetext"/>
        </w:rPr>
        <w:t>viṣaya-</w:t>
      </w:r>
      <w:r>
        <w:rPr>
          <w:rStyle w:val="Code"/>
        </w:rPr>
        <w:t>&lt;abbr&gt;</w:t>
      </w:r>
      <w:r>
        <w:rPr>
          <w:rStyle w:val="Codetext"/>
        </w:rPr>
        <w:t>saṁ</w:t>
      </w:r>
      <w:r>
        <w:rPr>
          <w:rStyle w:val="Code"/>
        </w:rPr>
        <w:t>&lt;/abbr&gt;</w:t>
      </w:r>
      <w:r>
        <w:t xml:space="preserve"> (where </w:t>
      </w:r>
      <w:r>
        <w:rPr>
          <w:rStyle w:val="Foreign"/>
        </w:rPr>
        <w:t>saṁ</w:t>
      </w:r>
      <w:r>
        <w:t xml:space="preserve"> is understood to stand for </w:t>
      </w:r>
      <w:r>
        <w:rPr>
          <w:rStyle w:val="Foreign"/>
        </w:rPr>
        <w:t>saṁbaddha</w:t>
      </w:r>
      <w:r>
        <w:t xml:space="preserve">) is preferable to </w:t>
      </w:r>
      <w:r>
        <w:rPr>
          <w:rStyle w:val="Codetext"/>
        </w:rPr>
        <w:t>viṣaya</w:t>
      </w:r>
      <w:r>
        <w:rPr>
          <w:rStyle w:val="Code"/>
        </w:rPr>
        <w:t>&lt;abbr&gt;</w:t>
      </w:r>
      <w:r>
        <w:rPr>
          <w:rStyle w:val="Codetext"/>
        </w:rPr>
        <w:t>-saṁ</w:t>
      </w:r>
      <w:r>
        <w:rPr>
          <w:rStyle w:val="Code"/>
        </w:rPr>
        <w:t>&lt;/abbr&gt;</w:t>
      </w:r>
      <w:r>
        <w:t xml:space="preserve">, since the hyphen, not being actually present, is not part of the abbreviation </w:t>
      </w:r>
    </w:p>
    <w:p w14:paraId="5825327B" w14:textId="77777777">
      <w:pPr>
        <w:pStyle w:val="Lista2"/>
      </w:pPr>
      <w:r>
        <w:t>however, there is no need to split phrase-level elements around an editorial hyphen even if, strictly speaking, the editorial hyphen is not qualified by the element, e.g.</w:t>
      </w:r>
    </w:p>
    <w:p w14:paraId="260E79F1" w14:textId="77777777">
      <w:pPr>
        <w:pStyle w:val="Lista3"/>
      </w:pPr>
      <w:r>
        <w:rPr>
          <w:rStyle w:val="Codetext"/>
        </w:rPr>
        <w:t>sar</w:t>
      </w:r>
      <w:r>
        <w:rPr>
          <w:rStyle w:val="Code"/>
        </w:rPr>
        <w:t>&lt;unclear&gt;</w:t>
      </w:r>
      <w:r>
        <w:rPr>
          <w:rStyle w:val="Codetext"/>
        </w:rPr>
        <w:t>va-lokā</w:t>
      </w:r>
      <w:r>
        <w:rPr>
          <w:rStyle w:val="Code"/>
        </w:rPr>
        <w:t>&lt;/unclear&gt;</w:t>
      </w:r>
      <w:r>
        <w:rPr>
          <w:rStyle w:val="Codetext"/>
        </w:rPr>
        <w:t>nām</w:t>
      </w:r>
      <w:r>
        <w:t xml:space="preserve"> is the preferred encoding, though the hyphen, not being present in the text, is not unclear, so a more accurate but less practicable encoding would be </w:t>
      </w:r>
      <w:r>
        <w:rPr>
          <w:rStyle w:val="Codetext"/>
        </w:rPr>
        <w:t>sar</w:t>
      </w:r>
      <w:r>
        <w:rPr>
          <w:rStyle w:val="Code"/>
        </w:rPr>
        <w:t>&lt;unclear&gt;</w:t>
      </w:r>
      <w:r>
        <w:rPr>
          <w:rStyle w:val="Codetext"/>
        </w:rPr>
        <w:t>va</w:t>
      </w:r>
      <w:r>
        <w:rPr>
          <w:rStyle w:val="Code"/>
        </w:rPr>
        <w:t>&lt;/unclear&gt;-&lt;unclear&gt;</w:t>
      </w:r>
      <w:r>
        <w:rPr>
          <w:rStyle w:val="Codetext"/>
        </w:rPr>
        <w:t>lokā</w:t>
      </w:r>
      <w:r>
        <w:rPr>
          <w:rStyle w:val="Code"/>
        </w:rPr>
        <w:t>&lt;/unclear&gt;</w:t>
      </w:r>
      <w:r>
        <w:rPr>
          <w:rStyle w:val="Codetext"/>
        </w:rPr>
        <w:t>nām</w:t>
      </w:r>
    </w:p>
    <w:p w14:paraId="1468E38D" w14:textId="77777777">
      <w:pPr>
        <w:pStyle w:val="Cmsor3"/>
      </w:pPr>
      <w:bookmarkStart w:id="693" w:name="_Ref229060537"/>
      <w:bookmarkStart w:id="694" w:name="_Ref229062653"/>
      <w:bookmarkStart w:id="695" w:name="_Toc243922705"/>
      <w:r>
        <w:t>Supplied punctuation</w:t>
      </w:r>
      <w:bookmarkEnd w:id="693"/>
      <w:bookmarkEnd w:id="695"/>
    </w:p>
    <w:p w14:paraId="16EE5943" w14:textId="37E5F2F7">
      <w:r>
        <w:t>Original punctuation marks present in the text must always be transliterated and encoded as per §</w:t>
      </w:r>
      <w:r>
        <w:fldChar w:fldCharType="begin"/>
      </w:r>
      <w:r>
        <w:instrText xml:space="preserve"> REF _Ref226033363 \r \h </w:instrText>
      </w:r>
      <w:r>
        <w:fldChar w:fldCharType="separate"/>
      </w:r>
      <w:r>
        <w:t>5.3</w:t>
      </w:r>
      <w:r>
        <w:fldChar w:fldCharType="end"/>
      </w:r>
      <w:r>
        <w:t xml:space="preserve">. Editorial punctuation marks must never be added silently to an XML edition, but editorial punctuation can, and </w:t>
      </w:r>
      <w:r>
        <w:lastRenderedPageBreak/>
        <w:t>by our recommendation should, be used to render the semantic structure of a text clearer, so long as it is clearly marked up as editorial.</w:t>
      </w:r>
    </w:p>
    <w:p w14:paraId="50E32C4A" w14:textId="77777777">
      <w:pPr>
        <w:pStyle w:val="Cmsor4"/>
      </w:pPr>
      <w:r>
        <w:t>Encoding editorial  punctuation</w:t>
      </w:r>
    </w:p>
    <w:p w14:paraId="362701A1" w14:textId="77777777">
      <w:pPr>
        <w:pStyle w:val="Lista"/>
      </w:pPr>
      <w:r>
        <w:t>editorial punctuation is recommended in the following circumstances:</w:t>
      </w:r>
    </w:p>
    <w:p w14:paraId="117642CD" w14:textId="26026BD8">
      <w:pPr>
        <w:pStyle w:val="Lista2"/>
      </w:pPr>
      <w:r>
        <w:t xml:space="preserve">for semantic segmentation of long paragraphs into sentences or other semantic units, when no original punctuation is present, as in </w:t>
      </w:r>
      <w:r>
        <w:fldChar w:fldCharType="begin"/>
      </w:r>
      <w:r>
        <w:instrText xml:space="preserve"> REF _Ref229059150 \h </w:instrText>
      </w:r>
      <w:r>
        <w:fldChar w:fldCharType="separate"/>
      </w:r>
      <w:r>
        <w:t xml:space="preserve">Exhibit </w:t>
      </w:r>
      <w:r>
        <w:rPr>
          <w:noProof/>
        </w:rPr>
        <w:t>7.8</w:t>
      </w:r>
      <w:r>
        <w:t>.</w:t>
      </w:r>
      <w:r>
        <w:rPr>
          <w:noProof/>
        </w:rPr>
        <w:t>A</w:t>
      </w:r>
      <w:r>
        <w:fldChar w:fldCharType="end"/>
      </w:r>
    </w:p>
    <w:p w14:paraId="00ED66A0" w14:textId="1591AC7F">
      <w:pPr>
        <w:pStyle w:val="Lista2"/>
      </w:pPr>
      <w:r>
        <w:t xml:space="preserve">in lists </w:t>
      </w:r>
      <w:r>
        <w:rPr>
          <w:noProof/>
        </w:rPr>
        <w:t>(</w:t>
      </w:r>
      <w:r>
        <w:t xml:space="preserve">e.g. lists of donees), to mark the end of each list item when list encoding is not used, as in </w:t>
      </w:r>
      <w:r>
        <w:fldChar w:fldCharType="begin"/>
      </w:r>
      <w:r>
        <w:instrText xml:space="preserve"> REF _Ref229059156 \h </w:instrText>
      </w:r>
      <w:r>
        <w:fldChar w:fldCharType="separate"/>
      </w:r>
      <w:r>
        <w:t xml:space="preserve">Exhibit </w:t>
      </w:r>
      <w:r>
        <w:rPr>
          <w:noProof/>
        </w:rPr>
        <w:t>7.8</w:t>
      </w:r>
      <w:r>
        <w:t>.</w:t>
      </w:r>
      <w:r>
        <w:rPr>
          <w:noProof/>
        </w:rPr>
        <w:t>B</w:t>
      </w:r>
      <w:r>
        <w:fldChar w:fldCharType="end"/>
      </w:r>
    </w:p>
    <w:p w14:paraId="2E86CBC9" w14:textId="77777777">
      <w:pPr>
        <w:pStyle w:val="Lista2"/>
      </w:pPr>
      <w:r>
        <w:t xml:space="preserve">especially if in either of the above cases the original does use punctuation marks, but does so inconsistently </w:t>
      </w:r>
      <w:r>
        <w:rPr>
          <w:noProof/>
        </w:rPr>
        <w:t>(</w:t>
      </w:r>
      <w:r>
        <w:t>i.e. only after some sentences or list items), because in this case the most logical assumption is that the lack of punctuation marks after certain items is a scribal omission</w:t>
      </w:r>
    </w:p>
    <w:p w14:paraId="0444B8B0" w14:textId="7E83A8C4">
      <w:pPr>
        <w:pStyle w:val="Lista"/>
      </w:pPr>
      <w:r>
        <w:t>editorial punctuation need not and must not be added at the end of any encoded block-level container (§</w:t>
      </w:r>
      <w:r>
        <w:fldChar w:fldCharType="begin"/>
      </w:r>
      <w:r>
        <w:instrText xml:space="preserve"> REF _Ref225500627 \w \h </w:instrText>
      </w:r>
      <w:r>
        <w:fldChar w:fldCharType="separate"/>
      </w:r>
      <w:r>
        <w:t>3.2</w:t>
      </w:r>
      <w:r>
        <w:fldChar w:fldCharType="end"/>
      </w:r>
      <w:r>
        <w:t>), because the encoding already takes care of segmentation in these cases</w:t>
      </w:r>
    </w:p>
    <w:p w14:paraId="5B6DEEAC" w14:textId="77777777">
      <w:pPr>
        <w:pStyle w:val="Lista2"/>
      </w:pPr>
      <w:r>
        <w:t>including</w:t>
      </w:r>
    </w:p>
    <w:p w14:paraId="236A1D8E" w14:textId="25DEFD10">
      <w:pPr>
        <w:pStyle w:val="Lista3"/>
      </w:pPr>
      <w:r>
        <w:t>paragraphs and anonymous blocks containing prose (§</w:t>
      </w:r>
      <w:r>
        <w:fldChar w:fldCharType="begin"/>
      </w:r>
      <w:r>
        <w:instrText xml:space="preserve"> REF _Ref229058843 \w \h </w:instrText>
      </w:r>
      <w:r>
        <w:fldChar w:fldCharType="separate"/>
      </w:r>
      <w:r>
        <w:t>3.2.1</w:t>
      </w:r>
      <w:r>
        <w:fldChar w:fldCharType="end"/>
      </w:r>
      <w:r>
        <w:t>)</w:t>
      </w:r>
    </w:p>
    <w:p w14:paraId="38FCA34F" w14:textId="4F18EC2E">
      <w:pPr>
        <w:pStyle w:val="Lista3"/>
      </w:pPr>
      <w:r>
        <w:t>stanzas and verse lines (§</w:t>
      </w:r>
      <w:r>
        <w:fldChar w:fldCharType="begin"/>
      </w:r>
      <w:r>
        <w:instrText xml:space="preserve"> REF _Ref224740501 \w \h </w:instrText>
      </w:r>
      <w:r>
        <w:fldChar w:fldCharType="separate"/>
      </w:r>
      <w:r>
        <w:t>3.2.2</w:t>
      </w:r>
      <w:r>
        <w:fldChar w:fldCharType="end"/>
      </w:r>
      <w:r>
        <w:t>)</w:t>
      </w:r>
    </w:p>
    <w:p w14:paraId="4F11D58E" w14:textId="76A529FE">
      <w:pPr>
        <w:pStyle w:val="Lista3"/>
      </w:pPr>
      <w:r>
        <w:t>lists and list items (§</w:t>
      </w:r>
      <w:r>
        <w:fldChar w:fldCharType="begin"/>
      </w:r>
      <w:r>
        <w:instrText xml:space="preserve"> REF _Ref168563127 \w \h </w:instrText>
      </w:r>
      <w:r>
        <w:fldChar w:fldCharType="separate"/>
      </w:r>
      <w:r>
        <w:t>3.2.1.3</w:t>
      </w:r>
      <w:r>
        <w:fldChar w:fldCharType="end"/>
      </w:r>
      <w:r>
        <w:t>)</w:t>
      </w:r>
    </w:p>
    <w:p w14:paraId="7A3A89D7" w14:textId="77777777">
      <w:pPr>
        <w:pStyle w:val="Lista"/>
      </w:pPr>
      <w:r>
        <w:t>to encode supplied punctuation,</w:t>
      </w:r>
    </w:p>
    <w:p w14:paraId="32C6F478" w14:textId="3CF2F29B">
      <w:pPr>
        <w:pStyle w:val="Lista2"/>
      </w:pPr>
      <w:r>
        <w:t xml:space="preserve">use the default transliteration placeholder . </w:t>
      </w:r>
      <w:r>
        <w:rPr>
          <w:noProof/>
        </w:rPr>
        <w:t>(</w:t>
      </w:r>
      <w:r>
        <w:t>period, full stop) as per §</w:t>
      </w:r>
      <w:r>
        <w:fldChar w:fldCharType="begin"/>
      </w:r>
      <w:r>
        <w:instrText xml:space="preserve"> REF _Ref226036268 \w \h </w:instrText>
      </w:r>
      <w:r>
        <w:fldChar w:fldCharType="separate"/>
      </w:r>
      <w:r>
        <w:t>5.3.3.1</w:t>
      </w:r>
      <w:r>
        <w:fldChar w:fldCharType="end"/>
      </w:r>
      <w:r>
        <w:t xml:space="preserve"> and TG §5.3</w:t>
      </w:r>
    </w:p>
    <w:p w14:paraId="159D60B6" w14:textId="15F4BBF9">
      <w:pPr>
        <w:pStyle w:val="Lista2"/>
      </w:pPr>
      <w:r>
        <w:t xml:space="preserve">do not add a </w:t>
      </w:r>
      <w:r>
        <w:rPr>
          <w:rStyle w:val="Code"/>
        </w:rPr>
        <w:t>&lt;g&gt;</w:t>
      </w:r>
      <w:r>
        <w:t xml:space="preserve"> tag around this placeholder as you would for original punctuation </w:t>
      </w:r>
      <w:r>
        <w:rPr>
          <w:noProof/>
        </w:rPr>
        <w:t>(</w:t>
      </w:r>
      <w:r>
        <w:t>§</w:t>
      </w:r>
      <w:r>
        <w:fldChar w:fldCharType="begin"/>
      </w:r>
      <w:r>
        <w:instrText xml:space="preserve"> REF _Ref225955927 \w \h </w:instrText>
      </w:r>
      <w:r>
        <w:fldChar w:fldCharType="separate"/>
      </w:r>
      <w:r>
        <w:t>5.3.4</w:t>
      </w:r>
      <w:r>
        <w:fldChar w:fldCharType="end"/>
      </w:r>
      <w:r>
        <w:t>)</w:t>
      </w:r>
    </w:p>
    <w:p w14:paraId="5193D3AC" w14:textId="77777777">
      <w:pPr>
        <w:pStyle w:val="Lista3"/>
      </w:pPr>
      <w:r>
        <w:t>this is to express the fact that this punctuation character is an abstract one, without any assertion of its physical appearance</w:t>
      </w:r>
    </w:p>
    <w:p w14:paraId="2F2C581C" w14:textId="77777777">
      <w:pPr>
        <w:pStyle w:val="Lista2"/>
        <w:rPr>
          <w:rFonts w:ascii="Gentium Plus" w:hAnsi="Gentium Plus" w:cs="Arial Unicode MS"/>
        </w:rPr>
      </w:pPr>
      <w:r>
        <w:t xml:space="preserve">wrap the placeholder in </w:t>
      </w:r>
      <w:r>
        <w:rPr>
          <w:rStyle w:val="Code"/>
        </w:rPr>
        <w:t xml:space="preserve">&lt;supplied </w:t>
      </w:r>
      <w:r>
        <w:rPr>
          <w:rStyle w:val="Codeattribute"/>
        </w:rPr>
        <w:t>reason</w:t>
      </w:r>
      <w:r>
        <w:rPr>
          <w:rStyle w:val="Code"/>
        </w:rPr>
        <w:t>=</w:t>
      </w:r>
      <w:r>
        <w:rPr>
          <w:rStyle w:val="Codevalue"/>
        </w:rPr>
        <w:t>"subaudible"</w:t>
      </w:r>
      <w:r>
        <w:rPr>
          <w:rStyle w:val="Code"/>
        </w:rPr>
        <w:t>&gt;</w:t>
      </w:r>
      <w:r>
        <w:t xml:space="preserve"> to mark it up as editorial</w:t>
      </w:r>
    </w:p>
    <w:p w14:paraId="533CEFDB" w14:textId="77777777">
      <w:pPr>
        <w:pStyle w:val="Lista3"/>
        <w:rPr>
          <w:rStyle w:val="Code"/>
          <w:rFonts w:ascii="Gentium Plus" w:hAnsi="Gentium Plus" w:cs="Arial Unicode MS"/>
          <w:noProof w:val="0"/>
          <w:color w:val="auto"/>
          <w:shd w:val="clear" w:color="auto" w:fill="auto"/>
        </w:rPr>
      </w:pPr>
      <w:r>
        <w:t>the rationale behind the choice of this attribute value is that punctuation is implied by the semantic context, so in a way, a punctuation mark is “subaudible” to the native or informed reader, whereas alternative encoding as editorial intervention would imply that the scribe made an error or used non-standard language, which is not the case</w:t>
      </w:r>
    </w:p>
    <w:p w14:paraId="63CA7B8C" w14:textId="759CC68F">
      <w:pPr>
        <w:pStyle w:val="Lista"/>
      </w:pPr>
      <w:r>
        <w:t>when you supply punctuation within or adjacent to text that you have supplied because it had been omitted (§</w:t>
      </w:r>
      <w:r>
        <w:fldChar w:fldCharType="begin"/>
      </w:r>
      <w:r>
        <w:instrText xml:space="preserve"> REF _Ref229056324 \r \h </w:instrText>
      </w:r>
      <w:r>
        <w:fldChar w:fldCharType="separate"/>
      </w:r>
      <w:r>
        <w:t>7.5.3</w:t>
      </w:r>
      <w:r>
        <w:fldChar w:fldCharType="end"/>
      </w:r>
      <w:r>
        <w:t>) or lost (§</w:t>
      </w:r>
      <w:r>
        <w:fldChar w:fldCharType="begin"/>
      </w:r>
      <w:r>
        <w:instrText xml:space="preserve"> REF _Ref228459751 \r \h </w:instrText>
      </w:r>
      <w:r>
        <w:fldChar w:fldCharType="separate"/>
      </w:r>
      <w:r>
        <w:t>6.4</w:t>
      </w:r>
      <w:r>
        <w:fldChar w:fldCharType="end"/>
      </w:r>
      <w:r>
        <w:t xml:space="preserve">) in the original, a separate </w:t>
      </w:r>
      <w:r>
        <w:rPr>
          <w:rStyle w:val="Code"/>
        </w:rPr>
        <w:t>&lt;supplied&gt;</w:t>
      </w:r>
      <w:r>
        <w:t xml:space="preserve"> element must be created to wrap the editorial punctuation</w:t>
      </w:r>
    </w:p>
    <w:p w14:paraId="69F2A5A4" w14:textId="77777777">
      <w:pPr>
        <w:pStyle w:val="Lista2"/>
      </w:pPr>
      <w:r>
        <w:t xml:space="preserve">e.g. </w:t>
      </w:r>
      <w:r>
        <w:rPr>
          <w:rStyle w:val="Codetext"/>
        </w:rPr>
        <w:t>ājñāpaya</w:t>
      </w:r>
      <w:r>
        <w:rPr>
          <w:rStyle w:val="Code"/>
        </w:rPr>
        <w:t xml:space="preserve">&lt;supplied </w:t>
      </w:r>
      <w:r>
        <w:rPr>
          <w:rStyle w:val="Codeattribute"/>
        </w:rPr>
        <w:t>reason</w:t>
      </w:r>
      <w:r>
        <w:rPr>
          <w:rStyle w:val="Codetext"/>
        </w:rPr>
        <w:t>=</w:t>
      </w:r>
      <w:r>
        <w:rPr>
          <w:rStyle w:val="Codevalue"/>
        </w:rPr>
        <w:t>"omitted"</w:t>
      </w:r>
      <w:r>
        <w:rPr>
          <w:rStyle w:val="Code"/>
        </w:rPr>
        <w:t>&gt;</w:t>
      </w:r>
      <w:r>
        <w:rPr>
          <w:rStyle w:val="Codetext"/>
        </w:rPr>
        <w:t>ti</w:t>
      </w:r>
      <w:r>
        <w:rPr>
          <w:rStyle w:val="Code"/>
        </w:rPr>
        <w:t xml:space="preserve">&lt;/supplied&gt;&lt;supplied </w:t>
      </w:r>
      <w:r>
        <w:rPr>
          <w:rStyle w:val="Codeattribute"/>
        </w:rPr>
        <w:t>reason</w:t>
      </w:r>
      <w:r>
        <w:rPr>
          <w:rStyle w:val="Codetext"/>
        </w:rPr>
        <w:t>=</w:t>
      </w:r>
      <w:r>
        <w:rPr>
          <w:rStyle w:val="Codevalue"/>
        </w:rPr>
        <w:t>"subaudible"</w:t>
      </w:r>
      <w:r>
        <w:rPr>
          <w:rStyle w:val="Code"/>
        </w:rPr>
        <w:t>&gt;</w:t>
      </w:r>
      <w:r>
        <w:rPr>
          <w:rStyle w:val="Codetext"/>
        </w:rPr>
        <w:t>.</w:t>
      </w:r>
      <w:r>
        <w:rPr>
          <w:rStyle w:val="Code"/>
        </w:rPr>
        <w:t>&lt;/supplied&gt;</w:t>
      </w:r>
    </w:p>
    <w:p w14:paraId="1CC9611E" w14:textId="77777777">
      <w:pPr>
        <w:pStyle w:val="Lista"/>
      </w:pPr>
      <w:r>
        <w:t>editorial punctuation in DHARMA editions will be of this single kind, without differentiation on any basis</w:t>
      </w:r>
    </w:p>
    <w:p w14:paraId="256091F4" w14:textId="51C4CD4E">
      <w:pPr>
        <w:pStyle w:val="Lista2"/>
      </w:pPr>
      <w:r>
        <w:t xml:space="preserve">although many earlier editors supply two levels of punctuation </w:t>
      </w:r>
      <w:r>
        <w:rPr>
          <w:noProof/>
        </w:rPr>
        <w:t>(</w:t>
      </w:r>
      <w:r>
        <w:rPr>
          <w:rStyle w:val="Foreign"/>
        </w:rPr>
        <w:t>daṇḍa</w:t>
      </w:r>
      <w:r>
        <w:t xml:space="preserve"> and double </w:t>
      </w:r>
      <w:r>
        <w:rPr>
          <w:rStyle w:val="Foreign"/>
        </w:rPr>
        <w:t>daṇḍa</w:t>
      </w:r>
      <w:r>
        <w:t>), the higher punctuation level is only useful at the end of stanzas and paragraphs, where we demarcate block-level containers instead of supplying punctuations</w:t>
      </w:r>
    </w:p>
    <w:tbl>
      <w:tblPr>
        <w:tblStyle w:val="CodeSampleTable"/>
        <w:tblW w:w="5000" w:type="pct"/>
        <w:tblLook w:val="04A0" w:firstRow="1" w:lastRow="0" w:firstColumn="1" w:lastColumn="0" w:noHBand="0" w:noVBand="1"/>
      </w:tblPr>
      <w:tblGrid>
        <w:gridCol w:w="9628"/>
      </w:tblGrid>
      <w:tr w14:paraId="1F389A36"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4CBF312" w14:textId="44A58113">
            <w:pPr>
              <w:pStyle w:val="Kpalrs"/>
            </w:pPr>
            <w:bookmarkStart w:id="696" w:name="_Ref229059150"/>
            <w:r>
              <w:t xml:space="preserve">Exhibit </w:t>
            </w:r>
            <w:fldSimple w:instr=" STYLEREF 2 \s ">
              <w:r>
                <w:rPr>
                  <w:noProof/>
                </w:rPr>
                <w:t>7.8</w:t>
              </w:r>
            </w:fldSimple>
            <w:r>
              <w:t>.</w:t>
            </w:r>
            <w:fldSimple w:instr=" SEQ Exhibit \* ALPHABETIC \s 2 ">
              <w:r>
                <w:rPr>
                  <w:noProof/>
                </w:rPr>
                <w:t>A</w:t>
              </w:r>
            </w:fldSimple>
            <w:bookmarkEnd w:id="696"/>
            <w:r>
              <w:t>: supplied punctuation at the end of a sentence</w:t>
            </w:r>
          </w:p>
        </w:tc>
      </w:tr>
      <w:tr w14:paraId="3C028675" w14:textId="77777777">
        <w:tc>
          <w:tcPr>
            <w:tcW w:w="5000" w:type="pct"/>
          </w:tcPr>
          <w:p w14:paraId="5980C496" w14:textId="77777777">
            <w:pPr>
              <w:pStyle w:val="CodeParagraph"/>
            </w:pPr>
            <w:r>
              <w:rPr>
                <w:rStyle w:val="Code"/>
              </w:rPr>
              <w:t>&lt;p&gt;</w:t>
            </w:r>
            <w:r>
              <w:rPr>
                <w:rStyle w:val="Codetext"/>
              </w:rPr>
              <w:t xml:space="preserve"> ... anumantavyo varddhanīyaś ca</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w:t>
            </w:r>
            <w:r>
              <w:rPr>
                <w:rStyle w:val="Code"/>
              </w:rPr>
              <w:t>&lt;/supplied&gt;</w:t>
            </w:r>
            <w:r>
              <w:rPr>
                <w:rStyle w:val="Codetext"/>
              </w:rPr>
              <w:t xml:space="preserve"> yo vājñānād ... </w:t>
            </w:r>
            <w:r>
              <w:rPr>
                <w:rStyle w:val="Code"/>
              </w:rPr>
              <w:t>&lt;/p&gt;</w:t>
            </w:r>
          </w:p>
        </w:tc>
      </w:tr>
    </w:tbl>
    <w:p w14:paraId="47ED19C9" w14:textId="77777777"/>
    <w:tbl>
      <w:tblPr>
        <w:tblStyle w:val="CodeSampleTable"/>
        <w:tblW w:w="5000" w:type="pct"/>
        <w:tblLook w:val="04A0" w:firstRow="1" w:lastRow="0" w:firstColumn="1" w:lastColumn="0" w:noHBand="0" w:noVBand="1"/>
      </w:tblPr>
      <w:tblGrid>
        <w:gridCol w:w="9628"/>
      </w:tblGrid>
      <w:tr w14:paraId="04577832"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E030158" w14:textId="0B7BC597">
            <w:pPr>
              <w:pStyle w:val="Kpalrs"/>
            </w:pPr>
            <w:bookmarkStart w:id="697" w:name="_Ref229059156"/>
            <w:r>
              <w:t xml:space="preserve">Exhibit </w:t>
            </w:r>
            <w:fldSimple w:instr=" STYLEREF 2 \s ">
              <w:r>
                <w:rPr>
                  <w:noProof/>
                </w:rPr>
                <w:t>7.8</w:t>
              </w:r>
            </w:fldSimple>
            <w:r>
              <w:t>.</w:t>
            </w:r>
            <w:fldSimple w:instr=" SEQ Exhibit \* ALPHABETIC \s 2 ">
              <w:r>
                <w:rPr>
                  <w:noProof/>
                </w:rPr>
                <w:t>B</w:t>
              </w:r>
            </w:fldSimple>
            <w:bookmarkEnd w:id="697"/>
            <w:r>
              <w:t>: supplied punctuation in a list with sporadic original punctuation</w:t>
            </w:r>
          </w:p>
        </w:tc>
      </w:tr>
      <w:tr w14:paraId="749EEEE7" w14:textId="77777777">
        <w:tc>
          <w:tcPr>
            <w:tcW w:w="5000" w:type="pct"/>
          </w:tcPr>
          <w:p w14:paraId="2AAAC6F2" w14:textId="77777777">
            <w:pPr>
              <w:pStyle w:val="CodeParagraph"/>
              <w:keepNext/>
            </w:pPr>
            <w:r>
              <w:rPr>
                <w:rStyle w:val="Code"/>
              </w:rPr>
              <w:t>&lt;p&gt;</w:t>
            </w:r>
            <w:r>
              <w:rPr>
                <w:rStyle w:val="Codetext"/>
              </w:rPr>
              <w:t xml:space="preserve"> ... Āruvaśarmmaṇa Ekkaṁśaḥ</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w:t>
            </w:r>
            <w:r>
              <w:rPr>
                <w:rStyle w:val="Code"/>
              </w:rPr>
              <w:t>&lt;/supplied&gt;</w:t>
            </w:r>
            <w:r>
              <w:rPr>
                <w:rStyle w:val="Codetext"/>
              </w:rPr>
              <w:t xml:space="preserve"> puna vedaśarmmaṇa Ekkaṁśaḥ</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w:t>
            </w:r>
            <w:r>
              <w:rPr>
                <w:rStyle w:val="Code"/>
              </w:rPr>
              <w:t>&lt;/supplied&gt;</w:t>
            </w:r>
            <w:r>
              <w:rPr>
                <w:rStyle w:val="Codetext"/>
              </w:rPr>
              <w:t xml:space="preserve"> ... jakkiśarmmaṇa Ekkaṁśaḥ</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w:t>
            </w:r>
            <w:r>
              <w:rPr>
                <w:rStyle w:val="Code"/>
              </w:rPr>
              <w:t>&lt;/supplied&gt;</w:t>
            </w:r>
            <w:r>
              <w:rPr>
                <w:rStyle w:val="Codetext"/>
              </w:rPr>
              <w:t xml:space="preserve"> ... vebaśarmmaṇa Ekkaṁśaḥ</w:t>
            </w:r>
            <w:r>
              <w:rPr>
                <w:rStyle w:val="Code"/>
              </w:rPr>
              <w:t xml:space="preserve">&lt;g </w:t>
            </w:r>
            <w:r>
              <w:rPr>
                <w:rStyle w:val="Codeattribute"/>
              </w:rPr>
              <w:t>type</w:t>
            </w:r>
            <w:r>
              <w:rPr>
                <w:rStyle w:val="Code"/>
              </w:rPr>
              <w:t>=</w:t>
            </w:r>
            <w:r>
              <w:rPr>
                <w:rStyle w:val="Codevalue"/>
              </w:rPr>
              <w:t xml:space="preserve">"punctuation" </w:t>
            </w:r>
            <w:r>
              <w:rPr>
                <w:rStyle w:val="Codeattribute"/>
              </w:rPr>
              <w:t>ref</w:t>
            </w:r>
            <w:r>
              <w:rPr>
                <w:rStyle w:val="Code"/>
              </w:rPr>
              <w:t>=</w:t>
            </w:r>
            <w:r>
              <w:rPr>
                <w:rStyle w:val="Codevalue"/>
              </w:rPr>
              <w:t>"sym:bar"</w:t>
            </w:r>
            <w:r>
              <w:rPr>
                <w:rStyle w:val="Code"/>
              </w:rPr>
              <w:t>&gt;</w:t>
            </w:r>
            <w:r>
              <w:rPr>
                <w:rStyle w:val="Codetext"/>
              </w:rPr>
              <w:t>.</w:t>
            </w:r>
            <w:r>
              <w:rPr>
                <w:rStyle w:val="Code"/>
              </w:rPr>
              <w:t>&lt;/g&gt;</w:t>
            </w:r>
            <w:r>
              <w:rPr>
                <w:rStyle w:val="Codetext"/>
              </w:rPr>
              <w:t xml:space="preserve"> ... sarvvaśarmmaṇa ... </w:t>
            </w:r>
            <w:r>
              <w:rPr>
                <w:rStyle w:val="Code"/>
              </w:rPr>
              <w:t>&lt;/p&gt;</w:t>
            </w:r>
          </w:p>
        </w:tc>
      </w:tr>
      <w:tr w14:paraId="047C0495" w14:textId="77777777">
        <w:tc>
          <w:tcPr>
            <w:tcW w:w="5000" w:type="pct"/>
          </w:tcPr>
          <w:p w14:paraId="10400E94" w14:textId="77777777">
            <w:pPr>
              <w:pStyle w:val="TableNote"/>
              <w:rPr>
                <w:rStyle w:val="Code"/>
              </w:rPr>
            </w:pPr>
            <w:r>
              <w:t xml:space="preserve">the original punctuation mark in the excerpt is tagged with </w:t>
            </w:r>
            <w:r>
              <w:rPr>
                <w:rStyle w:val="Code"/>
              </w:rPr>
              <w:t>&lt;g&gt;</w:t>
            </w:r>
          </w:p>
        </w:tc>
      </w:tr>
    </w:tbl>
    <w:p w14:paraId="24C8802D" w14:textId="77777777">
      <w:pPr>
        <w:pStyle w:val="Cmsor4"/>
      </w:pPr>
      <w:r>
        <w:lastRenderedPageBreak/>
        <w:t>Supplying omitted punctuation</w:t>
      </w:r>
    </w:p>
    <w:p w14:paraId="3AEA1318" w14:textId="77777777">
      <w:r>
        <w:t>If you are fully confident that the absence of a punctuation mark at a certain point is the result of actual scribal omission (rather than of the fact that the creator of the document did not feel the need for a punctuation mark there), then you may at your discretion choose to restitute it like any other omission instead of encoding it as subaudible.</w:t>
      </w:r>
    </w:p>
    <w:p w14:paraId="40EB43E7" w14:textId="645628AB">
      <w:pPr>
        <w:pStyle w:val="Lista"/>
      </w:pPr>
      <w:r>
        <w:t xml:space="preserve">use the same placeholder and  </w:t>
      </w:r>
      <w:r>
        <w:rPr>
          <w:rStyle w:val="Code"/>
        </w:rPr>
        <w:t>&lt;g&gt;</w:t>
      </w:r>
      <w:r>
        <w:t xml:space="preserve"> encoding </w:t>
      </w:r>
      <w:r>
        <w:rPr>
          <w:noProof/>
        </w:rPr>
        <w:t>(</w:t>
      </w:r>
      <w:r>
        <w:t>§</w:t>
      </w:r>
      <w:r>
        <w:fldChar w:fldCharType="begin"/>
      </w:r>
      <w:r>
        <w:instrText xml:space="preserve"> REF _Ref225955927 \w \h </w:instrText>
      </w:r>
      <w:r>
        <w:fldChar w:fldCharType="separate"/>
      </w:r>
      <w:r>
        <w:t>5.3.4</w:t>
      </w:r>
      <w:r>
        <w:fldChar w:fldCharType="end"/>
      </w:r>
      <w:r>
        <w:t>) as for other comparable punctuation marks in the same document</w:t>
      </w:r>
    </w:p>
    <w:p w14:paraId="1C98DA00" w14:textId="6AF59907">
      <w:pPr>
        <w:pStyle w:val="Lista"/>
      </w:pPr>
      <w:r>
        <w:t xml:space="preserve">wrap the </w:t>
      </w:r>
      <w:r>
        <w:rPr>
          <w:rStyle w:val="Code"/>
        </w:rPr>
        <w:t>&lt;g&gt;</w:t>
      </w:r>
      <w:r>
        <w:t xml:space="preserve"> element in </w:t>
      </w:r>
      <w:r>
        <w:rPr>
          <w:rStyle w:val="Code"/>
        </w:rPr>
        <w:t xml:space="preserve">&lt;supplied </w:t>
      </w:r>
      <w:r>
        <w:rPr>
          <w:rStyle w:val="Codeattribute"/>
        </w:rPr>
        <w:t>reason</w:t>
      </w:r>
      <w:r>
        <w:rPr>
          <w:rStyle w:val="Code"/>
        </w:rPr>
        <w:t>=</w:t>
      </w:r>
      <w:r>
        <w:rPr>
          <w:rStyle w:val="Codevalue"/>
        </w:rPr>
        <w:t>"omitted"</w:t>
      </w:r>
      <w:r>
        <w:rPr>
          <w:rStyle w:val="Code"/>
        </w:rPr>
        <w:t>&gt;</w:t>
      </w:r>
      <w:r>
        <w:t xml:space="preserve"> as per §</w:t>
      </w:r>
      <w:r>
        <w:fldChar w:fldCharType="begin"/>
      </w:r>
      <w:r>
        <w:instrText xml:space="preserve"> REF _Ref229056324 \r \h </w:instrText>
      </w:r>
      <w:r>
        <w:fldChar w:fldCharType="separate"/>
      </w:r>
      <w:r>
        <w:t>7.5.3</w:t>
      </w:r>
      <w:r>
        <w:fldChar w:fldCharType="end"/>
      </w:r>
    </w:p>
    <w:p w14:paraId="2EEFE6C0" w14:textId="77777777">
      <w:pPr>
        <w:pStyle w:val="Lista2"/>
      </w:pPr>
      <w:r>
        <w:t xml:space="preserve">in this case, there is no need for a separate </w:t>
      </w:r>
      <w:r>
        <w:rPr>
          <w:rStyle w:val="Code"/>
        </w:rPr>
        <w:t>&lt;supplied&gt;</w:t>
      </w:r>
      <w:r>
        <w:t xml:space="preserve"> tag when the restored punctuation is within or adjacent to other restored text</w:t>
      </w:r>
    </w:p>
    <w:p w14:paraId="447428CB" w14:textId="77777777">
      <w:pPr>
        <w:pStyle w:val="Cmsor3"/>
      </w:pPr>
      <w:bookmarkStart w:id="698" w:name="_Toc243922706"/>
      <w:r>
        <w:t xml:space="preserve">Supplied </w:t>
      </w:r>
      <w:r>
        <w:rPr>
          <w:rStyle w:val="Foreign"/>
        </w:rPr>
        <w:t>avagraha</w:t>
      </w:r>
      <w:bookmarkEnd w:id="694"/>
      <w:bookmarkEnd w:id="698"/>
    </w:p>
    <w:p w14:paraId="374DD3CE" w14:textId="77777777">
      <w:r>
        <w:t xml:space="preserve">As per TG §4.3.1.1, editors may supply </w:t>
      </w:r>
      <w:r>
        <w:rPr>
          <w:rStyle w:val="Foreign"/>
        </w:rPr>
        <w:t>avagraha</w:t>
      </w:r>
      <w:r>
        <w:t xml:space="preserve"> without explicitly marking it up as editorial, because the texts in our scope hardly ever contain an original </w:t>
      </w:r>
      <w:r>
        <w:rPr>
          <w:rStyle w:val="Foreign"/>
        </w:rPr>
        <w:t>avagraha</w:t>
      </w:r>
      <w:r>
        <w:t xml:space="preserve">. Nonetheless, adding encoding to editorial </w:t>
      </w:r>
      <w:proofErr w:type="spellStart"/>
      <w:r>
        <w:rPr>
          <w:rStyle w:val="Foreign"/>
        </w:rPr>
        <w:t>avagraha</w:t>
      </w:r>
      <w:r>
        <w:t>s</w:t>
      </w:r>
      <w:proofErr w:type="spellEnd"/>
      <w:r>
        <w:t xml:space="preserve"> is strongly recommended in all XML editions and mandatory in editions which contain original </w:t>
      </w:r>
      <w:r>
        <w:rPr>
          <w:rStyle w:val="Foreign"/>
        </w:rPr>
        <w:t>avagraha</w:t>
      </w:r>
      <w:r>
        <w:t>.</w:t>
      </w:r>
    </w:p>
    <w:p w14:paraId="3FC35A6E" w14:textId="77777777">
      <w:pPr>
        <w:pStyle w:val="Lista"/>
      </w:pPr>
      <w:r>
        <w:t xml:space="preserve">to mark up </w:t>
      </w:r>
      <w:r>
        <w:rPr>
          <w:rStyle w:val="Foreign"/>
        </w:rPr>
        <w:t>avagraha</w:t>
      </w:r>
      <w:r>
        <w:t xml:space="preserve"> as editorial, wrap the </w:t>
      </w:r>
      <w:r>
        <w:rPr>
          <w:rStyle w:val="Foreign"/>
        </w:rPr>
        <w:t>avagraha</w:t>
      </w:r>
      <w:r>
        <w:t xml:space="preserve"> (transliterated as ’ [right single quote]) in </w:t>
      </w:r>
      <w:r>
        <w:rPr>
          <w:rStyle w:val="Code"/>
        </w:rPr>
        <w:t xml:space="preserve">&lt;supplied </w:t>
      </w:r>
      <w:r>
        <w:rPr>
          <w:rStyle w:val="Codeattribute"/>
        </w:rPr>
        <w:t>reason</w:t>
      </w:r>
      <w:r>
        <w:rPr>
          <w:rStyle w:val="Code"/>
        </w:rPr>
        <w:t>=</w:t>
      </w:r>
      <w:r>
        <w:rPr>
          <w:rStyle w:val="Codevalue"/>
        </w:rPr>
        <w:t>"subaudible"</w:t>
      </w:r>
      <w:r>
        <w:rPr>
          <w:rStyle w:val="Code"/>
        </w:rPr>
        <w:t>&gt;</w:t>
      </w:r>
    </w:p>
    <w:p w14:paraId="44710A93" w14:textId="00C074E0">
      <w:pPr>
        <w:pStyle w:val="Lista2"/>
      </w:pPr>
      <w:r>
        <w:t>this is the same encoding as that used for editorial punctuation (§</w:t>
      </w:r>
      <w:r>
        <w:fldChar w:fldCharType="begin"/>
      </w:r>
      <w:r>
        <w:instrText xml:space="preserve"> REF _Ref229060537 \r \h </w:instrText>
      </w:r>
      <w:r>
        <w:fldChar w:fldCharType="separate"/>
      </w:r>
      <w:r>
        <w:t>7.8.3</w:t>
      </w:r>
      <w:r>
        <w:fldChar w:fldCharType="end"/>
      </w:r>
      <w:r>
        <w:t>), employed for the present purpose with the same rationale</w:t>
      </w:r>
    </w:p>
    <w:p w14:paraId="3FAF705C" w14:textId="3E7A5EF7">
      <w:pPr>
        <w:pStyle w:val="Lista"/>
      </w:pPr>
      <w:r>
        <w:t xml:space="preserve">when you supply </w:t>
      </w:r>
      <w:r>
        <w:rPr>
          <w:rStyle w:val="Foreign"/>
        </w:rPr>
        <w:t>avagraha</w:t>
      </w:r>
      <w:r>
        <w:t xml:space="preserve"> within or adjacent to text that you have supplied because it had been omitted (§</w:t>
      </w:r>
      <w:r>
        <w:fldChar w:fldCharType="begin"/>
      </w:r>
      <w:r>
        <w:instrText xml:space="preserve"> REF _Ref229056324 \r \h </w:instrText>
      </w:r>
      <w:r>
        <w:fldChar w:fldCharType="separate"/>
      </w:r>
      <w:r>
        <w:t>7.5.3</w:t>
      </w:r>
      <w:r>
        <w:fldChar w:fldCharType="end"/>
      </w:r>
      <w:r>
        <w:t>) or lost (§</w:t>
      </w:r>
      <w:r>
        <w:fldChar w:fldCharType="begin"/>
      </w:r>
      <w:r>
        <w:instrText xml:space="preserve"> REF _Ref228459751 \r \h </w:instrText>
      </w:r>
      <w:r>
        <w:fldChar w:fldCharType="separate"/>
      </w:r>
      <w:r>
        <w:t>6.4</w:t>
      </w:r>
      <w:r>
        <w:fldChar w:fldCharType="end"/>
      </w:r>
      <w:r>
        <w:t xml:space="preserve">) in the original, a separate </w:t>
      </w:r>
      <w:r>
        <w:rPr>
          <w:rStyle w:val="Code"/>
        </w:rPr>
        <w:t>&lt;supplied&gt;</w:t>
      </w:r>
      <w:r>
        <w:t xml:space="preserve"> element must be created to wrap the editorial </w:t>
      </w:r>
      <w:r>
        <w:rPr>
          <w:rStyle w:val="Foreign"/>
        </w:rPr>
        <w:t>avagraha</w:t>
      </w:r>
    </w:p>
    <w:p w14:paraId="487653C9" w14:textId="77777777">
      <w:pPr>
        <w:pStyle w:val="Lista2"/>
        <w:rPr>
          <w:rStyle w:val="Codetext"/>
          <w:rFonts w:ascii="Gentium" w:hAnsi="Gentium" w:cs="Tiro Devanagari Sanskrit"/>
          <w:noProof w:val="0"/>
          <w:color w:val="auto"/>
          <w:shd w:val="clear" w:color="auto" w:fill="auto"/>
        </w:rPr>
      </w:pPr>
      <w:r>
        <w:t xml:space="preserve">e.g. </w:t>
      </w:r>
      <w:r>
        <w:rPr>
          <w:rStyle w:val="Code"/>
        </w:rPr>
        <w:t xml:space="preserve">&lt;supplied </w:t>
      </w:r>
      <w:r>
        <w:rPr>
          <w:rStyle w:val="Codeattribute"/>
        </w:rPr>
        <w:t>reason</w:t>
      </w:r>
      <w:r>
        <w:rPr>
          <w:rStyle w:val="Codetext"/>
        </w:rPr>
        <w:t>=</w:t>
      </w:r>
      <w:r>
        <w:rPr>
          <w:rStyle w:val="Codevalue"/>
        </w:rPr>
        <w:t>"lost"</w:t>
      </w:r>
      <w:r>
        <w:rPr>
          <w:rStyle w:val="Code"/>
        </w:rPr>
        <w:t>&gt;</w:t>
      </w:r>
      <w:r>
        <w:rPr>
          <w:rStyle w:val="Codetext"/>
        </w:rPr>
        <w:t xml:space="preserve">yo </w:t>
      </w:r>
      <w:r>
        <w:rPr>
          <w:rStyle w:val="Code"/>
        </w:rPr>
        <w:t xml:space="preserve">&lt;/supplied&gt;&lt;supplied </w:t>
      </w:r>
      <w:r>
        <w:rPr>
          <w:rStyle w:val="Codeattribute"/>
        </w:rPr>
        <w:t>reason</w:t>
      </w:r>
      <w:r>
        <w:rPr>
          <w:rStyle w:val="Codetext"/>
        </w:rPr>
        <w:t>=</w:t>
      </w:r>
      <w:r>
        <w:rPr>
          <w:rStyle w:val="Codevalue"/>
        </w:rPr>
        <w:t>"subaudible"</w:t>
      </w:r>
      <w:r>
        <w:rPr>
          <w:rStyle w:val="Code"/>
        </w:rPr>
        <w:t>&gt;</w:t>
      </w:r>
      <w:r>
        <w:rPr>
          <w:rStyle w:val="Codetext"/>
        </w:rPr>
        <w:t>’</w:t>
      </w:r>
      <w:r>
        <w:rPr>
          <w:rStyle w:val="Code"/>
        </w:rPr>
        <w:t xml:space="preserve">&lt;/supplied&gt;&lt;supplied </w:t>
      </w:r>
      <w:r>
        <w:rPr>
          <w:rStyle w:val="Codeattribute"/>
        </w:rPr>
        <w:t>reason</w:t>
      </w:r>
      <w:r>
        <w:rPr>
          <w:rStyle w:val="Codetext"/>
        </w:rPr>
        <w:t>=</w:t>
      </w:r>
      <w:r>
        <w:rPr>
          <w:rStyle w:val="Codevalue"/>
        </w:rPr>
        <w:t>"lost"</w:t>
      </w:r>
      <w:r>
        <w:rPr>
          <w:rStyle w:val="Code"/>
        </w:rPr>
        <w:t>&gt;</w:t>
      </w:r>
      <w:r>
        <w:rPr>
          <w:rStyle w:val="Codetext"/>
        </w:rPr>
        <w:t>paharttā sa</w:t>
      </w:r>
      <w:r>
        <w:rPr>
          <w:rStyle w:val="Code"/>
        </w:rPr>
        <w:t>&lt;/supplied&gt;</w:t>
      </w:r>
      <w:r>
        <w:rPr>
          <w:rStyle w:val="Codetext"/>
        </w:rPr>
        <w:t xml:space="preserve"> pañca-mahāpātaka-saṁyukto bhavati</w:t>
      </w:r>
    </w:p>
    <w:p w14:paraId="7E79221A" w14:textId="77777777">
      <w:pPr>
        <w:pStyle w:val="Lista"/>
      </w:pPr>
      <w:r>
        <w:t xml:space="preserve">in corpora where original </w:t>
      </w:r>
      <w:r>
        <w:rPr>
          <w:rStyle w:val="Foreign"/>
        </w:rPr>
        <w:t>avagraha</w:t>
      </w:r>
      <w:r>
        <w:rPr>
          <w:rStyle w:val="Foreign"/>
          <w:i w:val="0"/>
          <w:iCs w:val="0"/>
        </w:rPr>
        <w:t>s</w:t>
      </w:r>
      <w:r>
        <w:t xml:space="preserve"> are unusual, it is recommended that you wrap any original </w:t>
      </w:r>
      <w:r>
        <w:rPr>
          <w:rStyle w:val="Foreign"/>
        </w:rPr>
        <w:t>avagraha</w:t>
      </w:r>
      <w:r>
        <w:t xml:space="preserve"> in </w:t>
      </w:r>
      <w:r>
        <w:rPr>
          <w:rStyle w:val="Code"/>
        </w:rPr>
        <w:t>&lt;orig&gt;</w:t>
      </w:r>
      <w:r>
        <w:t xml:space="preserve"> to make it very clear that they are not editorial additions</w:t>
      </w:r>
    </w:p>
    <w:p w14:paraId="081E48B8" w14:textId="77777777">
      <w:pPr>
        <w:pStyle w:val="Cmsor3"/>
      </w:pPr>
      <w:bookmarkStart w:id="699" w:name="_Toc243922707"/>
      <w:r>
        <w:t>Distinction of short and long e/o in Dravidian languages</w:t>
      </w:r>
      <w:bookmarkEnd w:id="699"/>
    </w:p>
    <w:p w14:paraId="0CD86555" w14:textId="29C31DDF">
      <w:r>
        <w:t xml:space="preserve">Dravidian-language inscriptions in our purview usually do not make a graphic distinction between the short and long versions of </w:t>
      </w:r>
      <w:r>
        <w:rPr>
          <w:rStyle w:val="Foreign"/>
        </w:rPr>
        <w:t>e</w:t>
      </w:r>
      <w:r>
        <w:t xml:space="preserve"> and </w:t>
      </w:r>
      <w:r>
        <w:rPr>
          <w:rStyle w:val="Foreign"/>
        </w:rPr>
        <w:t>o</w:t>
      </w:r>
      <w:r>
        <w:t xml:space="preserve">, even though this is a phonemic distinction in the languages concerned. As per TG §7.1.1, the transliteration </w:t>
      </w:r>
      <w:r>
        <w:rPr>
          <w:rStyle w:val="Foreign"/>
        </w:rPr>
        <w:t>e</w:t>
      </w:r>
      <w:r>
        <w:t xml:space="preserve"> and </w:t>
      </w:r>
      <w:r>
        <w:rPr>
          <w:rStyle w:val="Foreign"/>
        </w:rPr>
        <w:t>o</w:t>
      </w:r>
      <w:r>
        <w:t xml:space="preserve"> stands for the generic grapheme where a graphic distinction is not present, and for the short grapheme where a graphic distinction is present. Conversely, the transliteration </w:t>
      </w:r>
      <w:r>
        <w:rPr>
          <w:rStyle w:val="Foreign"/>
        </w:rPr>
        <w:t>ē</w:t>
      </w:r>
      <w:r>
        <w:t xml:space="preserve"> and </w:t>
      </w:r>
      <w:r>
        <w:rPr>
          <w:rStyle w:val="Foreign"/>
        </w:rPr>
        <w:t>ō</w:t>
      </w:r>
      <w:r>
        <w:t xml:space="preserve"> stand for the long grapheme where a graphic distinction is present, while if a graphic distinction is not present in the original, then the editor may use these as shorthand for the generic grapheme representing the long phoneme. This shorthand is permitted in XML editions, but it may also be replaced by encoding at your discretion, in order to wholly eliminate ambiguity. The cost of allowing this shorthand is that the distinction must be made explicit in documents which do make a graphic distinction between these pairs.</w:t>
      </w:r>
    </w:p>
    <w:p w14:paraId="64B420FA" w14:textId="77777777">
      <w:pPr>
        <w:pStyle w:val="Lista"/>
      </w:pPr>
      <w:r>
        <w:t xml:space="preserve">when editing a document which </w:t>
      </w:r>
      <w:r>
        <w:rPr>
          <w:b/>
          <w:bCs/>
        </w:rPr>
        <w:t>does not make a graphic distinction</w:t>
      </w:r>
      <w:r>
        <w:t xml:space="preserve"> between short and long </w:t>
      </w:r>
      <w:r>
        <w:rPr>
          <w:rStyle w:val="Foreign"/>
        </w:rPr>
        <w:t>e</w:t>
      </w:r>
      <w:r>
        <w:t xml:space="preserve"> and </w:t>
      </w:r>
      <w:r>
        <w:rPr>
          <w:rStyle w:val="Foreign"/>
        </w:rPr>
        <w:t>o</w:t>
      </w:r>
      <w:r>
        <w:t>,</w:t>
      </w:r>
    </w:p>
    <w:p w14:paraId="6D621260" w14:textId="77777777">
      <w:pPr>
        <w:pStyle w:val="Lista2"/>
      </w:pPr>
      <w:r>
        <w:t xml:space="preserve">the generic grapheme representing the short phoneme shall be transliterated normally as </w:t>
      </w:r>
      <w:r>
        <w:rPr>
          <w:rStyle w:val="Foreign"/>
        </w:rPr>
        <w:t>e</w:t>
      </w:r>
      <w:r>
        <w:t xml:space="preserve"> or </w:t>
      </w:r>
      <w:r>
        <w:rPr>
          <w:rStyle w:val="Foreign"/>
        </w:rPr>
        <w:t>o</w:t>
      </w:r>
    </w:p>
    <w:p w14:paraId="6667DADE" w14:textId="77777777">
      <w:pPr>
        <w:pStyle w:val="Lista2"/>
      </w:pPr>
      <w:r>
        <w:t>the generic grapheme representing the long phoneme shall be</w:t>
      </w:r>
    </w:p>
    <w:p w14:paraId="3944695D" w14:textId="77777777">
      <w:pPr>
        <w:pStyle w:val="Lista3"/>
      </w:pPr>
      <w:r>
        <w:t xml:space="preserve">either transliterated with shorthand as </w:t>
      </w:r>
      <w:r>
        <w:rPr>
          <w:rStyle w:val="Foreign"/>
        </w:rPr>
        <w:t>ē</w:t>
      </w:r>
      <w:r>
        <w:t xml:space="preserve"> or </w:t>
      </w:r>
      <w:r>
        <w:rPr>
          <w:rStyle w:val="Foreign"/>
        </w:rPr>
        <w:t>ō</w:t>
      </w:r>
    </w:p>
    <w:p w14:paraId="108AF226" w14:textId="77777777">
      <w:pPr>
        <w:pStyle w:val="Lista3"/>
      </w:pPr>
      <w:r>
        <w:t>or encoded as an editorial normalisation</w:t>
      </w:r>
    </w:p>
    <w:p w14:paraId="3D785BB8" w14:textId="77777777">
      <w:pPr>
        <w:pStyle w:val="Lista4"/>
        <w:rPr>
          <w:rStyle w:val="Code"/>
          <w:rFonts w:ascii="Gentium" w:hAnsi="Gentium" w:cs="Tiro Devanagari Sanskrit"/>
          <w:noProof w:val="0"/>
          <w:color w:val="auto"/>
          <w:shd w:val="clear" w:color="auto" w:fill="auto"/>
        </w:rPr>
      </w:pPr>
      <w:r>
        <w:t xml:space="preserve">e.g. </w:t>
      </w:r>
      <w:r>
        <w:rPr>
          <w:rStyle w:val="Code"/>
        </w:rPr>
        <w:t>&lt;choice&gt;&lt;orig&gt;</w:t>
      </w:r>
      <w:r>
        <w:rPr>
          <w:rStyle w:val="Codetext"/>
        </w:rPr>
        <w:t>e</w:t>
      </w:r>
      <w:r>
        <w:rPr>
          <w:rStyle w:val="Code"/>
        </w:rPr>
        <w:t>&lt;/orig&gt;&lt;reg&gt;</w:t>
      </w:r>
      <w:r>
        <w:rPr>
          <w:rStyle w:val="Codetext"/>
        </w:rPr>
        <w:t>ē</w:t>
      </w:r>
      <w:r>
        <w:rPr>
          <w:rStyle w:val="Code"/>
        </w:rPr>
        <w:t>&lt;/reg&gt;&lt;/choice&gt;</w:t>
      </w:r>
    </w:p>
    <w:p w14:paraId="4D63795C" w14:textId="77777777">
      <w:pPr>
        <w:pStyle w:val="Lista"/>
      </w:pPr>
      <w:r>
        <w:t xml:space="preserve">when editing a document which, unusually for the DHARMA corpus, </w:t>
      </w:r>
      <w:r>
        <w:rPr>
          <w:b/>
          <w:bCs/>
        </w:rPr>
        <w:t>makes a graphic distinction</w:t>
      </w:r>
      <w:r>
        <w:t xml:space="preserve"> between short and long </w:t>
      </w:r>
      <w:r>
        <w:rPr>
          <w:rStyle w:val="Foreign"/>
        </w:rPr>
        <w:t>e</w:t>
      </w:r>
      <w:r>
        <w:t xml:space="preserve"> and </w:t>
      </w:r>
      <w:r>
        <w:rPr>
          <w:rStyle w:val="Foreign"/>
        </w:rPr>
        <w:t>o</w:t>
      </w:r>
      <w:r>
        <w:t>,</w:t>
      </w:r>
    </w:p>
    <w:p w14:paraId="7C339E40" w14:textId="77777777">
      <w:pPr>
        <w:pStyle w:val="Lista2"/>
      </w:pPr>
      <w:r>
        <w:t>this fact must always be recorded in your palaeographic description</w:t>
      </w:r>
    </w:p>
    <w:p w14:paraId="634B09AA" w14:textId="77777777">
      <w:pPr>
        <w:pStyle w:val="Lista2"/>
        <w:rPr>
          <w:rStyle w:val="Foreign"/>
          <w:i w:val="0"/>
          <w:iCs w:val="0"/>
          <w:noProof w:val="0"/>
        </w:rPr>
      </w:pPr>
      <w:r>
        <w:t xml:space="preserve">the short grapheme used properly for the short phoneme shall be transliterated normally as </w:t>
      </w:r>
      <w:r>
        <w:rPr>
          <w:rStyle w:val="Foreign"/>
        </w:rPr>
        <w:t>e</w:t>
      </w:r>
      <w:r>
        <w:t xml:space="preserve"> or </w:t>
      </w:r>
      <w:r>
        <w:rPr>
          <w:rStyle w:val="Foreign"/>
        </w:rPr>
        <w:t>o</w:t>
      </w:r>
      <w:r>
        <w:t xml:space="preserve"> and may be complemented with </w:t>
      </w:r>
      <w:r>
        <w:rPr>
          <w:rStyle w:val="Code"/>
        </w:rPr>
        <w:t>&lt;orig&gt;</w:t>
      </w:r>
      <w:r>
        <w:t xml:space="preserve"> encoding for extra clarity</w:t>
      </w:r>
    </w:p>
    <w:p w14:paraId="50BEA7E2" w14:textId="77777777">
      <w:pPr>
        <w:pStyle w:val="Lista2"/>
      </w:pPr>
      <w:r>
        <w:lastRenderedPageBreak/>
        <w:t xml:space="preserve">the long grapheme used properly for the long phoneme shall be transliterated as </w:t>
      </w:r>
      <w:r>
        <w:rPr>
          <w:rStyle w:val="Foreign"/>
        </w:rPr>
        <w:t>ē</w:t>
      </w:r>
      <w:r>
        <w:t xml:space="preserve"> or </w:t>
      </w:r>
      <w:r>
        <w:rPr>
          <w:rStyle w:val="Foreign"/>
        </w:rPr>
        <w:t>ō</w:t>
      </w:r>
      <w:r>
        <w:t xml:space="preserve"> and must be complemented with </w:t>
      </w:r>
      <w:r>
        <w:rPr>
          <w:rStyle w:val="Code"/>
        </w:rPr>
        <w:t>&lt;orig&gt;</w:t>
      </w:r>
      <w:r>
        <w:t xml:space="preserve"> encoding to disambiguate it from the shorthand</w:t>
      </w:r>
    </w:p>
    <w:p w14:paraId="3D3B5CDF" w14:textId="77777777">
      <w:pPr>
        <w:pStyle w:val="Lista2"/>
      </w:pPr>
      <w:r>
        <w:t xml:space="preserve">if the short grapheme is used (anomalously) for the long phoneme, this may be </w:t>
      </w:r>
    </w:p>
    <w:p w14:paraId="2966B3B3" w14:textId="77777777">
      <w:pPr>
        <w:pStyle w:val="Lista3"/>
      </w:pPr>
      <w:r>
        <w:t xml:space="preserve">either transliterated with shorthand as </w:t>
      </w:r>
      <w:r>
        <w:rPr>
          <w:rStyle w:val="Foreign"/>
        </w:rPr>
        <w:t>ē</w:t>
      </w:r>
      <w:r>
        <w:t xml:space="preserve"> or </w:t>
      </w:r>
      <w:r>
        <w:rPr>
          <w:rStyle w:val="Foreign"/>
        </w:rPr>
        <w:t>ō</w:t>
      </w:r>
    </w:p>
    <w:p w14:paraId="6408A7F3" w14:textId="77777777">
      <w:pPr>
        <w:pStyle w:val="Lista3"/>
      </w:pPr>
      <w:r>
        <w:t>or encoded as an editorial normalisation</w:t>
      </w:r>
    </w:p>
    <w:p w14:paraId="3B2011E2" w14:textId="77777777">
      <w:pPr>
        <w:pStyle w:val="Lista2"/>
        <w:rPr>
          <w:rStyle w:val="Code"/>
          <w:rFonts w:ascii="Gentium" w:hAnsi="Gentium" w:cs="Tiro Devanagari Sanskrit"/>
          <w:noProof w:val="0"/>
          <w:color w:val="auto"/>
          <w:shd w:val="clear" w:color="auto" w:fill="auto"/>
        </w:rPr>
      </w:pPr>
      <w:r>
        <w:rPr>
          <w:rStyle w:val="Code"/>
          <w:rFonts w:ascii="Gentium" w:hAnsi="Gentium" w:cs="Tiro Devanagari Sanskrit"/>
          <w:noProof w:val="0"/>
          <w:color w:val="auto"/>
          <w:shd w:val="clear" w:color="auto" w:fill="auto"/>
        </w:rPr>
        <w:t>if the long grapheme is used (anomalously) for the short phoneme, this shall be encoded as an editorial normalisation</w:t>
      </w:r>
    </w:p>
    <w:p w14:paraId="585AE790" w14:textId="77777777">
      <w:pPr>
        <w:pStyle w:val="Cmsor3"/>
      </w:pPr>
      <w:bookmarkStart w:id="700" w:name="_Toc243922708"/>
      <w:r>
        <w:t>Shortened vowels in Sanskrit loanwords</w:t>
      </w:r>
      <w:bookmarkEnd w:id="700"/>
    </w:p>
    <w:p w14:paraId="32725EB3" w14:textId="77777777">
      <w:r>
        <w:rPr>
          <w:lang w:eastAsia="en-US" w:bidi="ar-SA"/>
        </w:rPr>
        <w:t xml:space="preserve">Documents in Indonesian languages often shorten the long vowels of Sanskrit loanwords. As per </w:t>
      </w:r>
      <w:r>
        <w:t xml:space="preserve">TG §7.1.2, in documents which do make a graphic distinction between short and long vowels, the transliteration </w:t>
      </w:r>
      <w:r>
        <w:rPr>
          <w:rStyle w:val="Foreign"/>
        </w:rPr>
        <w:t>ă</w:t>
      </w:r>
      <w:r>
        <w:t xml:space="preserve">, </w:t>
      </w:r>
      <w:r>
        <w:rPr>
          <w:rStyle w:val="Foreign"/>
        </w:rPr>
        <w:t>ĭ</w:t>
      </w:r>
      <w:r>
        <w:t xml:space="preserve"> and </w:t>
      </w:r>
      <w:r>
        <w:rPr>
          <w:rStyle w:val="Foreign"/>
        </w:rPr>
        <w:t>ŭ</w:t>
      </w:r>
      <w:r>
        <w:t xml:space="preserve"> may be used where the long vowel is expected but the short vowel was written. This shorthand is permitted in XML editions, but it may also be replaced by encoding at your discretion, in order to wholly eliminate ambiguity.</w:t>
      </w:r>
    </w:p>
    <w:p w14:paraId="68A7B544" w14:textId="77777777">
      <w:pPr>
        <w:pStyle w:val="Lista"/>
      </w:pPr>
      <w:r>
        <w:t xml:space="preserve">when editing a document in a vernacular language where the vowels </w:t>
      </w:r>
      <w:r>
        <w:rPr>
          <w:rStyle w:val="Foreign"/>
        </w:rPr>
        <w:t>ā</w:t>
      </w:r>
      <w:r>
        <w:t xml:space="preserve">, </w:t>
      </w:r>
      <w:r>
        <w:rPr>
          <w:rStyle w:val="Foreign"/>
        </w:rPr>
        <w:t>ī</w:t>
      </w:r>
      <w:r>
        <w:t xml:space="preserve"> or </w:t>
      </w:r>
      <w:r>
        <w:rPr>
          <w:rStyle w:val="Foreign"/>
        </w:rPr>
        <w:t>ū</w:t>
      </w:r>
      <w:r>
        <w:t xml:space="preserve"> are shortened in Sanskrit loanwords,</w:t>
      </w:r>
    </w:p>
    <w:p w14:paraId="04E1F368" w14:textId="77777777">
      <w:pPr>
        <w:pStyle w:val="Lista2"/>
      </w:pPr>
      <w:r>
        <w:t xml:space="preserve">either transliterate these vowels with the shorthand </w:t>
      </w:r>
      <w:r>
        <w:rPr>
          <w:rStyle w:val="Foreign"/>
        </w:rPr>
        <w:t>ă</w:t>
      </w:r>
      <w:r>
        <w:t xml:space="preserve">, </w:t>
      </w:r>
      <w:r>
        <w:rPr>
          <w:rStyle w:val="Foreign"/>
        </w:rPr>
        <w:t>ĭ</w:t>
      </w:r>
      <w:r>
        <w:t xml:space="preserve"> or </w:t>
      </w:r>
      <w:r>
        <w:rPr>
          <w:rStyle w:val="Foreign"/>
        </w:rPr>
        <w:t>ŭ</w:t>
      </w:r>
      <w:r>
        <w:t xml:space="preserve"> </w:t>
      </w:r>
    </w:p>
    <w:p w14:paraId="6B43A05D" w14:textId="77777777">
      <w:pPr>
        <w:pStyle w:val="Lista2"/>
      </w:pPr>
      <w:r>
        <w:t>or encode them as an editorial normalisation</w:t>
      </w:r>
    </w:p>
    <w:p w14:paraId="1C6C09D9" w14:textId="77777777">
      <w:pPr>
        <w:pStyle w:val="Lista3"/>
      </w:pPr>
      <w:r>
        <w:t xml:space="preserve">e.g. </w:t>
      </w:r>
      <w:r>
        <w:rPr>
          <w:rStyle w:val="Code"/>
        </w:rPr>
        <w:t>&lt;choice&gt;&lt;orig&gt;</w:t>
      </w:r>
      <w:r>
        <w:rPr>
          <w:rStyle w:val="Codetext"/>
        </w:rPr>
        <w:t>a</w:t>
      </w:r>
      <w:r>
        <w:rPr>
          <w:rStyle w:val="Code"/>
        </w:rPr>
        <w:t>&lt;/orig&gt;&lt;reg&gt;</w:t>
      </w:r>
      <w:r>
        <w:rPr>
          <w:rStyle w:val="Codetext"/>
        </w:rPr>
        <w:t>ā</w:t>
      </w:r>
      <w:r>
        <w:rPr>
          <w:rStyle w:val="Code"/>
        </w:rPr>
        <w:t>&lt;/reg&gt;&lt;/choice&gt;</w:t>
      </w:r>
    </w:p>
    <w:p w14:paraId="77C27942" w14:textId="77777777">
      <w:pPr>
        <w:pStyle w:val="Cmsor2"/>
      </w:pPr>
      <w:bookmarkStart w:id="701" w:name="_Ref232171213"/>
      <w:bookmarkStart w:id="702" w:name="_Toc243922709"/>
      <w:bookmarkEnd w:id="657"/>
      <w:bookmarkEnd w:id="675"/>
      <w:bookmarkEnd w:id="686"/>
      <w:r>
        <w:t>Highlighting for review</w:t>
      </w:r>
      <w:bookmarkEnd w:id="702"/>
    </w:p>
    <w:p w14:paraId="7AB2D85A" w14:textId="6A260E1B">
      <w:r>
        <w:t>The encoding method presented in §</w:t>
      </w:r>
      <w:r>
        <w:fldChar w:fldCharType="begin"/>
      </w:r>
      <w:r>
        <w:instrText xml:space="preserve"> REF _Ref122447347 \r \h </w:instrText>
      </w:r>
      <w:r>
        <w:fldChar w:fldCharType="separate"/>
      </w:r>
      <w:r>
        <w:t>14.2.4</w:t>
      </w:r>
      <w:r>
        <w:fldChar w:fldCharType="end"/>
      </w:r>
      <w:r>
        <w:t xml:space="preserve"> for highlighting a segment of text which you wish to consider further or discuss with a colleague may be used in the edition division as well as in other parts of the XML document.</w:t>
      </w:r>
    </w:p>
    <w:p w14:paraId="3A22ECCE" w14:textId="77777777">
      <w:pPr>
        <w:pStyle w:val="Cmsor1"/>
      </w:pPr>
      <w:bookmarkStart w:id="703" w:name="_Toc243922710"/>
      <w:r>
        <w:lastRenderedPageBreak/>
        <w:t>Language, script and visual characteristics</w:t>
      </w:r>
      <w:bookmarkEnd w:id="701"/>
      <w:bookmarkEnd w:id="703"/>
    </w:p>
    <w:p w14:paraId="68E37B44" w14:textId="77777777">
      <w:pPr>
        <w:pStyle w:val="Cmsor2"/>
      </w:pPr>
      <w:bookmarkStart w:id="704" w:name="_hrv588cx6rm9" w:colFirst="0" w:colLast="0"/>
      <w:bookmarkStart w:id="705" w:name="_givjq86nqgzx" w:colFirst="0" w:colLast="0"/>
      <w:bookmarkStart w:id="706" w:name="_Ref232070683"/>
      <w:bookmarkStart w:id="707" w:name="_Toc243922711"/>
      <w:bookmarkEnd w:id="704"/>
      <w:bookmarkEnd w:id="705"/>
      <w:r>
        <w:t>Source language</w:t>
      </w:r>
      <w:bookmarkEnd w:id="706"/>
      <w:bookmarkEnd w:id="707"/>
    </w:p>
    <w:p w14:paraId="79FCD723" w14:textId="582CB68E">
      <w:r>
        <w:t xml:space="preserve">This section is concerned with encoding language within the edition. As language encoding is applicable to several parts of the XML document, the general instructions for using the attribute </w:t>
      </w:r>
      <w:r>
        <w:rPr>
          <w:rStyle w:val="Codeattribute"/>
        </w:rPr>
        <w:t>@xml:lang</w:t>
      </w:r>
      <w:r>
        <w:t xml:space="preserve"> are given in §</w:t>
      </w:r>
      <w:r>
        <w:fldChar w:fldCharType="begin"/>
      </w:r>
      <w:r>
        <w:instrText xml:space="preserve"> REF _Ref233727317 \r \h </w:instrText>
      </w:r>
      <w:r>
        <w:fldChar w:fldCharType="separate"/>
      </w:r>
      <w:r>
        <w:t>14.4.1</w:t>
      </w:r>
      <w:r>
        <w:fldChar w:fldCharType="end"/>
      </w:r>
      <w:r>
        <w:t>.</w:t>
      </w:r>
    </w:p>
    <w:p w14:paraId="73D64815" w14:textId="77777777">
      <w:pPr>
        <w:pStyle w:val="Cmsor3"/>
      </w:pPr>
      <w:bookmarkStart w:id="708" w:name="_Ref231978649"/>
      <w:bookmarkStart w:id="709" w:name="_Toc243922712"/>
      <w:r>
        <w:t>The language of the edition</w:t>
      </w:r>
      <w:bookmarkEnd w:id="708"/>
      <w:bookmarkEnd w:id="709"/>
    </w:p>
    <w:p w14:paraId="7E983CE5" w14:textId="1337985A">
      <w:pPr>
        <w:pStyle w:val="Lista"/>
      </w:pPr>
      <w:r>
        <w:t xml:space="preserve">the language of the original document must be explicitly encoded using the attribute </w:t>
      </w:r>
      <w:r>
        <w:rPr>
          <w:rStyle w:val="Codeattribute"/>
        </w:rPr>
        <w:t>@xml:lang</w:t>
      </w:r>
      <w:r>
        <w:t xml:space="preserve"> containing an ISO language tag and a script subtag indicating that the text is in Romanised transliteration, as described in §</w:t>
      </w:r>
      <w:r>
        <w:fldChar w:fldCharType="begin"/>
      </w:r>
      <w:r>
        <w:instrText xml:space="preserve"> REF _Ref233792736 \r \h </w:instrText>
      </w:r>
      <w:r>
        <w:fldChar w:fldCharType="separate"/>
      </w:r>
      <w:r>
        <w:t>14.4.1.1</w:t>
      </w:r>
      <w:r>
        <w:fldChar w:fldCharType="end"/>
      </w:r>
      <w:r>
        <w:t xml:space="preserve"> </w:t>
      </w:r>
    </w:p>
    <w:p w14:paraId="3165135B" w14:textId="77777777">
      <w:pPr>
        <w:pStyle w:val="Lista2"/>
      </w:pPr>
      <w:r>
        <w:t xml:space="preserve">e.g. </w:t>
      </w:r>
      <w:r>
        <w:rPr>
          <w:rStyle w:val="Code"/>
        </w:rPr>
        <w:t xml:space="preserve">&lt;div </w:t>
      </w:r>
      <w:r>
        <w:rPr>
          <w:rStyle w:val="Codeattribute"/>
        </w:rPr>
        <w:t>type</w:t>
      </w:r>
      <w:r>
        <w:rPr>
          <w:rStyle w:val="Code"/>
        </w:rPr>
        <w:t>=</w:t>
      </w:r>
      <w:r>
        <w:rPr>
          <w:rStyle w:val="Codevalue"/>
        </w:rPr>
        <w:t>"edition"</w:t>
      </w:r>
      <w:r>
        <w:rPr>
          <w:rStyle w:val="Code"/>
        </w:rPr>
        <w:t xml:space="preserve"> </w:t>
      </w:r>
      <w:r>
        <w:rPr>
          <w:rStyle w:val="Codeattribute"/>
        </w:rPr>
        <w:t>xml:lang</w:t>
      </w:r>
      <w:r>
        <w:rPr>
          <w:rStyle w:val="Code"/>
        </w:rPr>
        <w:t>=</w:t>
      </w:r>
      <w:r>
        <w:rPr>
          <w:rStyle w:val="Codevalue"/>
        </w:rPr>
        <w:t>"san-Latn"</w:t>
      </w:r>
      <w:r>
        <w:rPr>
          <w:rStyle w:val="Code"/>
        </w:rPr>
        <w:t>&gt;</w:t>
      </w:r>
      <w:r>
        <w:t xml:space="preserve"> for an inscription in Sanskrit</w:t>
      </w:r>
    </w:p>
    <w:p w14:paraId="0DA44EC5" w14:textId="63978EFF">
      <w:pPr>
        <w:pStyle w:val="Lista3"/>
      </w:pPr>
      <w:r>
        <w:t>note that this example illustrates only the language encoding, which must be complemented by script encoding as per §</w:t>
      </w:r>
      <w:r>
        <w:fldChar w:fldCharType="begin"/>
      </w:r>
      <w:r>
        <w:instrText xml:space="preserve"> REF _Ref231978625 \r \h </w:instrText>
      </w:r>
      <w:r>
        <w:fldChar w:fldCharType="separate"/>
      </w:r>
      <w:r>
        <w:t>8.2.2</w:t>
      </w:r>
      <w:r>
        <w:fldChar w:fldCharType="end"/>
      </w:r>
    </w:p>
    <w:p w14:paraId="736EA4B2" w14:textId="1A059ACE">
      <w:pPr>
        <w:pStyle w:val="Lista"/>
      </w:pPr>
      <w:r>
        <w:rPr>
          <w:rStyle w:val="Codeattribute"/>
        </w:rPr>
        <w:t>@xml:lang</w:t>
      </w:r>
      <w:r>
        <w:t xml:space="preserve"> must always be present on the edition division unless it contains textparts with the language of each textpart encoded separately as per §</w:t>
      </w:r>
      <w:r>
        <w:fldChar w:fldCharType="begin"/>
      </w:r>
      <w:r>
        <w:instrText xml:space="preserve"> REF _Ref43986547 \r \h </w:instrText>
      </w:r>
      <w:r>
        <w:fldChar w:fldCharType="separate"/>
      </w:r>
      <w:r>
        <w:t>8.1.2.1</w:t>
      </w:r>
      <w:r>
        <w:fldChar w:fldCharType="end"/>
      </w:r>
    </w:p>
    <w:p w14:paraId="76B1254A" w14:textId="77777777">
      <w:pPr>
        <w:pStyle w:val="Lista2"/>
      </w:pPr>
      <w:r>
        <w:t>all XML elements within the edition division are understood to inherit the language of the edition division, so parts of the edition only need language encoding when they are in a different language</w:t>
      </w:r>
    </w:p>
    <w:p w14:paraId="04F085FE" w14:textId="77777777">
      <w:pPr>
        <w:pStyle w:val="Cmsor3"/>
      </w:pPr>
      <w:bookmarkStart w:id="710" w:name="_Ref232089615"/>
      <w:bookmarkStart w:id="711" w:name="_Toc243922713"/>
      <w:r>
        <w:t>Multilingual inscriptions</w:t>
      </w:r>
      <w:bookmarkEnd w:id="710"/>
      <w:bookmarkEnd w:id="711"/>
    </w:p>
    <w:p w14:paraId="1A51095D" w14:textId="68DEC0AA">
      <w:pPr>
        <w:rPr>
          <w:lang w:eastAsia="en-US" w:bidi="ar-SA"/>
        </w:rPr>
      </w:pPr>
      <w:r>
        <w:rPr>
          <w:lang w:eastAsia="en-US" w:bidi="ar-SA"/>
        </w:rPr>
        <w:t>In multilingual inscriptions where language changes are concomitant with script changes, the latter must be encoded as per §</w:t>
      </w:r>
      <w:r>
        <w:rPr>
          <w:lang w:eastAsia="en-US" w:bidi="ar-SA"/>
        </w:rPr>
        <w:fldChar w:fldCharType="begin"/>
      </w:r>
      <w:r>
        <w:rPr>
          <w:lang w:eastAsia="en-US" w:bidi="ar-SA"/>
        </w:rPr>
        <w:instrText xml:space="preserve"> REF _Ref231974552 \r \h </w:instrText>
      </w:r>
      <w:r>
        <w:rPr>
          <w:lang w:eastAsia="en-US" w:bidi="ar-SA"/>
        </w:rPr>
      </w:r>
      <w:r>
        <w:rPr>
          <w:lang w:eastAsia="en-US" w:bidi="ar-SA"/>
        </w:rPr>
        <w:fldChar w:fldCharType="separate"/>
      </w:r>
      <w:r>
        <w:rPr>
          <w:lang w:eastAsia="en-US" w:bidi="ar-SA"/>
        </w:rPr>
        <w:t>8.2.3</w:t>
      </w:r>
      <w:r>
        <w:rPr>
          <w:lang w:eastAsia="en-US" w:bidi="ar-SA"/>
        </w:rPr>
        <w:fldChar w:fldCharType="end"/>
      </w:r>
      <w:r>
        <w:rPr>
          <w:lang w:eastAsia="en-US" w:bidi="ar-SA"/>
        </w:rPr>
        <w:t xml:space="preserve"> in addition to encoding the former.</w:t>
      </w:r>
    </w:p>
    <w:p w14:paraId="31E0EF15" w14:textId="77777777">
      <w:pPr>
        <w:pStyle w:val="Cmsor4"/>
      </w:pPr>
      <w:bookmarkStart w:id="712" w:name="_klgqi6fi4k5w" w:colFirst="0" w:colLast="0"/>
      <w:bookmarkStart w:id="713" w:name="_Ref43986547"/>
      <w:bookmarkEnd w:id="712"/>
      <w:r>
        <w:t>Sections in different languages</w:t>
      </w:r>
      <w:bookmarkEnd w:id="713"/>
    </w:p>
    <w:p w14:paraId="1D40B83F" w14:textId="77777777">
      <w:r>
        <w:t xml:space="preserve">When two </w:t>
      </w:r>
      <w:r>
        <w:rPr>
          <w:noProof/>
        </w:rPr>
        <w:t>(</w:t>
      </w:r>
      <w:r>
        <w:t>or more) major sections of an inscription are in two (or more) different languages, consider the degree to which these sections are independent of each other.</w:t>
      </w:r>
    </w:p>
    <w:p w14:paraId="56E90487" w14:textId="77777777">
      <w:pPr>
        <w:pStyle w:val="Lista"/>
      </w:pPr>
      <w:r>
        <w:t>if the inscription may be perceived as a single, coherent text with one or more language shifts,</w:t>
      </w:r>
    </w:p>
    <w:p w14:paraId="445F9F5C" w14:textId="34935468">
      <w:pPr>
        <w:pStyle w:val="Lista2"/>
      </w:pPr>
      <w:r>
        <w:t>proceed as per §</w:t>
      </w:r>
      <w:r>
        <w:fldChar w:fldCharType="begin"/>
      </w:r>
      <w:r>
        <w:instrText xml:space="preserve"> REF _Ref231898113 \r \h </w:instrText>
      </w:r>
      <w:r>
        <w:fldChar w:fldCharType="separate"/>
      </w:r>
      <w:r>
        <w:t>8.1.2.2</w:t>
      </w:r>
      <w:r>
        <w:fldChar w:fldCharType="end"/>
      </w:r>
      <w:r>
        <w:t xml:space="preserve"> even if this requires tagging several adjacent text containers individually for language</w:t>
      </w:r>
    </w:p>
    <w:p w14:paraId="237170FA" w14:textId="77777777">
      <w:pPr>
        <w:pStyle w:val="Lista"/>
      </w:pPr>
      <w:r>
        <w:t xml:space="preserve">if one section cannot be perceived as an integral continuation of the other, because they are visually clearly distinct </w:t>
      </w:r>
      <w:r>
        <w:rPr>
          <w:i/>
          <w:iCs/>
        </w:rPr>
        <w:t>and</w:t>
      </w:r>
      <w:r>
        <w:t xml:space="preserve"> semantically unconnected with no straightforward order in which they should be read </w:t>
      </w:r>
      <w:r>
        <w:rPr>
          <w:noProof/>
        </w:rPr>
        <w:t>(</w:t>
      </w:r>
      <w:r>
        <w:t>e.g. they convey the same message in two languages, or cover unrelated topics)</w:t>
      </w:r>
    </w:p>
    <w:p w14:paraId="5207F784" w14:textId="77777777">
      <w:pPr>
        <w:pStyle w:val="Lista2"/>
      </w:pPr>
      <w:r>
        <w:t>first, consider if it would be more appropriate to edit the inscription as two separate texts</w:t>
      </w:r>
    </w:p>
    <w:p w14:paraId="16AF74D9" w14:textId="77777777">
      <w:pPr>
        <w:pStyle w:val="Lista2"/>
      </w:pPr>
      <w:r>
        <w:t>if that is not feasible, then</w:t>
      </w:r>
    </w:p>
    <w:p w14:paraId="64225FE7" w14:textId="511A86BD">
      <w:pPr>
        <w:pStyle w:val="Lista3"/>
      </w:pPr>
      <w:r>
        <w:t xml:space="preserve">encode the language-based sections as textpart divisions </w:t>
      </w:r>
      <w:r>
        <w:rPr>
          <w:noProof/>
        </w:rPr>
        <w:t>(</w:t>
      </w:r>
      <w:r>
        <w:t>§</w:t>
      </w:r>
      <w:r>
        <w:fldChar w:fldCharType="begin"/>
      </w:r>
      <w:r>
        <w:instrText xml:space="preserve"> REF _Ref225778181 \r \h </w:instrText>
      </w:r>
      <w:r>
        <w:fldChar w:fldCharType="separate"/>
      </w:r>
      <w:r>
        <w:t>4.2</w:t>
      </w:r>
      <w:r>
        <w:fldChar w:fldCharType="end"/>
      </w:r>
      <w:r>
        <w:t>, §</w:t>
      </w:r>
      <w:r>
        <w:fldChar w:fldCharType="begin"/>
      </w:r>
      <w:r>
        <w:instrText xml:space="preserve"> REF _Ref231898382 \r \h </w:instrText>
      </w:r>
      <w:r>
        <w:fldChar w:fldCharType="separate"/>
      </w:r>
      <w:r>
        <w:t>4.7.3.4</w:t>
      </w:r>
      <w:r>
        <w:fldChar w:fldCharType="end"/>
      </w:r>
      <w:r>
        <w:t>)</w:t>
      </w:r>
    </w:p>
    <w:p w14:paraId="15C60E2B" w14:textId="77777777">
      <w:pPr>
        <w:pStyle w:val="Lista3"/>
      </w:pPr>
      <w:r>
        <w:t xml:space="preserve">add </w:t>
      </w:r>
      <w:r>
        <w:rPr>
          <w:rStyle w:val="Codeattribute"/>
        </w:rPr>
        <w:t>@xml:lang</w:t>
      </w:r>
      <w:r>
        <w:t xml:space="preserve"> to each corresponding </w:t>
      </w:r>
      <w:r>
        <w:rPr>
          <w:rStyle w:val="Code"/>
        </w:rPr>
        <w:t xml:space="preserve">&lt;div </w:t>
      </w:r>
      <w:r>
        <w:rPr>
          <w:rStyle w:val="Codeattribute"/>
        </w:rPr>
        <w:t>type</w:t>
      </w:r>
      <w:r>
        <w:rPr>
          <w:rStyle w:val="Code"/>
        </w:rPr>
        <w:t>=</w:t>
      </w:r>
      <w:r>
        <w:rPr>
          <w:rStyle w:val="Codevalue"/>
        </w:rPr>
        <w:t>"textpart"</w:t>
      </w:r>
      <w:r>
        <w:rPr>
          <w:rStyle w:val="Code"/>
        </w:rPr>
        <w:t>&gt;</w:t>
      </w:r>
      <w:r>
        <w:t xml:space="preserve"> element</w:t>
      </w:r>
    </w:p>
    <w:p w14:paraId="6A1A34A7" w14:textId="77777777">
      <w:pPr>
        <w:pStyle w:val="Lista3"/>
      </w:pPr>
      <w:r>
        <w:t xml:space="preserve">in this case only, the edition division shall not carry the attribute </w:t>
      </w:r>
      <w:r>
        <w:rPr>
          <w:rStyle w:val="Codeattribute"/>
        </w:rPr>
        <w:t>@xml:lang</w:t>
      </w:r>
    </w:p>
    <w:p w14:paraId="0A62CAE1" w14:textId="77777777">
      <w:pPr>
        <w:pStyle w:val="Lista4"/>
      </w:pPr>
      <w:r>
        <w:t>whereas in an inscription consisting of textparts in the same language, the language must be encoded on the edition division, not separately on the textparts</w:t>
      </w:r>
    </w:p>
    <w:p w14:paraId="0B0DD5E9" w14:textId="51EB3758">
      <w:pPr>
        <w:pStyle w:val="Lista3"/>
      </w:pPr>
      <w:r>
        <w:t>do not create textpart divisions just because an inscription is in two languages, only when the encoding of such divisions is warranted for other reasons discussed in §</w:t>
      </w:r>
      <w:r>
        <w:fldChar w:fldCharType="begin"/>
      </w:r>
      <w:r>
        <w:instrText xml:space="preserve"> REF _Ref224742342 \r \h </w:instrText>
      </w:r>
      <w:r>
        <w:fldChar w:fldCharType="separate"/>
      </w:r>
      <w:r>
        <w:t>4.2.1.4</w:t>
      </w:r>
      <w:r>
        <w:fldChar w:fldCharType="end"/>
      </w:r>
    </w:p>
    <w:p w14:paraId="2CD3F9A7" w14:textId="77777777">
      <w:pPr>
        <w:pStyle w:val="Cmsor4"/>
      </w:pPr>
      <w:bookmarkStart w:id="714" w:name="_oeygdv1jszl8" w:colFirst="0" w:colLast="0"/>
      <w:bookmarkStart w:id="715" w:name="_Ref231898113"/>
      <w:bookmarkEnd w:id="714"/>
      <w:r>
        <w:t xml:space="preserve">Passages or stanzas in </w:t>
      </w:r>
      <w:bookmarkEnd w:id="715"/>
      <w:r>
        <w:t>a secondary language</w:t>
      </w:r>
    </w:p>
    <w:p w14:paraId="5B1D435F" w14:textId="54E40EFE">
      <w:pPr>
        <w:rPr>
          <w:lang w:eastAsia="en-US" w:bidi="ar-SA"/>
        </w:rPr>
      </w:pPr>
      <w:r>
        <w:rPr>
          <w:lang w:eastAsia="en-US" w:bidi="ar-SA"/>
        </w:rPr>
        <w:t>When an inscription contains one or more stanzas and/or prose passages in a different language, and the language changes repeatedly or the sections in different languages are not as conspicuously distinct as to require encoding as textpart divisions (§</w:t>
      </w:r>
      <w:r>
        <w:rPr>
          <w:lang w:eastAsia="en-US" w:bidi="ar-SA"/>
        </w:rPr>
        <w:fldChar w:fldCharType="begin"/>
      </w:r>
      <w:r>
        <w:rPr>
          <w:lang w:eastAsia="en-US" w:bidi="ar-SA"/>
        </w:rPr>
        <w:instrText xml:space="preserve"> REF _Ref43986547 \r \h </w:instrText>
      </w:r>
      <w:r>
        <w:rPr>
          <w:lang w:eastAsia="en-US" w:bidi="ar-SA"/>
        </w:rPr>
      </w:r>
      <w:r>
        <w:rPr>
          <w:lang w:eastAsia="en-US" w:bidi="ar-SA"/>
        </w:rPr>
        <w:fldChar w:fldCharType="separate"/>
      </w:r>
      <w:r>
        <w:rPr>
          <w:lang w:eastAsia="en-US" w:bidi="ar-SA"/>
        </w:rPr>
        <w:t>8.1.2.1</w:t>
      </w:r>
      <w:r>
        <w:rPr>
          <w:lang w:eastAsia="en-US" w:bidi="ar-SA"/>
        </w:rPr>
        <w:fldChar w:fldCharType="end"/>
      </w:r>
      <w:r>
        <w:rPr>
          <w:lang w:eastAsia="en-US" w:bidi="ar-SA"/>
        </w:rPr>
        <w:t>), proceed as follows.</w:t>
      </w:r>
    </w:p>
    <w:p w14:paraId="0CAE8D33" w14:textId="0315C5AF">
      <w:pPr>
        <w:pStyle w:val="Lista"/>
      </w:pPr>
      <w:r>
        <w:t xml:space="preserve">select a default (primary) language to encode as the </w:t>
      </w:r>
      <w:r>
        <w:rPr>
          <w:rStyle w:val="Codeattribute"/>
        </w:rPr>
        <w:t>@xml:lang</w:t>
      </w:r>
      <w:r>
        <w:t xml:space="preserve"> of the edition division as per §</w:t>
      </w:r>
      <w:r>
        <w:fldChar w:fldCharType="begin"/>
      </w:r>
      <w:r>
        <w:instrText xml:space="preserve"> REF _Ref231978649 \r \h </w:instrText>
      </w:r>
      <w:r>
        <w:fldChar w:fldCharType="separate"/>
      </w:r>
      <w:r>
        <w:t>8.1.1</w:t>
      </w:r>
      <w:r>
        <w:fldChar w:fldCharType="end"/>
      </w:r>
    </w:p>
    <w:p w14:paraId="1F6B9068" w14:textId="77777777">
      <w:pPr>
        <w:pStyle w:val="Lista2"/>
      </w:pPr>
      <w:r>
        <w:t>the primary language should normally be the one that is used in the majority of the document</w:t>
      </w:r>
    </w:p>
    <w:p w14:paraId="7C8FA611" w14:textId="77777777">
      <w:pPr>
        <w:pStyle w:val="Lista2"/>
      </w:pPr>
      <w:r>
        <w:t>if two or more languages are represented in more or less equal proportions, make an arbitrary choice</w:t>
      </w:r>
    </w:p>
    <w:p w14:paraId="2DE2D489" w14:textId="3A39DB44">
      <w:pPr>
        <w:pStyle w:val="Lista"/>
      </w:pPr>
      <w:r>
        <w:lastRenderedPageBreak/>
        <w:t xml:space="preserve">apply </w:t>
      </w:r>
      <w:r>
        <w:rPr>
          <w:rStyle w:val="Codeattribute"/>
        </w:rPr>
        <w:t>@xml:lang</w:t>
      </w:r>
      <w:r>
        <w:t xml:space="preserve"> to each of the block-level elements </w:t>
      </w:r>
      <w:r>
        <w:rPr>
          <w:noProof/>
        </w:rPr>
        <w:t>(</w:t>
      </w:r>
      <w:r>
        <w:t xml:space="preserve">viz. </w:t>
      </w:r>
      <w:r>
        <w:rPr>
          <w:rStyle w:val="Code"/>
        </w:rPr>
        <w:t>&lt;p&gt;</w:t>
      </w:r>
      <w:r>
        <w:t xml:space="preserve">, </w:t>
      </w:r>
      <w:r>
        <w:rPr>
          <w:rStyle w:val="Code"/>
        </w:rPr>
        <w:t>&lt;lg&gt;</w:t>
      </w:r>
      <w:r>
        <w:t xml:space="preserve"> or </w:t>
      </w:r>
      <w:r>
        <w:rPr>
          <w:rStyle w:val="Code"/>
        </w:rPr>
        <w:t>&lt;ab&gt;</w:t>
      </w:r>
      <w:r>
        <w:t>) containing text in a language other than the primary one, as per §</w:t>
      </w:r>
      <w:r>
        <w:fldChar w:fldCharType="begin"/>
      </w:r>
      <w:r>
        <w:instrText xml:space="preserve"> REF _Ref233727317 \r \h </w:instrText>
      </w:r>
      <w:r>
        <w:fldChar w:fldCharType="separate"/>
      </w:r>
      <w:r>
        <w:t>14.4.1</w:t>
      </w:r>
      <w:r>
        <w:fldChar w:fldCharType="end"/>
      </w:r>
      <w:r>
        <w:t xml:space="preserve"> </w:t>
      </w:r>
    </w:p>
    <w:p w14:paraId="72005712" w14:textId="77777777">
      <w:pPr>
        <w:pStyle w:val="Lista2"/>
      </w:pPr>
      <w:r>
        <w:t>containers with text in the primary language need not be tagged explicitly, since they inherit their language from the edition division</w:t>
      </w:r>
    </w:p>
    <w:p w14:paraId="12193C70" w14:textId="77777777">
      <w:pPr>
        <w:pStyle w:val="Cmsor4"/>
      </w:pPr>
      <w:bookmarkStart w:id="716" w:name="_Ref231904363"/>
      <w:r>
        <w:t>Words or phrases in a secondary language</w:t>
      </w:r>
      <w:bookmarkEnd w:id="716"/>
    </w:p>
    <w:p w14:paraId="6D304191" w14:textId="77777777">
      <w:r>
        <w:t>If an inscription largely written in a primary language contains isolated words or phrases (or any chunks of text smaller than a block-level container) in a secondary language, proceed as follows.</w:t>
      </w:r>
    </w:p>
    <w:p w14:paraId="6F50504F" w14:textId="77777777">
      <w:pPr>
        <w:pStyle w:val="Lista"/>
      </w:pPr>
      <w:r>
        <w:t>encode the primary language on the edition division</w:t>
      </w:r>
    </w:p>
    <w:p w14:paraId="7725D19E" w14:textId="77777777">
      <w:pPr>
        <w:pStyle w:val="Lista"/>
      </w:pPr>
      <w:r>
        <w:t xml:space="preserve">wrap each chunk of text in the secondary language with the element </w:t>
      </w:r>
      <w:r>
        <w:rPr>
          <w:rStyle w:val="Code"/>
        </w:rPr>
        <w:t>&lt;foreign&gt;</w:t>
      </w:r>
      <w:r>
        <w:t xml:space="preserve"> </w:t>
      </w:r>
    </w:p>
    <w:p w14:paraId="00E7A266" w14:textId="77777777">
      <w:pPr>
        <w:pStyle w:val="Lista2"/>
      </w:pPr>
      <w:r>
        <w:t xml:space="preserve">apply </w:t>
      </w:r>
      <w:r>
        <w:rPr>
          <w:rStyle w:val="Codeattribute"/>
        </w:rPr>
        <w:t>@xml:lang</w:t>
      </w:r>
      <w:r>
        <w:t xml:space="preserve"> to that element</w:t>
      </w:r>
    </w:p>
    <w:p w14:paraId="514DCA3E" w14:textId="77777777">
      <w:pPr>
        <w:pStyle w:val="Lista"/>
      </w:pPr>
      <w:r>
        <w:t>loanwords and foreign names should not, as a rule, be marked up as being in a different language</w:t>
      </w:r>
    </w:p>
    <w:p w14:paraId="3054864A" w14:textId="77777777">
      <w:pPr>
        <w:pStyle w:val="Lista"/>
      </w:pPr>
      <w:r>
        <w:t>tagging as foreign is recommended for the following items</w:t>
      </w:r>
    </w:p>
    <w:p w14:paraId="35B09B0D" w14:textId="77777777">
      <w:pPr>
        <w:pStyle w:val="Lista2"/>
      </w:pPr>
      <w:r>
        <w:t xml:space="preserve">complete phrases or sentences using vocabulary </w:t>
      </w:r>
      <w:r>
        <w:rPr>
          <w:rStyle w:val="Foreign"/>
        </w:rPr>
        <w:t>and</w:t>
      </w:r>
      <w:r>
        <w:t xml:space="preserve"> morphology/syntax foreign to the default language</w:t>
      </w:r>
    </w:p>
    <w:p w14:paraId="53391737" w14:textId="77777777">
      <w:pPr>
        <w:pStyle w:val="Lista2"/>
      </w:pPr>
      <w:r>
        <w:t xml:space="preserve">Sanskrit compounds which are not established as loanwords </w:t>
      </w:r>
      <w:r>
        <w:rPr>
          <w:noProof/>
        </w:rPr>
        <w:t>(</w:t>
      </w:r>
      <w:r>
        <w:t xml:space="preserve">i.e. do not appear in a standard dictionary of the local language such as the </w:t>
      </w:r>
      <w:r>
        <w:rPr>
          <w:rStyle w:val="Foreign"/>
        </w:rPr>
        <w:t>Old Javanese–English Dictionary</w:t>
      </w:r>
      <w:r>
        <w:t xml:space="preserve"> or the </w:t>
      </w:r>
      <w:r>
        <w:rPr>
          <w:rStyle w:val="Foreign"/>
        </w:rPr>
        <w:t>Madras Tamil Lexicon</w:t>
      </w:r>
      <w:r>
        <w:t>)</w:t>
      </w:r>
    </w:p>
    <w:p w14:paraId="503C7C7C" w14:textId="77777777">
      <w:pPr>
        <w:pStyle w:val="Lista"/>
      </w:pPr>
      <w:r>
        <w:t>in less clear-cut cases, use your own discretion to decide whether or not to tag a segment as foreign</w:t>
      </w:r>
    </w:p>
    <w:p w14:paraId="3B808347" w14:textId="77777777">
      <w:pPr>
        <w:pStyle w:val="Cmsor4"/>
      </w:pPr>
      <w:bookmarkStart w:id="717" w:name="_Ref231979218"/>
      <w:bookmarkStart w:id="718" w:name="_Ref232063409"/>
      <w:r>
        <w:t>Terms and glosses</w:t>
      </w:r>
      <w:bookmarkEnd w:id="717"/>
      <w:bookmarkEnd w:id="718"/>
    </w:p>
    <w:p w14:paraId="4C3919A7" w14:textId="3134F9E0">
      <w:r>
        <w:t>In the special case when a document written in a primary language contains words or phrases of a foreign language which are consistently paired with glosses (translations and/or explanations in the primary language), these may be optionally encoded as follows instead of simply using the method described in §</w:t>
      </w:r>
      <w:r>
        <w:fldChar w:fldCharType="begin"/>
      </w:r>
      <w:r>
        <w:instrText xml:space="preserve"> REF _Ref231904363 \r \h </w:instrText>
      </w:r>
      <w:r>
        <w:fldChar w:fldCharType="separate"/>
      </w:r>
      <w:r>
        <w:t>8.1.2.3</w:t>
      </w:r>
      <w:r>
        <w:fldChar w:fldCharType="end"/>
      </w:r>
      <w:r>
        <w:t xml:space="preserve"> above.</w:t>
      </w:r>
    </w:p>
    <w:p w14:paraId="4599F3DC" w14:textId="77777777">
      <w:pPr>
        <w:pStyle w:val="Lista"/>
      </w:pPr>
      <w:r>
        <w:t xml:space="preserve">wrap each foreign segment in the element </w:t>
      </w:r>
      <w:r>
        <w:rPr>
          <w:rStyle w:val="Code"/>
        </w:rPr>
        <w:t>&lt;term&gt;</w:t>
      </w:r>
    </w:p>
    <w:p w14:paraId="3E2D10BE" w14:textId="77777777">
      <w:pPr>
        <w:pStyle w:val="Lista2"/>
      </w:pPr>
      <w:r>
        <w:t xml:space="preserve">adding </w:t>
      </w:r>
      <w:r>
        <w:rPr>
          <w:rStyle w:val="Codeattribute"/>
        </w:rPr>
        <w:t>@xml:lang</w:t>
      </w:r>
      <w:r>
        <w:t xml:space="preserve"> to this element to encode the language of the term</w:t>
      </w:r>
    </w:p>
    <w:p w14:paraId="61E83059" w14:textId="77777777">
      <w:pPr>
        <w:pStyle w:val="Lista"/>
      </w:pPr>
      <w:r>
        <w:t xml:space="preserve">wrap each gloss in the element </w:t>
      </w:r>
      <w:r>
        <w:rPr>
          <w:rStyle w:val="Code"/>
        </w:rPr>
        <w:t>&lt;gloss&gt;</w:t>
      </w:r>
    </w:p>
    <w:p w14:paraId="2393B2AE" w14:textId="77777777">
      <w:pPr>
        <w:pStyle w:val="Lista2"/>
      </w:pPr>
      <w:r>
        <w:t xml:space="preserve">do not use </w:t>
      </w:r>
      <w:r>
        <w:rPr>
          <w:rStyle w:val="Codeattribute"/>
        </w:rPr>
        <w:t>@xml:lang</w:t>
      </w:r>
      <w:r>
        <w:t xml:space="preserve"> on this element, since the gloss inherits the language encoded on the edition division</w:t>
      </w:r>
    </w:p>
    <w:p w14:paraId="743A89B6" w14:textId="77777777">
      <w:pPr>
        <w:pStyle w:val="Cmsor2"/>
      </w:pPr>
      <w:bookmarkStart w:id="719" w:name="_Ref231979678"/>
      <w:bookmarkStart w:id="720" w:name="_Toc243922714"/>
      <w:r>
        <w:t>Script</w:t>
      </w:r>
      <w:bookmarkEnd w:id="719"/>
      <w:bookmarkEnd w:id="720"/>
    </w:p>
    <w:p w14:paraId="04C1F66B" w14:textId="1F7DCBC1">
      <w:r>
        <w:rPr>
          <w:lang w:eastAsia="en-US" w:bidi="ar-SA"/>
        </w:rPr>
        <w:t xml:space="preserve">This section is concerned with the script of the source document, i.e. its inventory of graphic signs (TG §2.1). Variations in writing style which do not involve a change of script are covered separately, including </w:t>
      </w:r>
      <w:r>
        <w:t>scribal hands (§</w:t>
      </w:r>
      <w:r>
        <w:fldChar w:fldCharType="begin"/>
      </w:r>
      <w:r>
        <w:instrText xml:space="preserve"> REF _Ref231978881 \r \h </w:instrText>
      </w:r>
      <w:r>
        <w:fldChar w:fldCharType="separate"/>
      </w:r>
      <w:r>
        <w:t>8.3</w:t>
      </w:r>
      <w:r>
        <w:fldChar w:fldCharType="end"/>
      </w:r>
      <w:r>
        <w:t>) and lettering style (§</w:t>
      </w:r>
      <w:r>
        <w:fldChar w:fldCharType="begin"/>
      </w:r>
      <w:r>
        <w:instrText xml:space="preserve"> REF _Ref231978934 \r \h </w:instrText>
      </w:r>
      <w:r>
        <w:fldChar w:fldCharType="separate"/>
      </w:r>
      <w:r>
        <w:t>8.4</w:t>
      </w:r>
      <w:r>
        <w:fldChar w:fldCharType="end"/>
      </w:r>
      <w:r>
        <w:t>).</w:t>
      </w:r>
    </w:p>
    <w:p w14:paraId="20171E8C" w14:textId="77777777">
      <w:pPr>
        <w:pStyle w:val="Cmsor3"/>
      </w:pPr>
      <w:bookmarkStart w:id="721" w:name="_Ref231978545"/>
      <w:bookmarkStart w:id="722" w:name="_Toc243922715"/>
      <w:r>
        <w:t xml:space="preserve">Encoding source script with </w:t>
      </w:r>
      <w:r>
        <w:rPr>
          <w:rStyle w:val="Codeattribute"/>
        </w:rPr>
        <w:t>@rendition</w:t>
      </w:r>
      <w:bookmarkEnd w:id="721"/>
      <w:bookmarkEnd w:id="722"/>
    </w:p>
    <w:p w14:paraId="31FB92C3" w14:textId="77777777">
      <w:pPr>
        <w:pStyle w:val="Lista"/>
      </w:pPr>
      <w:r>
        <w:t xml:space="preserve">the attribute </w:t>
      </w:r>
      <w:r>
        <w:rPr>
          <w:rStyle w:val="Codeattribute"/>
        </w:rPr>
        <w:t>@rendition</w:t>
      </w:r>
      <w:r>
        <w:t xml:space="preserve"> on a text-containing element serves for encoding the appearance of the content of that element in the source document</w:t>
      </w:r>
    </w:p>
    <w:p w14:paraId="1B3A1BA2" w14:textId="77777777">
      <w:pPr>
        <w:pStyle w:val="Lista2"/>
      </w:pPr>
      <w:r>
        <w:t>in DHARMA editions we use this attribute for encoding the script in which the source document or a part thereof was originally written</w:t>
      </w:r>
    </w:p>
    <w:p w14:paraId="1F42D2B2" w14:textId="77777777">
      <w:pPr>
        <w:pStyle w:val="Lista"/>
      </w:pPr>
      <w:r>
        <w:t xml:space="preserve">the value of this attribute, when used for this purpose, must always contain the prefix </w:t>
      </w:r>
      <w:r>
        <w:rPr>
          <w:rStyle w:val="Codevalue"/>
        </w:rPr>
        <w:t>class:</w:t>
      </w:r>
      <w:r>
        <w:t xml:space="preserve"> followed (without an intervening space) by the internal identifier of an item of our controlled vocabulary for script classification</w:t>
      </w:r>
      <w:r>
        <w:rPr>
          <w:rStyle w:val="Lbjegyzet-hivatkozs"/>
        </w:rPr>
        <w:footnoteReference w:id="35"/>
      </w:r>
    </w:p>
    <w:p w14:paraId="6199BD05" w14:textId="77777777">
      <w:pPr>
        <w:pStyle w:val="Lista2"/>
      </w:pPr>
      <w:r>
        <w:t>this vocabulary is hierarchical, allowing you to choose terms from very generic to very specific</w:t>
      </w:r>
    </w:p>
    <w:p w14:paraId="61F55828" w14:textId="77777777">
      <w:pPr>
        <w:pStyle w:val="Lista3"/>
      </w:pPr>
      <w:r>
        <w:t>choose the most specific label that you can apply with full confidence to the script class of your source</w:t>
      </w:r>
    </w:p>
    <w:p w14:paraId="1C43F397" w14:textId="77777777">
      <w:pPr>
        <w:pStyle w:val="Lista3"/>
      </w:pPr>
      <w:r>
        <w:t xml:space="preserve">when in doubt, choose a more generic (higher-level) label </w:t>
      </w:r>
    </w:p>
    <w:p w14:paraId="75E4A166" w14:textId="77777777">
      <w:pPr>
        <w:pStyle w:val="Lista"/>
      </w:pPr>
      <w:r>
        <w:lastRenderedPageBreak/>
        <w:t>for all scripts in the class “Brāhmī and derivatives” (but not for other scripts), add another item within the same attribute value, after the class prefix and identifier, with a space between them</w:t>
      </w:r>
    </w:p>
    <w:p w14:paraId="5F10B313" w14:textId="77777777">
      <w:pPr>
        <w:pStyle w:val="Lista2"/>
      </w:pPr>
      <w:r>
        <w:t xml:space="preserve">the second item consists of the prefix </w:t>
      </w:r>
      <w:r>
        <w:rPr>
          <w:rStyle w:val="Codevalue"/>
        </w:rPr>
        <w:t>maturity:</w:t>
      </w:r>
      <w:r>
        <w:t xml:space="preserve"> followed (without an intervening space) by the internal identifier of an item of our controlled vocabulary for script maturity</w:t>
      </w:r>
      <w:r>
        <w:rPr>
          <w:rStyle w:val="Lbjegyzet-hivatkozs"/>
        </w:rPr>
        <w:footnoteReference w:id="36"/>
      </w:r>
    </w:p>
    <w:p w14:paraId="1EB2C4D5" w14:textId="77777777">
      <w:pPr>
        <w:pStyle w:val="Lista3"/>
      </w:pPr>
      <w:r>
        <w:t>this is a one-tiered vocabulary of basic developmental stages, because anything more complicated would greatly increase uncertainty and inconsistency in the encoding</w:t>
      </w:r>
    </w:p>
    <w:p w14:paraId="4B35EC8E" w14:textId="77777777">
      <w:pPr>
        <w:pStyle w:val="Lista"/>
      </w:pPr>
      <w:r>
        <w:t xml:space="preserve">for example, if the script in question is mediaeval Grantha, you must record the codes for “Grantha” and “regional Brāhmī-derived script”, like this: </w:t>
      </w:r>
      <w:r>
        <w:rPr>
          <w:rStyle w:val="Codeattribute"/>
        </w:rPr>
        <w:t>@rendition</w:t>
      </w:r>
      <w:r>
        <w:rPr>
          <w:rStyle w:val="Codetext"/>
        </w:rPr>
        <w:t>=</w:t>
      </w:r>
      <w:r>
        <w:rPr>
          <w:rStyle w:val="Codevalue"/>
        </w:rPr>
        <w:t>"class:36768 maturity:83213"</w:t>
      </w:r>
    </w:p>
    <w:p w14:paraId="6EC0E0DE" w14:textId="77777777">
      <w:pPr>
        <w:pStyle w:val="Lista"/>
      </w:pPr>
      <w:r>
        <w:t xml:space="preserve">for multiscript inscriptions in a Brāhmī-derived script, all instances of the attribute </w:t>
      </w:r>
      <w:r>
        <w:rPr>
          <w:rStyle w:val="Codeattribute"/>
        </w:rPr>
        <w:t>@rendition</w:t>
      </w:r>
      <w:r>
        <w:t xml:space="preserve"> must specify both the </w:t>
      </w:r>
      <w:r>
        <w:rPr>
          <w:rStyle w:val="Codevalue"/>
        </w:rPr>
        <w:t>class:</w:t>
      </w:r>
      <w:r>
        <w:t xml:space="preserve"> and the </w:t>
      </w:r>
      <w:r>
        <w:rPr>
          <w:rStyle w:val="Codevalue"/>
        </w:rPr>
        <w:t>maturity:</w:t>
      </w:r>
      <w:r>
        <w:t xml:space="preserve"> even if only one of these changes (i.e. these part-values are not inherited separately)</w:t>
      </w:r>
    </w:p>
    <w:p w14:paraId="787FAA51" w14:textId="77777777">
      <w:pPr>
        <w:pStyle w:val="Cmsor3"/>
      </w:pPr>
      <w:bookmarkStart w:id="723" w:name="_jbf4mvmrfbn2" w:colFirst="0" w:colLast="0"/>
      <w:bookmarkStart w:id="724" w:name="_Ref231978625"/>
      <w:bookmarkStart w:id="725" w:name="_Ref43989139"/>
      <w:bookmarkStart w:id="726" w:name="_Ref43990481"/>
      <w:bookmarkStart w:id="727" w:name="_Ref225428243"/>
      <w:bookmarkStart w:id="728" w:name="_Ref43989327"/>
      <w:bookmarkStart w:id="729" w:name="_Toc243922716"/>
      <w:bookmarkEnd w:id="723"/>
      <w:r>
        <w:t>The script of the edition</w:t>
      </w:r>
      <w:bookmarkEnd w:id="724"/>
      <w:bookmarkEnd w:id="729"/>
    </w:p>
    <w:p w14:paraId="54B5E76D" w14:textId="55B3105D">
      <w:pPr>
        <w:pStyle w:val="Lista"/>
      </w:pPr>
      <w:r>
        <w:t>the Hand Description in the TEI header (§</w:t>
      </w:r>
      <w:r>
        <w:fldChar w:fldCharType="begin"/>
      </w:r>
      <w:r>
        <w:instrText xml:space="preserve"> REF _Ref43987455 \r \h </w:instrText>
      </w:r>
      <w:r>
        <w:fldChar w:fldCharType="separate"/>
      </w:r>
      <w:r>
        <w:t>15.2.1</w:t>
      </w:r>
      <w:r>
        <w:fldChar w:fldCharType="end"/>
      </w:r>
      <w:r>
        <w:t>) is the place for your human-readable description of the source script and your palaeographic observations</w:t>
      </w:r>
    </w:p>
    <w:p w14:paraId="617C2021" w14:textId="5CE360DA">
      <w:pPr>
        <w:pStyle w:val="Lista"/>
      </w:pPr>
      <w:r>
        <w:t xml:space="preserve">in addition, the type of script in which your inscription is written must be encoded explicitly by adding </w:t>
      </w:r>
      <w:r>
        <w:rPr>
          <w:rStyle w:val="Codeattribute"/>
        </w:rPr>
        <w:t>@rendition</w:t>
      </w:r>
      <w:r>
        <w:t xml:space="preserve"> (as per §</w:t>
      </w:r>
      <w:r>
        <w:fldChar w:fldCharType="begin"/>
      </w:r>
      <w:r>
        <w:instrText xml:space="preserve"> REF _Ref231978545 \r \h </w:instrText>
      </w:r>
      <w:r>
        <w:fldChar w:fldCharType="separate"/>
      </w:r>
      <w:r>
        <w:t>8.2.1</w:t>
      </w:r>
      <w:r>
        <w:fldChar w:fldCharType="end"/>
      </w:r>
      <w:r>
        <w:t>) to the edition division</w:t>
      </w:r>
    </w:p>
    <w:p w14:paraId="71E98287" w14:textId="77777777">
      <w:pPr>
        <w:pStyle w:val="Lista2"/>
        <w:rPr>
          <w:rStyle w:val="Code"/>
          <w:rFonts w:ascii="Gentium" w:hAnsi="Gentium" w:cs="Tiro Devanagari Sanskrit"/>
          <w:noProof w:val="0"/>
          <w:color w:val="auto"/>
          <w:shd w:val="clear" w:color="auto" w:fill="auto"/>
        </w:rPr>
      </w:pPr>
      <w:r>
        <w:t xml:space="preserve">e.g. </w:t>
      </w:r>
      <w:r>
        <w:rPr>
          <w:rStyle w:val="Code"/>
        </w:rPr>
        <w:t xml:space="preserve">&lt;div </w:t>
      </w:r>
      <w:r>
        <w:rPr>
          <w:rStyle w:val="Codeattribute"/>
        </w:rPr>
        <w:t>type</w:t>
      </w:r>
      <w:r>
        <w:rPr>
          <w:rStyle w:val="Codetext"/>
        </w:rPr>
        <w:t>=</w:t>
      </w:r>
      <w:r>
        <w:rPr>
          <w:rStyle w:val="Codevalue"/>
        </w:rPr>
        <w:t>"edition"</w:t>
      </w:r>
      <w:r>
        <w:rPr>
          <w:rStyle w:val="Code"/>
        </w:rPr>
        <w:t xml:space="preserve"> </w:t>
      </w:r>
      <w:r>
        <w:rPr>
          <w:rStyle w:val="Codeattribute"/>
        </w:rPr>
        <w:t>xml:lang</w:t>
      </w:r>
      <w:r>
        <w:rPr>
          <w:rStyle w:val="Codetext"/>
        </w:rPr>
        <w:t>=</w:t>
      </w:r>
      <w:r>
        <w:rPr>
          <w:rStyle w:val="Codevalue"/>
        </w:rPr>
        <w:t>"san-Latn"</w:t>
      </w:r>
      <w:r>
        <w:rPr>
          <w:rStyle w:val="Code"/>
        </w:rPr>
        <w:t xml:space="preserve"> </w:t>
      </w:r>
      <w:r>
        <w:rPr>
          <w:rStyle w:val="Codeattribute"/>
        </w:rPr>
        <w:t>rendition</w:t>
      </w:r>
      <w:r>
        <w:rPr>
          <w:rStyle w:val="Codetext"/>
        </w:rPr>
        <w:t>=</w:t>
      </w:r>
      <w:r>
        <w:rPr>
          <w:rStyle w:val="Codevalue"/>
        </w:rPr>
        <w:t>"class:83223 maturity:83211"</w:t>
      </w:r>
      <w:r>
        <w:rPr>
          <w:rStyle w:val="Code"/>
        </w:rPr>
        <w:t>&gt;</w:t>
      </w:r>
      <w:r>
        <w:t xml:space="preserve"> for an inscription in late northern Brāhmī</w:t>
      </w:r>
    </w:p>
    <w:p w14:paraId="26416E81" w14:textId="2B599DCF">
      <w:pPr>
        <w:pStyle w:val="Lista3"/>
      </w:pPr>
      <w:r>
        <w:t>note that this example illustrates only the script encoding, which must be complemented by language encoding as per §</w:t>
      </w:r>
      <w:r>
        <w:fldChar w:fldCharType="begin"/>
      </w:r>
      <w:r>
        <w:instrText xml:space="preserve"> REF _Ref231978649 \r \h </w:instrText>
      </w:r>
      <w:r>
        <w:fldChar w:fldCharType="separate"/>
      </w:r>
      <w:r>
        <w:t>8.1.1</w:t>
      </w:r>
      <w:r>
        <w:fldChar w:fldCharType="end"/>
      </w:r>
    </w:p>
    <w:p w14:paraId="37390F46" w14:textId="52213C05">
      <w:pPr>
        <w:pStyle w:val="Lista"/>
      </w:pPr>
      <w:r>
        <w:rPr>
          <w:rStyle w:val="Codeattribute"/>
        </w:rPr>
        <w:t>@rendition</w:t>
      </w:r>
      <w:r>
        <w:t xml:space="preserve"> must always be present on the edition division unless it contains textparts with the script of each textpart encoded separately as per §</w:t>
      </w:r>
      <w:r>
        <w:fldChar w:fldCharType="begin"/>
      </w:r>
      <w:r>
        <w:instrText xml:space="preserve"> REF _Ref231980805 \r \h </w:instrText>
      </w:r>
      <w:r>
        <w:fldChar w:fldCharType="separate"/>
      </w:r>
      <w:r>
        <w:t>8.2.3.1</w:t>
      </w:r>
      <w:r>
        <w:fldChar w:fldCharType="end"/>
      </w:r>
    </w:p>
    <w:p w14:paraId="230BC40D" w14:textId="77777777">
      <w:pPr>
        <w:pStyle w:val="Lista2"/>
      </w:pPr>
      <w:r>
        <w:t>all XML elements within the edition division are understood to inherit the script of the edition division, so parts of the edition only need script encoding when they are in a different script</w:t>
      </w:r>
    </w:p>
    <w:p w14:paraId="156CF57A" w14:textId="77777777">
      <w:pPr>
        <w:pStyle w:val="Cmsor3"/>
      </w:pPr>
      <w:bookmarkStart w:id="730" w:name="_Ref231974552"/>
      <w:bookmarkStart w:id="731" w:name="_Toc243922717"/>
      <w:r>
        <w:t>Multiscript inscriptions</w:t>
      </w:r>
      <w:bookmarkEnd w:id="730"/>
      <w:bookmarkEnd w:id="731"/>
    </w:p>
    <w:p w14:paraId="1011F921" w14:textId="77777777">
      <w:pPr>
        <w:pStyle w:val="Cmsor4"/>
      </w:pPr>
      <w:bookmarkStart w:id="732" w:name="_Ref231980805"/>
      <w:r>
        <w:t>Sections in different scripts</w:t>
      </w:r>
      <w:bookmarkEnd w:id="732"/>
    </w:p>
    <w:p w14:paraId="1C8F161F" w14:textId="77777777">
      <w:r>
        <w:t xml:space="preserve">When two </w:t>
      </w:r>
      <w:r>
        <w:rPr>
          <w:noProof/>
        </w:rPr>
        <w:t>(</w:t>
      </w:r>
      <w:r>
        <w:t>or more) major sections of an inscription are in two (or more) different scripts, choose one of the following options that you deem most appropriate to the case at hand.</w:t>
      </w:r>
    </w:p>
    <w:p w14:paraId="38506067" w14:textId="77777777">
      <w:pPr>
        <w:pStyle w:val="Lista"/>
      </w:pPr>
      <w:r>
        <w:t>if the inscription may be perceived as a single, coherent text with one or more script changes,</w:t>
      </w:r>
    </w:p>
    <w:p w14:paraId="7E8F31A5" w14:textId="3E97FF8A">
      <w:pPr>
        <w:pStyle w:val="Lista2"/>
      </w:pPr>
      <w:r>
        <w:t>if there are only two or a small number of sections written in different scripts, especially if the script changes are not coterminous with units of intrinsic structure, encode a hand shift and complement it with script encoding as per §</w:t>
      </w:r>
      <w:r>
        <w:fldChar w:fldCharType="begin"/>
      </w:r>
      <w:r>
        <w:instrText xml:space="preserve"> REF _Ref231980940 \r \h </w:instrText>
      </w:r>
      <w:r>
        <w:fldChar w:fldCharType="separate"/>
      </w:r>
      <w:r>
        <w:t>8.3</w:t>
      </w:r>
      <w:r>
        <w:fldChar w:fldCharType="end"/>
      </w:r>
    </w:p>
    <w:p w14:paraId="56708C2A" w14:textId="0B7DA13B">
      <w:pPr>
        <w:pStyle w:val="Lista2"/>
      </w:pPr>
      <w:r>
        <w:t>if script changes are more numerous, especially if they are coterminous with units of intrinsic structure, proceed as per §</w:t>
      </w:r>
      <w:r>
        <w:fldChar w:fldCharType="begin"/>
      </w:r>
      <w:r>
        <w:instrText xml:space="preserve"> REF _Ref231981056 \r \h </w:instrText>
      </w:r>
      <w:r>
        <w:fldChar w:fldCharType="separate"/>
      </w:r>
      <w:r>
        <w:t>8.2.3.2</w:t>
      </w:r>
      <w:r>
        <w:fldChar w:fldCharType="end"/>
      </w:r>
      <w:r>
        <w:t xml:space="preserve"> even if this requires tagging several adjacent text containers individually for script</w:t>
      </w:r>
    </w:p>
    <w:p w14:paraId="36BDFF99" w14:textId="77777777">
      <w:pPr>
        <w:pStyle w:val="Lista"/>
      </w:pPr>
      <w:r>
        <w:t xml:space="preserve">if one section cannot be perceived as an integral continuation of the other, because they are visually clearly distinct </w:t>
      </w:r>
      <w:r>
        <w:rPr>
          <w:i/>
          <w:iCs/>
        </w:rPr>
        <w:t>and</w:t>
      </w:r>
      <w:r>
        <w:t xml:space="preserve"> semantically unconnected with no straightforward order in which they should be read</w:t>
      </w:r>
    </w:p>
    <w:p w14:paraId="32037057" w14:textId="77777777">
      <w:pPr>
        <w:pStyle w:val="Lista2"/>
      </w:pPr>
      <w:r>
        <w:t>first, consider if it would be better to edit the inscription as two separate texts</w:t>
      </w:r>
    </w:p>
    <w:p w14:paraId="48F998B0" w14:textId="77777777">
      <w:pPr>
        <w:pStyle w:val="Lista2"/>
      </w:pPr>
      <w:r>
        <w:t>if that is not feasible, then</w:t>
      </w:r>
    </w:p>
    <w:p w14:paraId="2A638509" w14:textId="09E81CD8">
      <w:pPr>
        <w:pStyle w:val="Lista3"/>
      </w:pPr>
      <w:r>
        <w:t xml:space="preserve">encode the sections as textpart divisions </w:t>
      </w:r>
      <w:r>
        <w:rPr>
          <w:noProof/>
        </w:rPr>
        <w:t>(</w:t>
      </w:r>
      <w:r>
        <w:t>§</w:t>
      </w:r>
      <w:r>
        <w:fldChar w:fldCharType="begin"/>
      </w:r>
      <w:r>
        <w:instrText xml:space="preserve"> REF _Ref225778181 \r \h </w:instrText>
      </w:r>
      <w:r>
        <w:fldChar w:fldCharType="separate"/>
      </w:r>
      <w:r>
        <w:t>4.2</w:t>
      </w:r>
      <w:r>
        <w:fldChar w:fldCharType="end"/>
      </w:r>
      <w:r>
        <w:t>)</w:t>
      </w:r>
    </w:p>
    <w:p w14:paraId="46F36FBA" w14:textId="77777777">
      <w:pPr>
        <w:pStyle w:val="Lista3"/>
      </w:pPr>
      <w:r>
        <w:t xml:space="preserve">add </w:t>
      </w:r>
      <w:r>
        <w:rPr>
          <w:rStyle w:val="Codeattribute"/>
        </w:rPr>
        <w:t>@rendition</w:t>
      </w:r>
      <w:r>
        <w:t xml:space="preserve"> to each corresponding </w:t>
      </w:r>
      <w:r>
        <w:rPr>
          <w:rStyle w:val="Code"/>
        </w:rPr>
        <w:t xml:space="preserve">&lt;div </w:t>
      </w:r>
      <w:r>
        <w:rPr>
          <w:rStyle w:val="Codeattribute"/>
        </w:rPr>
        <w:t>type</w:t>
      </w:r>
      <w:r>
        <w:rPr>
          <w:rStyle w:val="Code"/>
        </w:rPr>
        <w:t>=</w:t>
      </w:r>
      <w:r>
        <w:rPr>
          <w:rStyle w:val="Codevalue"/>
        </w:rPr>
        <w:t>"textpart"</w:t>
      </w:r>
      <w:r>
        <w:rPr>
          <w:rStyle w:val="Code"/>
        </w:rPr>
        <w:t>&gt;</w:t>
      </w:r>
      <w:r>
        <w:t xml:space="preserve"> element</w:t>
      </w:r>
    </w:p>
    <w:p w14:paraId="04121B06" w14:textId="77777777">
      <w:pPr>
        <w:pStyle w:val="Lista3"/>
      </w:pPr>
      <w:r>
        <w:t xml:space="preserve">in this case only, the edition division shall not carry the attribute </w:t>
      </w:r>
      <w:r>
        <w:rPr>
          <w:rStyle w:val="Codeattribute"/>
        </w:rPr>
        <w:t>@rendition</w:t>
      </w:r>
    </w:p>
    <w:p w14:paraId="45A37099" w14:textId="77777777">
      <w:pPr>
        <w:pStyle w:val="Lista4"/>
      </w:pPr>
      <w:r>
        <w:t>whereas if the textparts are in the same script, then script must still be encoded for the edition division, not separately for the textparts</w:t>
      </w:r>
    </w:p>
    <w:p w14:paraId="2A2378FF" w14:textId="34A9AB72">
      <w:pPr>
        <w:pStyle w:val="Lista3"/>
      </w:pPr>
      <w:r>
        <w:t>do not create textpart divisions just because an inscription is in two scripts, only when the encoding of such divisions is warranted for other reasons discussed in §</w:t>
      </w:r>
      <w:r>
        <w:fldChar w:fldCharType="begin"/>
      </w:r>
      <w:r>
        <w:instrText xml:space="preserve"> REF _Ref224742342 \r \h </w:instrText>
      </w:r>
      <w:r>
        <w:fldChar w:fldCharType="separate"/>
      </w:r>
      <w:r>
        <w:t>4.2.1.4</w:t>
      </w:r>
      <w:r>
        <w:fldChar w:fldCharType="end"/>
      </w:r>
    </w:p>
    <w:p w14:paraId="2DE59931" w14:textId="77777777">
      <w:pPr>
        <w:pStyle w:val="Cmsor4"/>
      </w:pPr>
      <w:bookmarkStart w:id="733" w:name="_Ref231981056"/>
      <w:r>
        <w:lastRenderedPageBreak/>
        <w:t>Passages or stanzas in a secondary script</w:t>
      </w:r>
      <w:bookmarkEnd w:id="733"/>
    </w:p>
    <w:p w14:paraId="5C32BC60" w14:textId="186ADF57">
      <w:pPr>
        <w:rPr>
          <w:lang w:eastAsia="en-US" w:bidi="ar-SA"/>
        </w:rPr>
      </w:pPr>
      <w:r>
        <w:rPr>
          <w:lang w:eastAsia="en-US" w:bidi="ar-SA"/>
        </w:rPr>
        <w:t>When an inscription contains stanzas and/or prose passages written in a different script, and the script changes repeatedly or the sections in different scripts are not as conspicuously distinct as to require encoding as textpart divisions (§</w:t>
      </w:r>
      <w:r>
        <w:rPr>
          <w:lang w:eastAsia="en-US" w:bidi="ar-SA"/>
        </w:rPr>
        <w:fldChar w:fldCharType="begin"/>
      </w:r>
      <w:r>
        <w:rPr>
          <w:lang w:eastAsia="en-US" w:bidi="ar-SA"/>
        </w:rPr>
        <w:instrText xml:space="preserve"> REF _Ref231980805 \r \h </w:instrText>
      </w:r>
      <w:r>
        <w:rPr>
          <w:lang w:eastAsia="en-US" w:bidi="ar-SA"/>
        </w:rPr>
      </w:r>
      <w:r>
        <w:rPr>
          <w:lang w:eastAsia="en-US" w:bidi="ar-SA"/>
        </w:rPr>
        <w:fldChar w:fldCharType="separate"/>
      </w:r>
      <w:r>
        <w:rPr>
          <w:lang w:eastAsia="en-US" w:bidi="ar-SA"/>
        </w:rPr>
        <w:t>8.2.3.1</w:t>
      </w:r>
      <w:r>
        <w:rPr>
          <w:lang w:eastAsia="en-US" w:bidi="ar-SA"/>
        </w:rPr>
        <w:fldChar w:fldCharType="end"/>
      </w:r>
      <w:r>
        <w:rPr>
          <w:lang w:eastAsia="en-US" w:bidi="ar-SA"/>
        </w:rPr>
        <w:t>), proceed as follows.</w:t>
      </w:r>
    </w:p>
    <w:p w14:paraId="217184F8" w14:textId="77777777">
      <w:pPr>
        <w:pStyle w:val="Lista"/>
      </w:pPr>
      <w:r>
        <w:t xml:space="preserve">select a default (primary) script to encode as the </w:t>
      </w:r>
      <w:r>
        <w:rPr>
          <w:rStyle w:val="Codeattribute"/>
        </w:rPr>
        <w:t>@rendition</w:t>
      </w:r>
      <w:r>
        <w:t xml:space="preserve"> of the edition division</w:t>
      </w:r>
    </w:p>
    <w:p w14:paraId="1B06EC9F" w14:textId="77777777">
      <w:pPr>
        <w:pStyle w:val="Lista2"/>
      </w:pPr>
      <w:r>
        <w:t>the primary script should normally be the one that is used in the majority of the document</w:t>
      </w:r>
    </w:p>
    <w:p w14:paraId="73B05105" w14:textId="77777777">
      <w:pPr>
        <w:pStyle w:val="Lista2"/>
      </w:pPr>
      <w:r>
        <w:t>if two or more scripts are represented in more or less equal proportions, make an arbitrary choice</w:t>
      </w:r>
    </w:p>
    <w:p w14:paraId="4E213509" w14:textId="77777777">
      <w:pPr>
        <w:pStyle w:val="Lista"/>
      </w:pPr>
      <w:r>
        <w:t xml:space="preserve">apply </w:t>
      </w:r>
      <w:r>
        <w:rPr>
          <w:rStyle w:val="Codeattribute"/>
        </w:rPr>
        <w:t>@rendition</w:t>
      </w:r>
      <w:r>
        <w:t xml:space="preserve"> to each of the block-level elements (viz. </w:t>
      </w:r>
      <w:r>
        <w:rPr>
          <w:rStyle w:val="Code"/>
        </w:rPr>
        <w:t>&lt;p&gt;</w:t>
      </w:r>
      <w:r>
        <w:t xml:space="preserve">, </w:t>
      </w:r>
      <w:r>
        <w:rPr>
          <w:rStyle w:val="Code"/>
        </w:rPr>
        <w:t>&lt;lg&gt;</w:t>
      </w:r>
      <w:r>
        <w:t xml:space="preserve">, </w:t>
      </w:r>
      <w:r>
        <w:rPr>
          <w:rStyle w:val="Code"/>
        </w:rPr>
        <w:t>&lt;l&gt;</w:t>
      </w:r>
      <w:r>
        <w:t xml:space="preserve"> or </w:t>
      </w:r>
      <w:r>
        <w:rPr>
          <w:rStyle w:val="Code"/>
        </w:rPr>
        <w:t>&lt;ab&gt;</w:t>
      </w:r>
      <w:r>
        <w:t>) corresponding to text in a script other than the default one</w:t>
      </w:r>
    </w:p>
    <w:p w14:paraId="6AFC7CCC" w14:textId="77777777">
      <w:pPr>
        <w:pStyle w:val="Lista2"/>
      </w:pPr>
      <w:r>
        <w:t>containers with text in the primary script need not be tagged explicitly, since they inherit their script from the edition division</w:t>
      </w:r>
    </w:p>
    <w:p w14:paraId="734C98D7" w14:textId="77777777">
      <w:pPr>
        <w:pStyle w:val="Cmsor4"/>
      </w:pPr>
      <w:r>
        <w:t>Foliation marks in a secondary script</w:t>
      </w:r>
    </w:p>
    <w:p w14:paraId="5C905E53" w14:textId="3948B433">
      <w:pPr>
        <w:pStyle w:val="Lista"/>
      </w:pPr>
      <w:r>
        <w:t xml:space="preserve">should the need arise, </w:t>
      </w:r>
      <w:r>
        <w:rPr>
          <w:rStyle w:val="Codeattribute"/>
        </w:rPr>
        <w:t>@rendition</w:t>
      </w:r>
      <w:r>
        <w:t xml:space="preserve"> may be added to </w:t>
      </w:r>
      <w:r>
        <w:rPr>
          <w:rStyle w:val="Code"/>
        </w:rPr>
        <w:t>&lt;fw&gt;</w:t>
      </w:r>
      <w:r>
        <w:t xml:space="preserve"> elements (§</w:t>
      </w:r>
      <w:r>
        <w:fldChar w:fldCharType="begin"/>
      </w:r>
      <w:r>
        <w:instrText xml:space="preserve"> REF _Ref43984607 \r \h </w:instrText>
      </w:r>
      <w:r>
        <w:fldChar w:fldCharType="separate"/>
      </w:r>
      <w:r>
        <w:t>4.7.2</w:t>
      </w:r>
      <w:r>
        <w:fldChar w:fldCharType="end"/>
      </w:r>
      <w:r>
        <w:t>) to encode a script different from that of the text’s primary script</w:t>
      </w:r>
    </w:p>
    <w:p w14:paraId="297F777C" w14:textId="77777777">
      <w:pPr>
        <w:pStyle w:val="Cmsor4"/>
      </w:pPr>
      <w:bookmarkStart w:id="734" w:name="_Ref232173895"/>
      <w:r>
        <w:t>Words or phrases in a secondary script</w:t>
      </w:r>
      <w:bookmarkEnd w:id="734"/>
    </w:p>
    <w:p w14:paraId="1A17A804" w14:textId="77777777">
      <w:r>
        <w:t>If an inscription largely written in a primary script contains isolated words or phrases (or any chunks of text smaller than a block-level container) in a secondary script, proceed as follows.</w:t>
      </w:r>
    </w:p>
    <w:p w14:paraId="18955E5F" w14:textId="77777777">
      <w:pPr>
        <w:pStyle w:val="Lista"/>
      </w:pPr>
      <w:r>
        <w:t>encode the primary script on the edition division</w:t>
      </w:r>
    </w:p>
    <w:p w14:paraId="35522FD7" w14:textId="6BD5E8E0">
      <w:pPr>
        <w:pStyle w:val="Lista"/>
      </w:pPr>
      <w:r>
        <w:t xml:space="preserve">if changes in script are concomitant with changes in language, then you will already have the chunks written in a different language tagged as </w:t>
      </w:r>
      <w:r>
        <w:rPr>
          <w:rStyle w:val="Code"/>
        </w:rPr>
        <w:t>&lt;foreign&gt;</w:t>
      </w:r>
      <w:r>
        <w:t xml:space="preserve"> (§</w:t>
      </w:r>
      <w:r>
        <w:fldChar w:fldCharType="begin"/>
      </w:r>
      <w:r>
        <w:instrText xml:space="preserve"> REF _Ref231904363 \r \h </w:instrText>
      </w:r>
      <w:r>
        <w:fldChar w:fldCharType="separate"/>
      </w:r>
      <w:r>
        <w:t>8.1.2.3</w:t>
      </w:r>
      <w:r>
        <w:fldChar w:fldCharType="end"/>
      </w:r>
      <w:r>
        <w:t>)</w:t>
      </w:r>
    </w:p>
    <w:p w14:paraId="2D020FF7" w14:textId="77777777">
      <w:pPr>
        <w:pStyle w:val="Lista2"/>
      </w:pPr>
      <w:r>
        <w:t xml:space="preserve">add </w:t>
      </w:r>
      <w:r>
        <w:rPr>
          <w:rStyle w:val="Codeattribute"/>
        </w:rPr>
        <w:t>@rendition</w:t>
      </w:r>
      <w:r>
        <w:t xml:space="preserve"> to these elements to encode the script change</w:t>
      </w:r>
    </w:p>
    <w:p w14:paraId="432B4DCC" w14:textId="77777777">
      <w:pPr>
        <w:pStyle w:val="Lista"/>
      </w:pPr>
      <w:r>
        <w:t xml:space="preserve">if script variation does not co-occur with language variation, then create the phrase-level container </w:t>
      </w:r>
      <w:r>
        <w:rPr>
          <w:rStyle w:val="Code"/>
        </w:rPr>
        <w:t>&lt;seg&gt;</w:t>
      </w:r>
      <w:r>
        <w:t xml:space="preserve"> to wrap the chunk of text in a different script, and add </w:t>
      </w:r>
      <w:r>
        <w:rPr>
          <w:rStyle w:val="Codeattribute"/>
        </w:rPr>
        <w:t>@rendition</w:t>
      </w:r>
      <w:r>
        <w:t xml:space="preserve"> to this element</w:t>
      </w:r>
    </w:p>
    <w:p w14:paraId="6F54677E" w14:textId="77777777">
      <w:pPr>
        <w:pStyle w:val="Cmsor4"/>
      </w:pPr>
      <w:bookmarkStart w:id="735" w:name="_Ref233642045"/>
      <w:r>
        <w:t>Grantha script mixed with another script</w:t>
      </w:r>
      <w:bookmarkEnd w:id="735"/>
    </w:p>
    <w:p w14:paraId="14134B8E" w14:textId="77777777">
      <w:pPr>
        <w:pStyle w:val="Lista"/>
      </w:pPr>
      <w:r>
        <w:t>when encoding Grantha characters interspersed in Tamil or Vaṭṭeḻuttu script, note that only characters graphically distinct from the default script of the inscription should be marked up in this way</w:t>
      </w:r>
    </w:p>
    <w:p w14:paraId="434646F3" w14:textId="77777777">
      <w:pPr>
        <w:pStyle w:val="Lista"/>
      </w:pPr>
      <w:r>
        <w:t>for example,</w:t>
      </w:r>
    </w:p>
    <w:p w14:paraId="7A1CB33D" w14:textId="77777777">
      <w:pPr>
        <w:pStyle w:val="Lista2"/>
      </w:pPr>
      <w:r>
        <w:rPr>
          <w:rStyle w:val="ForeignTamilGrantha"/>
        </w:rPr>
        <w:t>𑌤𑍍𑌰𑌿𑌭𑍁</w:t>
      </w:r>
      <w:r>
        <w:rPr>
          <w:rStyle w:val="ForeignTamilGrantha"/>
          <w:rFonts w:hint="cs"/>
          <w:cs/>
        </w:rPr>
        <w:t>வ</w:t>
      </w:r>
      <w:r>
        <w:rPr>
          <w:rStyle w:val="ForeignTamilGrantha"/>
          <w:rFonts w:ascii="Nirmala UI" w:hAnsi="Nirmala UI" w:cs="Nirmala UI" w:hint="cs"/>
          <w:cs/>
        </w:rPr>
        <w:t>ன</w:t>
      </w:r>
      <w:r>
        <w:rPr>
          <w:cs/>
          <w:lang w:bidi="ta-IN"/>
        </w:rPr>
        <w:t xml:space="preserve"> </w:t>
      </w:r>
      <w:r>
        <w:rPr>
          <w:rStyle w:val="Code"/>
        </w:rPr>
        <w:t xml:space="preserve">&lt;seg </w:t>
      </w:r>
      <w:r>
        <w:rPr>
          <w:rStyle w:val="Codeattribute"/>
        </w:rPr>
        <w:t>rendition</w:t>
      </w:r>
      <w:r>
        <w:rPr>
          <w:rStyle w:val="Codetext"/>
        </w:rPr>
        <w:t>=</w:t>
      </w:r>
      <w:r>
        <w:rPr>
          <w:rStyle w:val="Codevalue"/>
        </w:rPr>
        <w:t>"class:36768 maturity:83213"</w:t>
      </w:r>
      <w:r>
        <w:rPr>
          <w:rStyle w:val="Code"/>
        </w:rPr>
        <w:t>&gt;</w:t>
      </w:r>
      <w:r>
        <w:rPr>
          <w:rStyle w:val="Codetext"/>
        </w:rPr>
        <w:t>tribhu</w:t>
      </w:r>
      <w:r>
        <w:rPr>
          <w:rStyle w:val="Code"/>
        </w:rPr>
        <w:t>&lt;/seg&gt;vaṉa</w:t>
      </w:r>
      <w:r>
        <w:t xml:space="preserve"> if the default script is Tamil</w:t>
      </w:r>
    </w:p>
    <w:p w14:paraId="3A1518A2" w14:textId="77777777">
      <w:pPr>
        <w:pStyle w:val="Lista3"/>
      </w:pPr>
      <w:r>
        <w:t xml:space="preserve">since </w:t>
      </w:r>
      <w:r>
        <w:rPr>
          <w:rStyle w:val="Foreign"/>
        </w:rPr>
        <w:t>va</w:t>
      </w:r>
      <w:r>
        <w:t xml:space="preserve"> has the same form in Tamil script and Grantha, it is considered to be in the default script</w:t>
      </w:r>
    </w:p>
    <w:p w14:paraId="565EC0DD" w14:textId="77777777">
      <w:pPr>
        <w:pStyle w:val="Lista2"/>
      </w:pPr>
      <w:r>
        <w:t xml:space="preserve">but if the default script is Vaṭṭeḻuttu, then the corresponding string would be encoded as </w:t>
      </w:r>
      <w:r>
        <w:rPr>
          <w:rStyle w:val="Code"/>
        </w:rPr>
        <w:t xml:space="preserve">&lt;seg </w:t>
      </w:r>
      <w:r>
        <w:rPr>
          <w:rStyle w:val="Codeattribute"/>
        </w:rPr>
        <w:t>rendition</w:t>
      </w:r>
      <w:r>
        <w:rPr>
          <w:rStyle w:val="Codetext"/>
        </w:rPr>
        <w:t>=</w:t>
      </w:r>
      <w:r>
        <w:rPr>
          <w:rStyle w:val="Codevalue"/>
        </w:rPr>
        <w:t>"class:36768 maturity:83213"</w:t>
      </w:r>
      <w:r>
        <w:rPr>
          <w:rStyle w:val="Code"/>
        </w:rPr>
        <w:t>&gt;</w:t>
      </w:r>
      <w:r>
        <w:rPr>
          <w:rStyle w:val="Codetext"/>
        </w:rPr>
        <w:t>tribhuva</w:t>
      </w:r>
      <w:r>
        <w:rPr>
          <w:rStyle w:val="Code"/>
        </w:rPr>
        <w:t>&lt;/seg&gt;ṉa</w:t>
      </w:r>
      <w:r>
        <w:t xml:space="preserve"> </w:t>
      </w:r>
    </w:p>
    <w:p w14:paraId="0C19B91A" w14:textId="77777777">
      <w:pPr>
        <w:pStyle w:val="Lista3"/>
      </w:pPr>
      <w:r>
        <w:t xml:space="preserve">since the </w:t>
      </w:r>
      <w:r>
        <w:rPr>
          <w:rStyle w:val="Foreign"/>
        </w:rPr>
        <w:t>va</w:t>
      </w:r>
      <w:r>
        <w:t xml:space="preserve"> seen here is not the form used in Vaṭṭeḻuttu, it has been classified as Grantha like the adjoining glyphs (although it could also be classified as Tamil)</w:t>
      </w:r>
    </w:p>
    <w:p w14:paraId="51DED39D" w14:textId="10877A47">
      <w:pPr>
        <w:pStyle w:val="Lista"/>
      </w:pPr>
      <w:r>
        <w:t>see also §</w:t>
      </w:r>
      <w:r>
        <w:fldChar w:fldCharType="begin"/>
      </w:r>
      <w:r>
        <w:instrText xml:space="preserve"> REF _Ref233727983 \r \h </w:instrText>
      </w:r>
      <w:r>
        <w:fldChar w:fldCharType="separate"/>
      </w:r>
      <w:r>
        <w:t>14.2.3</w:t>
      </w:r>
      <w:r>
        <w:fldChar w:fldCharType="end"/>
      </w:r>
      <w:r>
        <w:t xml:space="preserve"> for tagging transliterated characters as Grantha outside the edition</w:t>
      </w:r>
    </w:p>
    <w:p w14:paraId="6C691E93" w14:textId="77777777">
      <w:pPr>
        <w:pStyle w:val="Cmsor2"/>
      </w:pPr>
      <w:bookmarkStart w:id="736" w:name="_Ref231978881"/>
      <w:bookmarkStart w:id="737" w:name="_Ref231980940"/>
      <w:bookmarkStart w:id="738" w:name="_Ref231985684"/>
      <w:bookmarkStart w:id="739" w:name="_Ref43987586"/>
      <w:bookmarkStart w:id="740" w:name="_Toc243922718"/>
      <w:r>
        <w:t>Scribal hands</w:t>
      </w:r>
      <w:bookmarkEnd w:id="736"/>
      <w:bookmarkEnd w:id="737"/>
      <w:bookmarkEnd w:id="738"/>
      <w:bookmarkEnd w:id="740"/>
    </w:p>
    <w:p w14:paraId="17C6E6DD" w14:textId="79867D6A">
      <w:r>
        <w:t>In epigraphic parlance, a “hand” means a particular combination of writing features, often indicative of one scribe taking over the work of another. For the purposes of our encoding, scribal hands are distinguished from the use of different scripts (§</w:t>
      </w:r>
      <w:r>
        <w:fldChar w:fldCharType="begin"/>
      </w:r>
      <w:r>
        <w:instrText xml:space="preserve"> REF _Ref231979678 \r \h </w:instrText>
      </w:r>
      <w:r>
        <w:fldChar w:fldCharType="separate"/>
      </w:r>
      <w:r>
        <w:t>8.2</w:t>
      </w:r>
      <w:r>
        <w:fldChar w:fldCharType="end"/>
      </w:r>
      <w:r>
        <w:t>) and from the use of different lettering styles (§</w:t>
      </w:r>
      <w:r>
        <w:fldChar w:fldCharType="begin"/>
      </w:r>
      <w:r>
        <w:instrText xml:space="preserve"> REF _Ref231978934 \r \h </w:instrText>
      </w:r>
      <w:r>
        <w:fldChar w:fldCharType="separate"/>
      </w:r>
      <w:r>
        <w:t>8.4</w:t>
      </w:r>
      <w:r>
        <w:fldChar w:fldCharType="end"/>
      </w:r>
      <w:r>
        <w:t>). If your inscription is written in several, clearly distinguishable hands (as opposed to different scripts as per §</w:t>
      </w:r>
      <w:r>
        <w:fldChar w:fldCharType="begin"/>
      </w:r>
      <w:r>
        <w:instrText xml:space="preserve"> REF _Ref231979678 \r \h </w:instrText>
      </w:r>
      <w:r>
        <w:fldChar w:fldCharType="separate"/>
      </w:r>
      <w:r>
        <w:t>8.2</w:t>
      </w:r>
      <w:r>
        <w:fldChar w:fldCharType="end"/>
      </w:r>
      <w:r>
        <w:t xml:space="preserve"> or different lettering styles as per §</w:t>
      </w:r>
      <w:r>
        <w:fldChar w:fldCharType="begin"/>
      </w:r>
      <w:r>
        <w:instrText xml:space="preserve"> REF _Ref231978934 \r \h </w:instrText>
      </w:r>
      <w:r>
        <w:fldChar w:fldCharType="separate"/>
      </w:r>
      <w:r>
        <w:t>8.4</w:t>
      </w:r>
      <w:r>
        <w:fldChar w:fldCharType="end"/>
      </w:r>
      <w:r>
        <w:t xml:space="preserve">), you must first provide separate descriptions of these hands in the TEI header and associate an </w:t>
      </w:r>
      <w:r>
        <w:rPr>
          <w:rStyle w:val="Codeattribute"/>
        </w:rPr>
        <w:t>@xml:id</w:t>
      </w:r>
      <w:r>
        <w:t xml:space="preserve"> with each hand as per §</w:t>
      </w:r>
      <w:r>
        <w:fldChar w:fldCharType="begin"/>
      </w:r>
      <w:r>
        <w:instrText xml:space="preserve"> REF _Ref231980025 \r \h </w:instrText>
      </w:r>
      <w:r>
        <w:fldChar w:fldCharType="separate"/>
      </w:r>
      <w:r>
        <w:t>15.2.1.2</w:t>
      </w:r>
      <w:r>
        <w:fldChar w:fldCharType="end"/>
      </w:r>
      <w:r>
        <w:t>, and then encode where each hand appears in your edition as follows.</w:t>
      </w:r>
    </w:p>
    <w:p w14:paraId="449370B2" w14:textId="77777777">
      <w:pPr>
        <w:pStyle w:val="Lista"/>
      </w:pPr>
      <w:r>
        <w:t xml:space="preserve">at each point where writing in a particular begins, including the beginning of the text in the first hand, create the empty element </w:t>
      </w:r>
      <w:r>
        <w:rPr>
          <w:rStyle w:val="Code"/>
        </w:rPr>
        <w:t>&lt;handShift/&gt;</w:t>
      </w:r>
    </w:p>
    <w:p w14:paraId="67573048" w14:textId="77777777">
      <w:pPr>
        <w:pStyle w:val="Lista2"/>
      </w:pPr>
      <w:r>
        <w:lastRenderedPageBreak/>
        <w:t xml:space="preserve">mandatorily with the attribute </w:t>
      </w:r>
      <w:r>
        <w:rPr>
          <w:rStyle w:val="Codeattribute"/>
        </w:rPr>
        <w:t>@new</w:t>
      </w:r>
      <w:r>
        <w:t>,</w:t>
      </w:r>
      <w:r>
        <w:rPr>
          <w:rStyle w:val="Lbjegyzet-hivatkozs"/>
        </w:rPr>
        <w:footnoteReference w:id="37"/>
      </w:r>
      <w:r>
        <w:t xml:space="preserve"> whose value shall be the XML identifier associated in the TEI header with the hand in question, prefixed with a # sign</w:t>
      </w:r>
    </w:p>
    <w:p w14:paraId="16E42F46" w14:textId="77777777">
      <w:pPr>
        <w:pStyle w:val="Lista2"/>
        <w:rPr>
          <w:rStyle w:val="Code"/>
          <w:rFonts w:ascii="Gentium" w:hAnsi="Gentium" w:cs="Tiro Devanagari Sanskrit"/>
          <w:noProof w:val="0"/>
          <w:color w:val="auto"/>
          <w:shd w:val="clear" w:color="auto" w:fill="auto"/>
        </w:rPr>
      </w:pPr>
      <w:r>
        <w:t xml:space="preserve">e.g. </w:t>
      </w:r>
      <w:r>
        <w:rPr>
          <w:rStyle w:val="Code"/>
        </w:rPr>
        <w:t xml:space="preserve">&lt;handShift </w:t>
      </w:r>
      <w:r>
        <w:rPr>
          <w:rStyle w:val="Codeattribute"/>
        </w:rPr>
        <w:t>new</w:t>
      </w:r>
      <w:r>
        <w:rPr>
          <w:rStyle w:val="Code"/>
        </w:rPr>
        <w:t>=</w:t>
      </w:r>
      <w:r>
        <w:rPr>
          <w:rStyle w:val="Codevalue"/>
        </w:rPr>
        <w:t>"#hand1"</w:t>
      </w:r>
      <w:r>
        <w:rPr>
          <w:rStyle w:val="Code"/>
        </w:rPr>
        <w:t>/&gt;</w:t>
      </w:r>
    </w:p>
    <w:p w14:paraId="4AF6403C" w14:textId="34BA6662">
      <w:pPr>
        <w:pStyle w:val="Lista"/>
      </w:pPr>
      <w:r>
        <w:t xml:space="preserve">if the hand change also involves a script change (i.e. to a script inventory of a different class or different maturity), then add the attribute </w:t>
      </w:r>
      <w:r>
        <w:rPr>
          <w:rStyle w:val="Codeattribute"/>
        </w:rPr>
        <w:t>@rendition</w:t>
      </w:r>
      <w:r>
        <w:t xml:space="preserve"> (as per §</w:t>
      </w:r>
      <w:r>
        <w:fldChar w:fldCharType="begin"/>
      </w:r>
      <w:r>
        <w:instrText xml:space="preserve"> REF _Ref231978545 \r \h </w:instrText>
      </w:r>
      <w:r>
        <w:fldChar w:fldCharType="separate"/>
      </w:r>
      <w:r>
        <w:t>8.2.1</w:t>
      </w:r>
      <w:r>
        <w:fldChar w:fldCharType="end"/>
      </w:r>
      <w:r>
        <w:t xml:space="preserve">) to all instances of </w:t>
      </w:r>
      <w:r>
        <w:rPr>
          <w:rStyle w:val="Code"/>
        </w:rPr>
        <w:t>&lt;handShift/&gt;</w:t>
      </w:r>
    </w:p>
    <w:p w14:paraId="640B134A" w14:textId="2875B7B7">
      <w:pPr>
        <w:pStyle w:val="Lista2"/>
      </w:pPr>
      <w:r>
        <w:t xml:space="preserve">when script is encoded on </w:t>
      </w:r>
      <w:r>
        <w:rPr>
          <w:rStyle w:val="Code"/>
        </w:rPr>
        <w:t>&lt;handShift/&gt;</w:t>
      </w:r>
      <w:r>
        <w:t xml:space="preserve"> elements, a default script must still be encoded on the edition division itself (§</w:t>
      </w:r>
      <w:r>
        <w:fldChar w:fldCharType="begin"/>
      </w:r>
      <w:r>
        <w:instrText xml:space="preserve"> REF _Ref231978625 \r \h </w:instrText>
      </w:r>
      <w:r>
        <w:fldChar w:fldCharType="separate"/>
      </w:r>
      <w:r>
        <w:t>8.2.2</w:t>
      </w:r>
      <w:r>
        <w:fldChar w:fldCharType="end"/>
      </w:r>
      <w:r>
        <w:t>)</w:t>
      </w:r>
    </w:p>
    <w:p w14:paraId="17EFE164" w14:textId="77777777">
      <w:pPr>
        <w:pStyle w:val="Cmsor2"/>
      </w:pPr>
      <w:bookmarkStart w:id="741" w:name="_Ref231978934"/>
      <w:bookmarkStart w:id="742" w:name="_Toc243922719"/>
      <w:r>
        <w:t>Lettering</w:t>
      </w:r>
      <w:bookmarkEnd w:id="739"/>
      <w:bookmarkEnd w:id="741"/>
      <w:bookmarkEnd w:id="742"/>
    </w:p>
    <w:p w14:paraId="68A67532" w14:textId="29598EEC">
      <w:r>
        <w:rPr>
          <w:lang w:eastAsia="en-US" w:bidi="ar-SA"/>
        </w:rPr>
        <w:t xml:space="preserve">This section is concerned with </w:t>
      </w:r>
      <w:r>
        <w:t>changes in lettering, i.e. the style in which the glyphs of a particular script are formed. A change in the lettering of a written document usually conveys a deliberate emphasis on a circumscribed section of the text, and is distinguished from the use of a different script (§</w:t>
      </w:r>
      <w:r>
        <w:fldChar w:fldCharType="begin"/>
      </w:r>
      <w:r>
        <w:instrText xml:space="preserve"> REF _Ref231979678 \r \h </w:instrText>
      </w:r>
      <w:r>
        <w:fldChar w:fldCharType="separate"/>
      </w:r>
      <w:r>
        <w:t>8.2</w:t>
      </w:r>
      <w:r>
        <w:fldChar w:fldCharType="end"/>
      </w:r>
      <w:r>
        <w:t>) where the basic shapes of glyphs are selected from a different inventory of graphic signs rather than merely being executed differently, as well as from scribal hands (§</w:t>
      </w:r>
      <w:r>
        <w:fldChar w:fldCharType="begin"/>
      </w:r>
      <w:r>
        <w:instrText xml:space="preserve"> REF _Ref231985684 \r \h </w:instrText>
      </w:r>
      <w:r>
        <w:fldChar w:fldCharType="separate"/>
      </w:r>
      <w:r>
        <w:t>8.3</w:t>
      </w:r>
      <w:r>
        <w:fldChar w:fldCharType="end"/>
      </w:r>
      <w:r>
        <w:t>) which mean the individual writing styles of different persons.</w:t>
      </w:r>
    </w:p>
    <w:p w14:paraId="54EADE06" w14:textId="77777777">
      <w:pPr>
        <w:pStyle w:val="Lista"/>
      </w:pPr>
      <w:r>
        <w:t xml:space="preserve">in DHARMA editions, special lettering may be optionally encoded using the attribute </w:t>
      </w:r>
      <w:r>
        <w:rPr>
          <w:rStyle w:val="Codeattribute"/>
        </w:rPr>
        <w:t>@rend</w:t>
      </w:r>
      <w:r>
        <w:t xml:space="preserve"> with one of the following values</w:t>
      </w:r>
    </w:p>
    <w:p w14:paraId="5154645F" w14:textId="77777777">
      <w:pPr>
        <w:pStyle w:val="Lista2"/>
      </w:pPr>
      <w:r>
        <w:rPr>
          <w:rStyle w:val="Codevalue"/>
        </w:rPr>
        <w:t>"ornate"</w:t>
      </w:r>
    </w:p>
    <w:p w14:paraId="2D9B6256" w14:textId="77777777">
      <w:pPr>
        <w:pStyle w:val="Lista2"/>
      </w:pPr>
      <w:r>
        <w:rPr>
          <w:rStyle w:val="Codevalue"/>
        </w:rPr>
        <w:t>"large"</w:t>
      </w:r>
    </w:p>
    <w:p w14:paraId="3D183E35" w14:textId="77777777">
      <w:pPr>
        <w:pStyle w:val="Lista2"/>
      </w:pPr>
      <w:r>
        <w:rPr>
          <w:rStyle w:val="Codevalue"/>
        </w:rPr>
        <w:t>"small"</w:t>
      </w:r>
    </w:p>
    <w:p w14:paraId="66173D3C" w14:textId="77777777">
      <w:pPr>
        <w:pStyle w:val="Lista2"/>
      </w:pPr>
      <w:r>
        <w:rPr>
          <w:rStyle w:val="Codevalue"/>
        </w:rPr>
        <w:t>"tall"</w:t>
      </w:r>
    </w:p>
    <w:p w14:paraId="249519AA" w14:textId="77777777">
      <w:pPr>
        <w:pStyle w:val="Lista2"/>
      </w:pPr>
      <w:r>
        <w:rPr>
          <w:rStyle w:val="Codevalue"/>
        </w:rPr>
        <w:t>"wide"</w:t>
      </w:r>
    </w:p>
    <w:p w14:paraId="070653B2" w14:textId="77777777">
      <w:pPr>
        <w:pStyle w:val="Lista2"/>
      </w:pPr>
      <w:r>
        <w:rPr>
          <w:rStyle w:val="Codevalue"/>
        </w:rPr>
        <w:t>"expanded"</w:t>
      </w:r>
      <w:r>
        <w:t xml:space="preserve"> </w:t>
      </w:r>
      <w:r>
        <w:rPr>
          <w:noProof/>
        </w:rPr>
        <w:t>(</w:t>
      </w:r>
      <w:r>
        <w:t>to encode widely spaced characters)</w:t>
      </w:r>
    </w:p>
    <w:p w14:paraId="18C58B57" w14:textId="77777777">
      <w:pPr>
        <w:pStyle w:val="Lista2"/>
      </w:pPr>
      <w:r>
        <w:t xml:space="preserve">if more than one of the above is definitely relevant for a particular segment of text, more than one of the above tokens may be used in the value of </w:t>
      </w:r>
      <w:r>
        <w:rPr>
          <w:rStyle w:val="Codeattribute"/>
        </w:rPr>
        <w:t>@rend</w:t>
      </w:r>
      <w:r>
        <w:t>, in the order as listed above, and separated by spaces</w:t>
      </w:r>
    </w:p>
    <w:p w14:paraId="6D7F3A81" w14:textId="77777777">
      <w:pPr>
        <w:pStyle w:val="Lista"/>
      </w:pPr>
      <w:r>
        <w:t xml:space="preserve">when the chunk of text highlighted by different lettering is coterminous with an existing block-level container (viz. </w:t>
      </w:r>
      <w:r>
        <w:rPr>
          <w:rStyle w:val="Code"/>
        </w:rPr>
        <w:t>&lt;p&gt;</w:t>
      </w:r>
      <w:r>
        <w:t xml:space="preserve">, </w:t>
      </w:r>
      <w:r>
        <w:rPr>
          <w:rStyle w:val="Code"/>
        </w:rPr>
        <w:t>&lt;ab&gt;</w:t>
      </w:r>
      <w:r>
        <w:t xml:space="preserve">, </w:t>
      </w:r>
      <w:r>
        <w:rPr>
          <w:rStyle w:val="Code"/>
        </w:rPr>
        <w:t>&lt;lg&gt;</w:t>
      </w:r>
      <w:r>
        <w:t xml:space="preserve">, </w:t>
      </w:r>
      <w:r>
        <w:rPr>
          <w:rStyle w:val="Code"/>
        </w:rPr>
        <w:t>&lt;l&gt;</w:t>
      </w:r>
      <w:r>
        <w:t xml:space="preserve"> or </w:t>
      </w:r>
      <w:r>
        <w:rPr>
          <w:rStyle w:val="Code"/>
        </w:rPr>
        <w:t>&lt;fw&gt;</w:t>
      </w:r>
      <w:r>
        <w:t xml:space="preserve">), add </w:t>
      </w:r>
      <w:r>
        <w:rPr>
          <w:rStyle w:val="Codeattribute"/>
        </w:rPr>
        <w:t>@rend</w:t>
      </w:r>
      <w:r>
        <w:t xml:space="preserve"> to that container</w:t>
      </w:r>
    </w:p>
    <w:p w14:paraId="44F46604" w14:textId="77777777">
      <w:pPr>
        <w:pStyle w:val="Lista2"/>
      </w:pPr>
      <w:r>
        <w:t xml:space="preserve">e.g. </w:t>
      </w:r>
      <w:r>
        <w:rPr>
          <w:rStyle w:val="Code"/>
        </w:rPr>
        <w:t xml:space="preserve">&lt;ab </w:t>
      </w:r>
      <w:r>
        <w:rPr>
          <w:rStyle w:val="Codeattribute"/>
        </w:rPr>
        <w:t>rend</w:t>
      </w:r>
      <w:r>
        <w:rPr>
          <w:rStyle w:val="Code"/>
        </w:rPr>
        <w:t>=</w:t>
      </w:r>
      <w:r>
        <w:rPr>
          <w:rStyle w:val="Codevalue"/>
        </w:rPr>
        <w:t>"ornate"</w:t>
      </w:r>
      <w:r>
        <w:rPr>
          <w:rStyle w:val="Code"/>
        </w:rPr>
        <w:t>&gt;</w:t>
      </w:r>
      <w:r>
        <w:rPr>
          <w:rStyle w:val="Codetext"/>
        </w:rPr>
        <w:t>svahasto mama mahārājādhijrāja-śrīharṣasya</w:t>
      </w:r>
      <w:r>
        <w:rPr>
          <w:rStyle w:val="Code"/>
        </w:rPr>
        <w:t>&lt;/ab&gt;</w:t>
      </w:r>
    </w:p>
    <w:p w14:paraId="6EFA8ABB" w14:textId="77777777">
      <w:pPr>
        <w:pStyle w:val="Lista"/>
      </w:pPr>
      <w:r>
        <w:t xml:space="preserve">otherwise, create the element </w:t>
      </w:r>
      <w:r>
        <w:rPr>
          <w:rStyle w:val="Code"/>
        </w:rPr>
        <w:t>&lt;hi&gt;</w:t>
      </w:r>
      <w:r>
        <w:t xml:space="preserve"> (for “highlight” to wrap the chunk of text and add </w:t>
      </w:r>
      <w:r>
        <w:rPr>
          <w:rStyle w:val="Codeattribute"/>
        </w:rPr>
        <w:t>@rend</w:t>
      </w:r>
      <w:r>
        <w:t xml:space="preserve"> to this element</w:t>
      </w:r>
    </w:p>
    <w:p w14:paraId="1CA91BA0" w14:textId="77777777">
      <w:pPr>
        <w:pStyle w:val="Cmsor2"/>
      </w:pPr>
      <w:bookmarkStart w:id="743" w:name="_Toc243922720"/>
      <w:bookmarkEnd w:id="725"/>
      <w:bookmarkEnd w:id="726"/>
      <w:bookmarkEnd w:id="727"/>
      <w:r>
        <w:t>Line layout</w:t>
      </w:r>
      <w:bookmarkEnd w:id="743"/>
    </w:p>
    <w:p w14:paraId="1E958DFD" w14:textId="385C6C0A">
      <w:r>
        <w:t>As pointed out in §</w:t>
      </w:r>
      <w:r>
        <w:fldChar w:fldCharType="begin"/>
      </w:r>
      <w:r>
        <w:instrText xml:space="preserve"> REF _Ref224720139 \r \h </w:instrText>
      </w:r>
      <w:r>
        <w:fldChar w:fldCharType="separate"/>
      </w:r>
      <w:r>
        <w:t>4.5</w:t>
      </w:r>
      <w:r>
        <w:fldChar w:fldCharType="end"/>
      </w:r>
      <w:r>
        <w:t xml:space="preserve">, the concept of an epigraphic line implies no presumptions regarding the position, directionality, orientation and shape of lines. When deemed expedient, the alignment of lines and the directionality and orientation of glyphs within a line may be encoded optionally as introduced below. The attributes encoding these layout features shall be added to line beginnings in DHARMA practice, and never to any other elements. Attributes encoded on “virtual containers” such as </w:t>
      </w:r>
      <w:r>
        <w:rPr>
          <w:rStyle w:val="Code"/>
        </w:rPr>
        <w:t>&lt;lb/&gt;</w:t>
      </w:r>
      <w:r>
        <w:t xml:space="preserve"> elements are understood by convention to apply to the text from such an element up to the next element of the same kind. </w:t>
      </w:r>
    </w:p>
    <w:p w14:paraId="6A74D39C" w14:textId="77777777">
      <w:pPr>
        <w:pStyle w:val="Cmsor3"/>
      </w:pPr>
      <w:bookmarkStart w:id="744" w:name="_lj3p4hxrzblk" w:colFirst="0" w:colLast="0"/>
      <w:bookmarkStart w:id="745" w:name="_c0467s7j2myi" w:colFirst="0" w:colLast="0"/>
      <w:bookmarkStart w:id="746" w:name="_Ref43987598"/>
      <w:bookmarkStart w:id="747" w:name="_Toc243922721"/>
      <w:bookmarkEnd w:id="744"/>
      <w:bookmarkEnd w:id="745"/>
      <w:r>
        <w:t>Alignment</w:t>
      </w:r>
      <w:bookmarkEnd w:id="746"/>
      <w:bookmarkEnd w:id="747"/>
    </w:p>
    <w:p w14:paraId="1EE70A6D" w14:textId="77777777">
      <w:r>
        <w:t xml:space="preserve">We assume by default that the lines of an inscription are aligned to the left and more or less justified to the right margin. Large-scale deviations from this pattern shall not be encoded in the markup but rather discussed in your description of the layout. Individual lines aligned differently than the majority of the lines in an inscription may be optionally encoded by adding the attribute </w:t>
      </w:r>
      <w:r>
        <w:rPr>
          <w:rStyle w:val="Codeattribute"/>
        </w:rPr>
        <w:t>@style</w:t>
      </w:r>
      <w:r>
        <w:t xml:space="preserve"> to the corresponding </w:t>
      </w:r>
      <w:r>
        <w:rPr>
          <w:rStyle w:val="Code"/>
        </w:rPr>
        <w:t>&lt;lb/&gt;</w:t>
      </w:r>
      <w:r>
        <w:t xml:space="preserve"> element.</w:t>
      </w:r>
    </w:p>
    <w:p w14:paraId="2087A9A7" w14:textId="77777777">
      <w:pPr>
        <w:pStyle w:val="Lista"/>
      </w:pPr>
      <w:r>
        <w:lastRenderedPageBreak/>
        <w:t>the permitted values of</w:t>
      </w:r>
      <w:r>
        <w:rPr>
          <w:b/>
          <w:bCs/>
        </w:rPr>
        <w:t xml:space="preserve"> </w:t>
      </w:r>
      <w:r>
        <w:rPr>
          <w:rStyle w:val="Codeattribute"/>
        </w:rPr>
        <w:t>@style</w:t>
      </w:r>
      <w:r>
        <w:t xml:space="preserve"> for encoding alignment are as follows (to be used exactly as shown here, including spacing, hyphenation and US spelling)</w:t>
      </w:r>
    </w:p>
    <w:p w14:paraId="0F842C09" w14:textId="77777777">
      <w:pPr>
        <w:pStyle w:val="Lista2"/>
      </w:pPr>
      <w:r>
        <w:rPr>
          <w:rStyle w:val="Codevalue"/>
        </w:rPr>
        <w:t>"text-align: right"</w:t>
      </w:r>
      <w:r>
        <w:t xml:space="preserve"> for right-aligned text</w:t>
      </w:r>
    </w:p>
    <w:p w14:paraId="5C9A09DE" w14:textId="77777777">
      <w:pPr>
        <w:pStyle w:val="Lista2"/>
      </w:pPr>
      <w:r>
        <w:rPr>
          <w:rStyle w:val="Codevalue"/>
        </w:rPr>
        <w:t>"text-align: center"</w:t>
      </w:r>
      <w:r>
        <w:t xml:space="preserve"> for centre-aligned text</w:t>
      </w:r>
    </w:p>
    <w:p w14:paraId="1C79771F" w14:textId="77777777">
      <w:pPr>
        <w:pStyle w:val="Lista2"/>
      </w:pPr>
      <w:r>
        <w:rPr>
          <w:rStyle w:val="Codevalue"/>
        </w:rPr>
        <w:t>"text-align: left"</w:t>
      </w:r>
      <w:r>
        <w:t xml:space="preserve"> for left-aligned text</w:t>
      </w:r>
    </w:p>
    <w:p w14:paraId="7ADBA232" w14:textId="77777777">
      <w:pPr>
        <w:pStyle w:val="Lista3"/>
      </w:pPr>
      <w:r>
        <w:t>to be used only if the majority of the lines are aligned differently and this is mentioned in your layout description</w:t>
      </w:r>
    </w:p>
    <w:p w14:paraId="56EA525F" w14:textId="77777777">
      <w:pPr>
        <w:pStyle w:val="Lista2"/>
      </w:pPr>
      <w:r>
        <w:rPr>
          <w:rStyle w:val="Codevalue"/>
        </w:rPr>
        <w:t>"text-align: justify"</w:t>
      </w:r>
      <w:r>
        <w:t xml:space="preserve"> for text conspicuously justified to both margins</w:t>
      </w:r>
    </w:p>
    <w:p w14:paraId="65351D4B" w14:textId="12629C86">
      <w:pPr>
        <w:pStyle w:val="Lista3"/>
      </w:pPr>
      <w:r>
        <w:t xml:space="preserve">to be used only if the content of a line would fit in a much narrower space and the creator of the inscription deliberately made it flush with both the left and right margin by increasing inter-word or inter-character spaces in a relatively regular manner </w:t>
      </w:r>
      <w:r>
        <w:rPr>
          <w:noProof/>
        </w:rPr>
        <w:t>(</w:t>
      </w:r>
      <w:r>
        <w:t>i.e. increased spaces are present between all or most separable words of the line, or between all or most characters as applicable)</w:t>
      </w:r>
    </w:p>
    <w:tbl>
      <w:tblPr>
        <w:tblStyle w:val="CodeSampleTable"/>
        <w:tblW w:w="5000" w:type="pct"/>
        <w:tblLook w:val="04A0" w:firstRow="1" w:lastRow="0" w:firstColumn="1" w:lastColumn="0" w:noHBand="0" w:noVBand="1"/>
      </w:tblPr>
      <w:tblGrid>
        <w:gridCol w:w="9628"/>
      </w:tblGrid>
      <w:tr w14:paraId="5B0307D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1B1BF41" w14:textId="5BBF319D">
            <w:pPr>
              <w:pStyle w:val="Kpalrs"/>
            </w:pPr>
            <w:bookmarkStart w:id="748" w:name="_Ref225762134"/>
            <w:r>
              <w:t xml:space="preserve">Exhibit </w:t>
            </w:r>
            <w:fldSimple w:instr=" STYLEREF 2 \s ">
              <w:r>
                <w:rPr>
                  <w:noProof/>
                </w:rPr>
                <w:t>8.5</w:t>
              </w:r>
            </w:fldSimple>
            <w:r>
              <w:t>.</w:t>
            </w:r>
            <w:fldSimple w:instr=" SEQ Exhibit \* ALPHABETIC \s 2 ">
              <w:r>
                <w:rPr>
                  <w:noProof/>
                </w:rPr>
                <w:t>A</w:t>
              </w:r>
            </w:fldSimple>
            <w:bookmarkEnd w:id="748"/>
            <w:r>
              <w:t>: encoding line alignment</w:t>
            </w:r>
          </w:p>
        </w:tc>
      </w:tr>
      <w:tr w14:paraId="39DAE062" w14:textId="77777777">
        <w:tc>
          <w:tcPr>
            <w:tcW w:w="5000" w:type="pct"/>
            <w:vAlign w:val="center"/>
          </w:tcPr>
          <w:p w14:paraId="1E518EAA" w14:textId="77777777">
            <w:pPr>
              <w:pStyle w:val="Image"/>
              <w:widowControl/>
              <w:rPr>
                <w:rStyle w:val="Code"/>
              </w:rPr>
            </w:pPr>
            <w:r>
              <w:drawing>
                <wp:inline distT="0" distB="0" distL="0" distR="0" wp14:anchorId="536C36C7" wp14:editId="797E47A8">
                  <wp:extent cx="5397500" cy="2593340"/>
                  <wp:effectExtent l="0" t="0" r="0" b="0"/>
                  <wp:docPr id="27117076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7500" cy="2593340"/>
                          </a:xfrm>
                          <a:prstGeom prst="rect">
                            <a:avLst/>
                          </a:prstGeom>
                          <a:noFill/>
                          <a:ln>
                            <a:noFill/>
                          </a:ln>
                        </pic:spPr>
                      </pic:pic>
                    </a:graphicData>
                  </a:graphic>
                </wp:inline>
              </w:drawing>
            </w:r>
          </w:p>
        </w:tc>
      </w:tr>
      <w:tr w14:paraId="18621939" w14:textId="77777777">
        <w:tc>
          <w:tcPr>
            <w:tcW w:w="5000" w:type="pct"/>
          </w:tcPr>
          <w:p w14:paraId="1CDED42A" w14:textId="77777777">
            <w:pPr>
              <w:pStyle w:val="CodeParagraph"/>
              <w:rPr>
                <w:rStyle w:val="Code"/>
              </w:rPr>
            </w:pPr>
            <w:r>
              <w:rPr>
                <w:rStyle w:val="Code"/>
              </w:rPr>
              <w:t xml:space="preserve">&lt;lb </w:t>
            </w:r>
            <w:r>
              <w:rPr>
                <w:rStyle w:val="Codeattribute"/>
              </w:rPr>
              <w:t>n</w:t>
            </w:r>
            <w:r>
              <w:rPr>
                <w:rStyle w:val="Code"/>
              </w:rPr>
              <w:t>=</w:t>
            </w:r>
            <w:r>
              <w:rPr>
                <w:rStyle w:val="Codevalue"/>
              </w:rPr>
              <w:t>"1"</w:t>
            </w:r>
            <w:r>
              <w:rPr>
                <w:rStyle w:val="Code"/>
              </w:rPr>
              <w:t xml:space="preserve"> </w:t>
            </w:r>
            <w:r>
              <w:rPr>
                <w:rStyle w:val="Codeattribute"/>
              </w:rPr>
              <w:t>style</w:t>
            </w:r>
            <w:r>
              <w:rPr>
                <w:rStyle w:val="Code"/>
              </w:rPr>
              <w:t>=</w:t>
            </w:r>
            <w:r>
              <w:rPr>
                <w:rStyle w:val="Codevalue"/>
              </w:rPr>
              <w:t>"text-align: center"</w:t>
            </w:r>
            <w:r>
              <w:rPr>
                <w:rStyle w:val="Code"/>
              </w:rPr>
              <w:t>/&gt;&lt;ab&gt;</w:t>
            </w:r>
            <w:r>
              <w:rPr>
                <w:rStyle w:val="Codetext"/>
              </w:rPr>
              <w:t>J. R. R. Tolkien: The Hobbit</w:t>
            </w:r>
            <w:r>
              <w:rPr>
                <w:rStyle w:val="Code"/>
              </w:rPr>
              <w:t>&lt;/ab&gt;</w:t>
            </w:r>
            <w:r>
              <w:rPr>
                <w:rStyle w:val="Codetext"/>
              </w:rPr>
              <w:br/>
            </w:r>
            <w:r>
              <w:rPr>
                <w:rStyle w:val="Code"/>
              </w:rPr>
              <w:t xml:space="preserve">&lt;lb </w:t>
            </w:r>
            <w:r>
              <w:rPr>
                <w:rStyle w:val="Codeattribute"/>
              </w:rPr>
              <w:t>n</w:t>
            </w:r>
            <w:r>
              <w:rPr>
                <w:rStyle w:val="Code"/>
              </w:rPr>
              <w:t>=</w:t>
            </w:r>
            <w:r>
              <w:rPr>
                <w:rStyle w:val="Codevalue"/>
              </w:rPr>
              <w:t>"2"</w:t>
            </w:r>
            <w:r>
              <w:rPr>
                <w:rStyle w:val="Code"/>
              </w:rPr>
              <w:t>/&gt;&lt;p&gt;</w:t>
            </w:r>
            <w:r>
              <w:rPr>
                <w:rStyle w:val="Codetext"/>
              </w:rPr>
              <w:t>In a hole in the ground...</w:t>
            </w:r>
            <w:r>
              <w:rPr>
                <w:rStyle w:val="Codetext"/>
              </w:rPr>
              <w:br/>
            </w:r>
            <w:r>
              <w:rPr>
                <w:rStyle w:val="Code"/>
              </w:rPr>
              <w:t>...</w:t>
            </w:r>
          </w:p>
          <w:p w14:paraId="2B7E0A74" w14:textId="77777777">
            <w:pPr>
              <w:pStyle w:val="CodeParagraph"/>
              <w:rPr>
                <w:rStyle w:val="Code"/>
              </w:rPr>
            </w:pPr>
            <w:r>
              <w:rPr>
                <w:rStyle w:val="Code"/>
              </w:rPr>
              <w:t xml:space="preserve">&lt;lb </w:t>
            </w:r>
            <w:r>
              <w:rPr>
                <w:rStyle w:val="Codeattribute"/>
              </w:rPr>
              <w:t>n</w:t>
            </w:r>
            <w:r>
              <w:rPr>
                <w:rStyle w:val="Code"/>
              </w:rPr>
              <w:t>=</w:t>
            </w:r>
            <w:r>
              <w:rPr>
                <w:rStyle w:val="Codevalue"/>
              </w:rPr>
              <w:t>"6"</w:t>
            </w:r>
            <w:r>
              <w:rPr>
                <w:rStyle w:val="Code"/>
              </w:rPr>
              <w:t>/&gt;</w:t>
            </w:r>
            <w:r>
              <w:rPr>
                <w:rStyle w:val="Codetext"/>
              </w:rPr>
              <w:t>hobbit-hole, and that means comfort.</w:t>
            </w:r>
            <w:r>
              <w:rPr>
                <w:rStyle w:val="Code"/>
              </w:rPr>
              <w:t>&lt;/p&gt;</w:t>
            </w:r>
          </w:p>
          <w:p w14:paraId="1D63CAA7" w14:textId="77777777">
            <w:pPr>
              <w:pStyle w:val="CodeParagraph"/>
            </w:pPr>
            <w:r>
              <w:rPr>
                <w:rStyle w:val="Code"/>
              </w:rPr>
              <w:t xml:space="preserve">&lt;lb </w:t>
            </w:r>
            <w:r>
              <w:rPr>
                <w:rStyle w:val="Codeattribute"/>
              </w:rPr>
              <w:t>n</w:t>
            </w:r>
            <w:r>
              <w:rPr>
                <w:rStyle w:val="Code"/>
              </w:rPr>
              <w:t>=</w:t>
            </w:r>
            <w:r>
              <w:rPr>
                <w:rStyle w:val="Codevalue"/>
              </w:rPr>
              <w:t>"7"</w:t>
            </w:r>
            <w:r>
              <w:rPr>
                <w:rStyle w:val="Code"/>
              </w:rPr>
              <w:t xml:space="preserve"> </w:t>
            </w:r>
            <w:r>
              <w:rPr>
                <w:rStyle w:val="Codeattribute"/>
              </w:rPr>
              <w:t>style</w:t>
            </w:r>
            <w:r>
              <w:rPr>
                <w:rStyle w:val="Code"/>
              </w:rPr>
              <w:t>=</w:t>
            </w:r>
            <w:r>
              <w:rPr>
                <w:rStyle w:val="Codevalue"/>
              </w:rPr>
              <w:t>"text-align: right"</w:t>
            </w:r>
            <w:r>
              <w:rPr>
                <w:rStyle w:val="Code"/>
              </w:rPr>
              <w:t>/&gt;&lt;ab&gt;</w:t>
            </w:r>
            <w:r>
              <w:rPr>
                <w:rStyle w:val="Codetext"/>
              </w:rPr>
              <w:t>23 December 2024</w:t>
            </w:r>
            <w:r>
              <w:rPr>
                <w:rStyle w:val="Code"/>
              </w:rPr>
              <w:t>&lt;/ab&gt;</w:t>
            </w:r>
          </w:p>
        </w:tc>
      </w:tr>
    </w:tbl>
    <w:p w14:paraId="066E6E29" w14:textId="77777777">
      <w:pPr>
        <w:pStyle w:val="Cmsor3"/>
        <w:pageBreakBefore/>
        <w:spacing w:before="360"/>
      </w:pPr>
      <w:bookmarkStart w:id="749" w:name="_gjt7ggwzx2z5" w:colFirst="0" w:colLast="0"/>
      <w:bookmarkStart w:id="750" w:name="_Ref43984782"/>
      <w:bookmarkStart w:id="751" w:name="_Toc243922722"/>
      <w:bookmarkEnd w:id="749"/>
      <w:r>
        <w:lastRenderedPageBreak/>
        <w:t>Directionality and orientation</w:t>
      </w:r>
      <w:bookmarkEnd w:id="750"/>
      <w:bookmarkEnd w:id="751"/>
    </w:p>
    <w:p w14:paraId="5584D530" w14:textId="77777777">
      <w:r>
        <w:t xml:space="preserve">The default writing mode for our inscriptions is horizontal top-to-bottom, which means that lines run horizontally </w:t>
      </w:r>
      <w:r>
        <w:rPr>
          <w:noProof/>
        </w:rPr>
        <w:t>(</w:t>
      </w:r>
      <w:r>
        <w:t xml:space="preserve">and left to right in the scripts we work with), while successive lines are placed one below the other. Some inscriptions may be written throughout in a different writing mode </w:t>
      </w:r>
      <w:r>
        <w:rPr>
          <w:noProof/>
        </w:rPr>
        <w:t>(</w:t>
      </w:r>
      <w:r>
        <w:t xml:space="preserve">e.g. vertically, with lines proceeding left to right; or horizontally, with lines proceeding left to right, but in a bottom to top order); if this is the case, it should be recorded in your annotation. Lines oriented differently than the majority of the lines in an inscription may be optionally encoded by adding the attribute </w:t>
      </w:r>
      <w:r>
        <w:rPr>
          <w:rStyle w:val="Codeattribute"/>
        </w:rPr>
        <w:t>@rend</w:t>
      </w:r>
      <w:r>
        <w:t xml:space="preserve"> to the corresponding </w:t>
      </w:r>
      <w:r>
        <w:rPr>
          <w:rStyle w:val="Code"/>
        </w:rPr>
        <w:t>&lt;lb/&gt;</w:t>
      </w:r>
      <w:r>
        <w:t xml:space="preserve"> element.</w:t>
      </w:r>
      <w:r>
        <w:rPr>
          <w:rStyle w:val="Lbjegyzet-hivatkozs"/>
        </w:rPr>
        <w:footnoteReference w:id="38"/>
      </w:r>
    </w:p>
    <w:p w14:paraId="63F3786A" w14:textId="2F812D19">
      <w:pPr>
        <w:pStyle w:val="Lista"/>
        <w:keepNext/>
      </w:pPr>
      <w:r>
        <w:t>the permitted values of</w:t>
      </w:r>
      <w:r>
        <w:rPr>
          <w:b/>
          <w:bCs/>
        </w:rPr>
        <w:t xml:space="preserve"> </w:t>
      </w:r>
      <w:r>
        <w:rPr>
          <w:rStyle w:val="Codeattribute"/>
        </w:rPr>
        <w:t>@rend</w:t>
      </w:r>
      <w:r>
        <w:t xml:space="preserve"> for encoding the combinations of directionality and orientation illustrated in </w:t>
      </w:r>
      <w:r>
        <w:fldChar w:fldCharType="begin"/>
      </w:r>
      <w:r>
        <w:instrText xml:space="preserve"> REF _Ref232000441 \h </w:instrText>
      </w:r>
      <w:r>
        <w:fldChar w:fldCharType="separate"/>
      </w:r>
      <w:r>
        <w:t xml:space="preserve">Exhibit </w:t>
      </w:r>
      <w:r>
        <w:rPr>
          <w:noProof/>
        </w:rPr>
        <w:t>8.5</w:t>
      </w:r>
      <w:r>
        <w:t>.</w:t>
      </w:r>
      <w:r>
        <w:rPr>
          <w:noProof/>
        </w:rPr>
        <w:t>B</w:t>
      </w:r>
      <w:r>
        <w:fldChar w:fldCharType="end"/>
      </w:r>
      <w:r>
        <w:t>, are as follows:</w:t>
      </w:r>
    </w:p>
    <w:tbl>
      <w:tblPr>
        <w:tblStyle w:val="CodeSampleTable"/>
        <w:tblpPr w:leftFromText="181" w:rightFromText="181" w:vertAnchor="text" w:tblpXSpec="right" w:tblpY="1"/>
        <w:tblOverlap w:val="never"/>
        <w:tblW w:w="1984" w:type="pct"/>
        <w:tblLook w:val="04A0" w:firstRow="1" w:lastRow="0" w:firstColumn="1" w:lastColumn="0" w:noHBand="0" w:noVBand="1"/>
      </w:tblPr>
      <w:tblGrid>
        <w:gridCol w:w="3820"/>
      </w:tblGrid>
      <w:tr w14:paraId="7B6CFDE7"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E5F5C84" w14:textId="488EE66A">
            <w:pPr>
              <w:pStyle w:val="Kpalrs"/>
            </w:pPr>
            <w:bookmarkStart w:id="752" w:name="_Ref232000441"/>
            <w:r>
              <w:t xml:space="preserve">Exhibit </w:t>
            </w:r>
            <w:fldSimple w:instr=" STYLEREF 2 \s ">
              <w:r>
                <w:rPr>
                  <w:noProof/>
                </w:rPr>
                <w:t>8.5</w:t>
              </w:r>
            </w:fldSimple>
            <w:r>
              <w:t>.</w:t>
            </w:r>
            <w:fldSimple w:instr=" SEQ Exhibit \* ALPHABETIC \s 2 ">
              <w:r>
                <w:rPr>
                  <w:noProof/>
                </w:rPr>
                <w:t>B</w:t>
              </w:r>
            </w:fldSimple>
            <w:bookmarkEnd w:id="752"/>
            <w:r>
              <w:t>: line directionality and orientation</w:t>
            </w:r>
          </w:p>
        </w:tc>
      </w:tr>
      <w:tr w14:paraId="30C88F97" w14:textId="77777777">
        <w:tc>
          <w:tcPr>
            <w:tcW w:w="5000" w:type="pct"/>
            <w:vAlign w:val="center"/>
          </w:tcPr>
          <w:p w14:paraId="1F5591D6" w14:textId="77777777">
            <w:pPr>
              <w:pStyle w:val="Image"/>
              <w:widowControl/>
              <w:rPr>
                <w:rStyle w:val="Code"/>
              </w:rPr>
            </w:pPr>
            <w:r>
              <w:drawing>
                <wp:inline distT="0" distB="0" distL="0" distR="0" wp14:anchorId="7C8FF04A" wp14:editId="39023541">
                  <wp:extent cx="2340610" cy="3241040"/>
                  <wp:effectExtent l="0" t="0" r="2540" b="0"/>
                  <wp:docPr id="56706050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340610" cy="3241040"/>
                          </a:xfrm>
                          <a:prstGeom prst="rect">
                            <a:avLst/>
                          </a:prstGeom>
                          <a:noFill/>
                          <a:ln>
                            <a:noFill/>
                          </a:ln>
                        </pic:spPr>
                      </pic:pic>
                    </a:graphicData>
                  </a:graphic>
                </wp:inline>
              </w:drawing>
            </w:r>
          </w:p>
        </w:tc>
      </w:tr>
    </w:tbl>
    <w:p w14:paraId="19396D53" w14:textId="77777777">
      <w:pPr>
        <w:pStyle w:val="Lista2"/>
      </w:pPr>
      <w:r>
        <w:t xml:space="preserve"> A. </w:t>
      </w:r>
      <w:r>
        <w:rPr>
          <w:rStyle w:val="Codevalue"/>
        </w:rPr>
        <w:t>"bt-rotated"</w:t>
      </w:r>
      <w:r>
        <w:t xml:space="preserve"> – bottom to top, with the tops of characters facing left</w:t>
      </w:r>
    </w:p>
    <w:p w14:paraId="4B23B7FB" w14:textId="77777777">
      <w:pPr>
        <w:pStyle w:val="Lista2"/>
      </w:pPr>
      <w:r>
        <w:t xml:space="preserve">B. </w:t>
      </w:r>
      <w:r>
        <w:rPr>
          <w:rStyle w:val="Codevalue"/>
        </w:rPr>
        <w:t>"tb-rotated"</w:t>
      </w:r>
      <w:r>
        <w:t xml:space="preserve"> – top to bottom, with the tops of characters facing right</w:t>
      </w:r>
    </w:p>
    <w:p w14:paraId="3456062E" w14:textId="77777777">
      <w:pPr>
        <w:pStyle w:val="Lista2"/>
      </w:pPr>
      <w:r>
        <w:t xml:space="preserve">C. </w:t>
      </w:r>
      <w:r>
        <w:rPr>
          <w:rStyle w:val="Codevalue"/>
        </w:rPr>
        <w:t>"bt-upright"</w:t>
      </w:r>
      <w:r>
        <w:t xml:space="preserve"> – bottom to top, with the tops of characters facing upward</w:t>
      </w:r>
    </w:p>
    <w:p w14:paraId="6337DF10" w14:textId="77777777">
      <w:pPr>
        <w:pStyle w:val="Lista2"/>
      </w:pPr>
      <w:r>
        <w:t xml:space="preserve">D. </w:t>
      </w:r>
      <w:r>
        <w:rPr>
          <w:rStyle w:val="Codevalue"/>
        </w:rPr>
        <w:t>"tb-upright"</w:t>
      </w:r>
      <w:r>
        <w:t xml:space="preserve"> – top to bottom, with the tops of characters facing upward</w:t>
      </w:r>
    </w:p>
    <w:p w14:paraId="7175462C" w14:textId="77777777">
      <w:pPr>
        <w:pStyle w:val="Lista2"/>
      </w:pPr>
      <w:r>
        <w:t xml:space="preserve">E. </w:t>
      </w:r>
      <w:r>
        <w:rPr>
          <w:rStyle w:val="Codevalue"/>
        </w:rPr>
        <w:t>"rl-upright"</w:t>
      </w:r>
      <w:r>
        <w:t xml:space="preserve"> – right to left, with characters in their regular orientation</w:t>
      </w:r>
    </w:p>
    <w:p w14:paraId="3B11EC43" w14:textId="77777777">
      <w:pPr>
        <w:pStyle w:val="Lista2"/>
      </w:pPr>
      <w:r>
        <w:t xml:space="preserve">F. </w:t>
      </w:r>
      <w:r>
        <w:rPr>
          <w:rStyle w:val="Codevalue"/>
        </w:rPr>
        <w:t>"rl-flipped"</w:t>
      </w:r>
      <w:r>
        <w:t xml:space="preserve"> – right to left, with characters mirrored around their vertical axis as in true boustrophedon</w:t>
      </w:r>
    </w:p>
    <w:p w14:paraId="39A19DEF" w14:textId="77777777">
      <w:pPr>
        <w:pStyle w:val="Lista2"/>
      </w:pPr>
      <w:r>
        <w:t xml:space="preserve">G. </w:t>
      </w:r>
      <w:r>
        <w:rPr>
          <w:rStyle w:val="Codevalue"/>
        </w:rPr>
        <w:t>"rl-rotated"</w:t>
      </w:r>
      <w:r>
        <w:t xml:space="preserve"> – right to left, with the tops of characters facing downward</w:t>
      </w:r>
    </w:p>
    <w:p w14:paraId="650EDE45" w14:textId="3CEF0B26">
      <w:pPr>
        <w:pStyle w:val="Lista2"/>
      </w:pPr>
      <w:r>
        <w:t>should you encounter any other combination of directionality and orientation</w:t>
      </w:r>
      <w:r>
        <w:rPr>
          <w:noProof/>
        </w:rPr>
        <w:t>, leave it without encoding and describe it in your annotation</w:t>
      </w:r>
    </w:p>
    <w:p w14:paraId="0671E66B" w14:textId="77777777"/>
    <w:p w14:paraId="5AA1592E" w14:textId="77777777">
      <w:pPr>
        <w:pStyle w:val="Cmsor1"/>
      </w:pPr>
      <w:bookmarkStart w:id="753" w:name="_Ref232002354"/>
      <w:bookmarkStart w:id="754" w:name="_Toc243922723"/>
      <w:r>
        <w:lastRenderedPageBreak/>
        <w:t>Interpretive and analytical markup</w:t>
      </w:r>
      <w:bookmarkEnd w:id="753"/>
      <w:bookmarkEnd w:id="754"/>
    </w:p>
    <w:p w14:paraId="7AE73065" w14:textId="77D48A92">
      <w:r>
        <w:t>One of the great strengths of TEI is that it allows tagging specific chunks of the text (as interpreted by the editor) with information that can then be used for the analysis of semantic content, linguistic structures, narrative elements or other features. However, a documentary edition encoded in EpiDoc tends to contain a great amount of highly granular code, and attempting to combine this encoding with interpretive/analytical markup will in most cases result in a proliferation of overlapping hierarchies (§</w:t>
      </w:r>
      <w:r>
        <w:fldChar w:fldCharType="begin"/>
      </w:r>
      <w:r>
        <w:instrText xml:space="preserve"> REF _Ref224893456 \r \h </w:instrText>
      </w:r>
      <w:r>
        <w:fldChar w:fldCharType="separate"/>
      </w:r>
      <w:r>
        <w:t>2.2.4</w:t>
      </w:r>
      <w:r>
        <w:fldChar w:fldCharType="end"/>
      </w:r>
      <w:r>
        <w:t>). Therefore, in DHARMA editions we habitually encode only a minimum of interpretive information, namely that pertaining to numbers (§</w:t>
      </w:r>
      <w:r>
        <w:fldChar w:fldCharType="begin"/>
      </w:r>
      <w:r>
        <w:instrText xml:space="preserve"> REF _Ref231894384 \r \h </w:instrText>
      </w:r>
      <w:r>
        <w:fldChar w:fldCharType="separate"/>
      </w:r>
      <w:r>
        <w:t>9.1</w:t>
      </w:r>
      <w:r>
        <w:fldChar w:fldCharType="end"/>
      </w:r>
      <w:r>
        <w:t>) and, optionally, to abbreviations (§</w:t>
      </w:r>
      <w:r>
        <w:fldChar w:fldCharType="begin"/>
      </w:r>
      <w:r>
        <w:instrText xml:space="preserve"> REF _Ref232002201 \r \h </w:instrText>
      </w:r>
      <w:r>
        <w:fldChar w:fldCharType="separate"/>
      </w:r>
      <w:r>
        <w:t>9.2</w:t>
      </w:r>
      <w:r>
        <w:fldChar w:fldCharType="end"/>
      </w:r>
      <w:r>
        <w:t>). A number of other encoding methods useful for analytical purposes (§</w:t>
      </w:r>
      <w:r>
        <w:fldChar w:fldCharType="begin"/>
      </w:r>
      <w:r>
        <w:instrText xml:space="preserve"> REF _Ref232173896 \r \h </w:instrText>
      </w:r>
      <w:r>
        <w:fldChar w:fldCharType="separate"/>
      </w:r>
      <w:r>
        <w:t>14.7.3</w:t>
      </w:r>
      <w:r>
        <w:fldChar w:fldCharType="end"/>
      </w:r>
      <w:r>
        <w:t>) are permitted in the DHARMA schema and may be used in the editions as well as in other divisions of our XML documents, but their use is not encouraged in our editions and not provided for in these guidelines.</w:t>
      </w:r>
    </w:p>
    <w:p w14:paraId="1238881B" w14:textId="77777777">
      <w:pPr>
        <w:pStyle w:val="Cmsor2"/>
      </w:pPr>
      <w:bookmarkStart w:id="755" w:name="_vj2ep179y4tp" w:colFirst="0" w:colLast="0"/>
      <w:bookmarkStart w:id="756" w:name="_alr4dlls2gjb" w:colFirst="0" w:colLast="0"/>
      <w:bookmarkStart w:id="757" w:name="_Ref43980607"/>
      <w:bookmarkStart w:id="758" w:name="_Ref231894384"/>
      <w:bookmarkStart w:id="759" w:name="_Toc243922724"/>
      <w:bookmarkEnd w:id="755"/>
      <w:bookmarkEnd w:id="756"/>
      <w:r>
        <w:t>Number</w:t>
      </w:r>
      <w:bookmarkEnd w:id="757"/>
      <w:r>
        <w:t>s</w:t>
      </w:r>
      <w:bookmarkEnd w:id="758"/>
      <w:bookmarkEnd w:id="759"/>
    </w:p>
    <w:p w14:paraId="1DCA3F90" w14:textId="77777777">
      <w:pPr>
        <w:rPr>
          <w:lang w:eastAsia="en-US" w:bidi="ar-SA"/>
        </w:rPr>
      </w:pPr>
      <w:r>
        <w:rPr>
          <w:lang w:eastAsia="en-US" w:bidi="ar-SA"/>
        </w:rPr>
        <w:t xml:space="preserve">TEI provides dedicated markup for the semantic tagging of numbers found in source documents. In addition to making it explicit that a certain chunk of text signifies a number, this allows us to record the value of the number for straightforward machine interpretability. </w:t>
      </w:r>
      <w:r>
        <w:t>The following subsections detail the use of this encoding in DHARMA editions.</w:t>
      </w:r>
    </w:p>
    <w:p w14:paraId="72F54349" w14:textId="77777777">
      <w:pPr>
        <w:pStyle w:val="Cmsor3"/>
      </w:pPr>
      <w:bookmarkStart w:id="760" w:name="_u6q2l31rs9n0" w:colFirst="0" w:colLast="0"/>
      <w:bookmarkStart w:id="761" w:name="_Toc243922725"/>
      <w:bookmarkEnd w:id="760"/>
      <w:r>
        <w:t>Encoding numbers</w:t>
      </w:r>
      <w:bookmarkEnd w:id="761"/>
    </w:p>
    <w:p w14:paraId="46234EC4" w14:textId="77777777">
      <w:pPr>
        <w:pStyle w:val="Lista"/>
      </w:pPr>
      <w:r>
        <w:t xml:space="preserve">the element for the semantic tagging of numbers is </w:t>
      </w:r>
      <w:r>
        <w:rPr>
          <w:rStyle w:val="Code"/>
        </w:rPr>
        <w:t>&lt;num&gt;</w:t>
      </w:r>
      <w:r>
        <w:t xml:space="preserve"> (for “number”)</w:t>
      </w:r>
    </w:p>
    <w:p w14:paraId="539189CC" w14:textId="77777777">
      <w:pPr>
        <w:pStyle w:val="Lista"/>
      </w:pPr>
      <w:r>
        <w:t xml:space="preserve">in DHARMA practice, </w:t>
      </w:r>
      <w:r>
        <w:rPr>
          <w:rStyle w:val="Code"/>
        </w:rPr>
        <w:t>&lt;num&gt;</w:t>
      </w:r>
      <w:r>
        <w:t xml:space="preserve"> is used with the following attributes</w:t>
      </w:r>
    </w:p>
    <w:p w14:paraId="116033B9" w14:textId="17609080">
      <w:pPr>
        <w:pStyle w:val="Lista2"/>
      </w:pPr>
      <w:r>
        <w:t xml:space="preserve">in most cases, </w:t>
      </w:r>
      <w:r>
        <w:rPr>
          <w:rStyle w:val="Codeattribute"/>
        </w:rPr>
        <w:t>@value</w:t>
      </w:r>
      <w:r>
        <w:t xml:space="preserve"> as per §</w:t>
      </w:r>
      <w:r>
        <w:fldChar w:fldCharType="begin"/>
      </w:r>
      <w:r>
        <w:instrText xml:space="preserve"> REF _Ref231895976 \r \h </w:instrText>
      </w:r>
      <w:r>
        <w:fldChar w:fldCharType="separate"/>
      </w:r>
      <w:r>
        <w:t>9.1.1.1</w:t>
      </w:r>
      <w:r>
        <w:fldChar w:fldCharType="end"/>
      </w:r>
    </w:p>
    <w:p w14:paraId="32AD072A" w14:textId="48E057E0">
      <w:pPr>
        <w:pStyle w:val="Lista2"/>
      </w:pPr>
      <w:r>
        <w:t xml:space="preserve">as applicable, </w:t>
      </w:r>
      <w:r>
        <w:rPr>
          <w:rStyle w:val="Codeattribute"/>
        </w:rPr>
        <w:t>@cert</w:t>
      </w:r>
      <w:r>
        <w:t xml:space="preserve"> as per §</w:t>
      </w:r>
      <w:r>
        <w:fldChar w:fldCharType="begin"/>
      </w:r>
      <w:r>
        <w:instrText xml:space="preserve"> REF _Ref231892505 \r \h </w:instrText>
      </w:r>
      <w:r>
        <w:fldChar w:fldCharType="separate"/>
      </w:r>
      <w:r>
        <w:t>9.1.3</w:t>
      </w:r>
      <w:r>
        <w:fldChar w:fldCharType="end"/>
      </w:r>
    </w:p>
    <w:p w14:paraId="32F8B09F" w14:textId="227223CA">
      <w:pPr>
        <w:pStyle w:val="Lista2"/>
      </w:pPr>
      <w:r>
        <w:t xml:space="preserve">as applicable, </w:t>
      </w:r>
      <w:r>
        <w:rPr>
          <w:rStyle w:val="Codeattribute"/>
        </w:rPr>
        <w:t>@atLeast</w:t>
      </w:r>
      <w:r>
        <w:t xml:space="preserve"> and </w:t>
      </w:r>
      <w:r>
        <w:rPr>
          <w:rStyle w:val="Codeattribute"/>
        </w:rPr>
        <w:t>@atMost</w:t>
      </w:r>
      <w:r>
        <w:t xml:space="preserve"> as per §</w:t>
      </w:r>
      <w:r>
        <w:fldChar w:fldCharType="begin"/>
      </w:r>
      <w:r>
        <w:instrText xml:space="preserve"> REF _Ref231892505 \r \h </w:instrText>
      </w:r>
      <w:r>
        <w:fldChar w:fldCharType="separate"/>
      </w:r>
      <w:r>
        <w:t>9.1.3</w:t>
      </w:r>
      <w:r>
        <w:fldChar w:fldCharType="end"/>
      </w:r>
    </w:p>
    <w:p w14:paraId="099C9FDA" w14:textId="77777777">
      <w:pPr>
        <w:pStyle w:val="Lista"/>
      </w:pPr>
      <w:r>
        <w:t>this element is used as a single container for wrapping all the characters of the source that together signify a single number, not for individual numeral signs (unless they signify a number on their own)</w:t>
      </w:r>
    </w:p>
    <w:p w14:paraId="58AD2ABC" w14:textId="77777777">
      <w:pPr>
        <w:pStyle w:val="Cmsor4"/>
      </w:pPr>
      <w:bookmarkStart w:id="762" w:name="_Ref231895976"/>
      <w:r>
        <w:t>The value of numbers</w:t>
      </w:r>
      <w:bookmarkEnd w:id="762"/>
    </w:p>
    <w:p w14:paraId="064D6583" w14:textId="77777777">
      <w:pPr>
        <w:pStyle w:val="Lista"/>
      </w:pPr>
      <w:r>
        <w:t xml:space="preserve">the element </w:t>
      </w:r>
      <w:r>
        <w:rPr>
          <w:rStyle w:val="Code"/>
        </w:rPr>
        <w:t>&lt;num&gt;</w:t>
      </w:r>
      <w:r>
        <w:t xml:space="preserve"> must, as a rule, have the attribute </w:t>
      </w:r>
      <w:r>
        <w:rPr>
          <w:rStyle w:val="Codeattribute"/>
        </w:rPr>
        <w:t>@value</w:t>
      </w:r>
      <w:r>
        <w:t>, recording in a machine-readable form the final value of the entire number within the element</w:t>
      </w:r>
    </w:p>
    <w:p w14:paraId="623C05B0" w14:textId="77777777">
      <w:pPr>
        <w:pStyle w:val="Lista"/>
      </w:pPr>
      <w:r>
        <w:t xml:space="preserve">fractions shall be represented in this attribute as decimal fractions, never dropping the 0 before fractions smaller than 1 and always using a decimal point, not a different decimal marker, e.g. </w:t>
      </w:r>
      <w:r>
        <w:rPr>
          <w:rStyle w:val="Code"/>
        </w:rPr>
        <w:t xml:space="preserve">&lt;num </w:t>
      </w:r>
      <w:r>
        <w:rPr>
          <w:rStyle w:val="Codeattribute"/>
        </w:rPr>
        <w:t>value</w:t>
      </w:r>
      <w:r>
        <w:rPr>
          <w:rStyle w:val="Code"/>
        </w:rPr>
        <w:t>=</w:t>
      </w:r>
      <w:r>
        <w:rPr>
          <w:rStyle w:val="Codevalue"/>
        </w:rPr>
        <w:t>"0.5"</w:t>
      </w:r>
      <w:r>
        <w:rPr>
          <w:rStyle w:val="Code"/>
        </w:rPr>
        <w:t>&gt;</w:t>
      </w:r>
    </w:p>
    <w:p w14:paraId="33B32C7F" w14:textId="77777777">
      <w:pPr>
        <w:pStyle w:val="Lista2"/>
      </w:pPr>
      <w:r>
        <w:t xml:space="preserve">round the value to three digits after the decimal point for any fractions that would require a longer (or infinite) sequence of digits, e.g. encode ⅓  as </w:t>
      </w:r>
      <w:r>
        <w:rPr>
          <w:rStyle w:val="Code"/>
        </w:rPr>
        <w:t xml:space="preserve">&lt;num </w:t>
      </w:r>
      <w:r>
        <w:rPr>
          <w:rStyle w:val="Codeattribute"/>
        </w:rPr>
        <w:t>value</w:t>
      </w:r>
      <w:r>
        <w:rPr>
          <w:rStyle w:val="Code"/>
        </w:rPr>
        <w:t>=</w:t>
      </w:r>
      <w:r>
        <w:rPr>
          <w:rStyle w:val="Codevalue"/>
        </w:rPr>
        <w:t>"0.333"</w:t>
      </w:r>
      <w:r>
        <w:rPr>
          <w:rStyle w:val="Code"/>
        </w:rPr>
        <w:t>&gt;</w:t>
      </w:r>
      <w:r>
        <w:t xml:space="preserve"> and one sixteenth as </w:t>
      </w:r>
      <w:r>
        <w:rPr>
          <w:rStyle w:val="Code"/>
        </w:rPr>
        <w:t xml:space="preserve">&lt;num </w:t>
      </w:r>
      <w:r>
        <w:rPr>
          <w:rStyle w:val="Codeattribute"/>
        </w:rPr>
        <w:t>value</w:t>
      </w:r>
      <w:r>
        <w:rPr>
          <w:rStyle w:val="Code"/>
        </w:rPr>
        <w:t>=</w:t>
      </w:r>
      <w:r>
        <w:rPr>
          <w:rStyle w:val="Codevalue"/>
        </w:rPr>
        <w:t>"0.063"</w:t>
      </w:r>
      <w:r>
        <w:rPr>
          <w:rStyle w:val="Code"/>
        </w:rPr>
        <w:t>&gt;</w:t>
      </w:r>
    </w:p>
    <w:p w14:paraId="7BBECBC4" w14:textId="77777777">
      <w:pPr>
        <w:pStyle w:val="Cmsor3"/>
      </w:pPr>
      <w:bookmarkStart w:id="763" w:name="_Toc243922726"/>
      <w:r>
        <w:t>When and how to encode numbers</w:t>
      </w:r>
      <w:bookmarkEnd w:id="763"/>
    </w:p>
    <w:p w14:paraId="619C10EB" w14:textId="77777777">
      <w:pPr>
        <w:pStyle w:val="Cmsor4"/>
      </w:pPr>
      <w:r>
        <w:t>Numbers expressed by numeral signs</w:t>
      </w:r>
    </w:p>
    <w:p w14:paraId="3B41E4CF" w14:textId="77777777">
      <w:pPr>
        <w:pStyle w:val="Lista"/>
      </w:pPr>
      <w:r>
        <w:t xml:space="preserve">semantic encoding with </w:t>
      </w:r>
      <w:r>
        <w:rPr>
          <w:rStyle w:val="Code"/>
        </w:rPr>
        <w:t>&lt;num&gt;</w:t>
      </w:r>
      <w:r>
        <w:t xml:space="preserve"> is mandatory for all numbers recorded in numeral signs</w:t>
      </w:r>
    </w:p>
    <w:p w14:paraId="69F3A014" w14:textId="77777777">
      <w:pPr>
        <w:pStyle w:val="Lista2"/>
      </w:pPr>
      <w:r>
        <w:t>this includes both decimal place-value notation and other numeral notation systems</w:t>
      </w:r>
    </w:p>
    <w:p w14:paraId="42511906" w14:textId="49F3FB3A">
      <w:pPr>
        <w:pStyle w:val="Lista2"/>
      </w:pPr>
      <w:r>
        <w:t>note, however, that semantic encoding is not applicable when a glyph that normally represents a number is employed in a different function, as discussed in §</w:t>
      </w:r>
      <w:r>
        <w:fldChar w:fldCharType="begin"/>
      </w:r>
      <w:r>
        <w:instrText xml:space="preserve"> REF _Ref226033797 \r \h </w:instrText>
      </w:r>
      <w:r>
        <w:fldChar w:fldCharType="separate"/>
      </w:r>
      <w:r>
        <w:t>5.2.3</w:t>
      </w:r>
      <w:r>
        <w:fldChar w:fldCharType="end"/>
      </w:r>
    </w:p>
    <w:p w14:paraId="3C39DB63" w14:textId="1BF05F37">
      <w:pPr>
        <w:pStyle w:val="Lista"/>
      </w:pPr>
      <w:r>
        <w:t xml:space="preserve">encoding with </w:t>
      </w:r>
      <w:r>
        <w:rPr>
          <w:rStyle w:val="Code"/>
        </w:rPr>
        <w:t>&lt;num&gt;</w:t>
      </w:r>
      <w:r>
        <w:t xml:space="preserve"> does not replace the </w:t>
      </w:r>
      <w:r>
        <w:rPr>
          <w:rStyle w:val="Code"/>
        </w:rPr>
        <w:t>&lt;g&gt;</w:t>
      </w:r>
      <w:r>
        <w:t xml:space="preserve"> element for numeral signs transliterated by something other than a single Unicode character (§</w:t>
      </w:r>
      <w:r>
        <w:fldChar w:fldCharType="begin"/>
      </w:r>
      <w:r>
        <w:instrText xml:space="preserve"> REF _Ref182551676 \r \h </w:instrText>
      </w:r>
      <w:r>
        <w:fldChar w:fldCharType="separate"/>
      </w:r>
      <w:r>
        <w:t>5.3.5</w:t>
      </w:r>
      <w:r>
        <w:fldChar w:fldCharType="end"/>
      </w:r>
      <w:r>
        <w:t>)</w:t>
      </w:r>
    </w:p>
    <w:p w14:paraId="12A24780" w14:textId="77777777">
      <w:pPr>
        <w:pStyle w:val="Lista2"/>
      </w:pPr>
      <w:r>
        <w:t xml:space="preserve">when </w:t>
      </w:r>
      <w:r>
        <w:rPr>
          <w:rStyle w:val="Code"/>
        </w:rPr>
        <w:t>&lt;g&gt;</w:t>
      </w:r>
      <w:r>
        <w:t xml:space="preserve"> is present, </w:t>
      </w:r>
      <w:r>
        <w:rPr>
          <w:rStyle w:val="Code"/>
        </w:rPr>
        <w:t>&lt;num&gt;</w:t>
      </w:r>
      <w:r>
        <w:t xml:space="preserve"> must contain </w:t>
      </w:r>
      <w:r>
        <w:rPr>
          <w:rStyle w:val="Code"/>
        </w:rPr>
        <w:t>&lt;g&gt;</w:t>
      </w:r>
      <w:r>
        <w:t>, not the other way round</w:t>
      </w:r>
    </w:p>
    <w:p w14:paraId="769DA781" w14:textId="77777777">
      <w:pPr>
        <w:pStyle w:val="Lista"/>
      </w:pPr>
      <w:r>
        <w:t xml:space="preserve">a single </w:t>
      </w:r>
      <w:r>
        <w:rPr>
          <w:rStyle w:val="Code"/>
        </w:rPr>
        <w:t>&lt;num&gt;</w:t>
      </w:r>
      <w:r>
        <w:t xml:space="preserve"> element wraps all of the numeral signs that together express a single number</w:t>
      </w:r>
    </w:p>
    <w:p w14:paraId="192FEDF0" w14:textId="77777777">
      <w:pPr>
        <w:pStyle w:val="Lista"/>
      </w:pPr>
      <w:r>
        <w:lastRenderedPageBreak/>
        <w:t>examples of encoded numbers</w:t>
      </w:r>
    </w:p>
    <w:p w14:paraId="5EC7BD38" w14:textId="77777777">
      <w:pPr>
        <w:pStyle w:val="Lista2"/>
      </w:pPr>
      <w:r>
        <w:t>“three” denoted by a numeral glyph</w:t>
      </w:r>
    </w:p>
    <w:p w14:paraId="2FB2ED8E" w14:textId="77777777">
      <w:pPr>
        <w:pStyle w:val="Lista3"/>
      </w:pPr>
      <w:r>
        <w:rPr>
          <w:rStyle w:val="Code"/>
        </w:rPr>
        <w:t xml:space="preserve">&lt;num </w:t>
      </w:r>
      <w:r>
        <w:rPr>
          <w:rStyle w:val="Codeattribute"/>
        </w:rPr>
        <w:t>value</w:t>
      </w:r>
      <w:r>
        <w:rPr>
          <w:rStyle w:val="Code"/>
        </w:rPr>
        <w:t>=</w:t>
      </w:r>
      <w:r>
        <w:rPr>
          <w:rStyle w:val="Codevalue"/>
        </w:rPr>
        <w:t>"3"</w:t>
      </w:r>
      <w:r>
        <w:rPr>
          <w:rStyle w:val="Code"/>
        </w:rPr>
        <w:t>&gt;</w:t>
      </w:r>
      <w:r>
        <w:rPr>
          <w:rStyle w:val="Codetext"/>
        </w:rPr>
        <w:t>3</w:t>
      </w:r>
      <w:r>
        <w:rPr>
          <w:rStyle w:val="Code"/>
        </w:rPr>
        <w:t>&lt;/num&gt;</w:t>
      </w:r>
    </w:p>
    <w:p w14:paraId="7E501CC0" w14:textId="77777777">
      <w:pPr>
        <w:pStyle w:val="Lista2"/>
      </w:pPr>
      <w:r>
        <w:t xml:space="preserve">“three” denoted by three vertical bars </w:t>
      </w:r>
    </w:p>
    <w:p w14:paraId="626BEC7B" w14:textId="77777777">
      <w:pPr>
        <w:pStyle w:val="Lista3"/>
      </w:pPr>
      <w:r>
        <w:rPr>
          <w:rStyle w:val="Code"/>
        </w:rPr>
        <w:t xml:space="preserve">&lt;num </w:t>
      </w:r>
      <w:r>
        <w:rPr>
          <w:rStyle w:val="Codeattribute"/>
        </w:rPr>
        <w:t>value</w:t>
      </w:r>
      <w:r>
        <w:rPr>
          <w:rStyle w:val="Code"/>
        </w:rPr>
        <w:t>=</w:t>
      </w:r>
      <w:r>
        <w:rPr>
          <w:rStyle w:val="Codevalue"/>
        </w:rPr>
        <w:t>"3"</w:t>
      </w:r>
      <w:r>
        <w:rPr>
          <w:rStyle w:val="Code"/>
        </w:rPr>
        <w:t xml:space="preserve">&gt;&lt;g </w:t>
      </w:r>
      <w:r>
        <w:rPr>
          <w:rStyle w:val="Codeattribute"/>
        </w:rPr>
        <w:t>type</w:t>
      </w:r>
      <w:r>
        <w:rPr>
          <w:rStyle w:val="Code"/>
        </w:rPr>
        <w:t>=</w:t>
      </w:r>
      <w:r>
        <w:rPr>
          <w:rStyle w:val="Codevalue"/>
        </w:rPr>
        <w:t>"numeral"</w:t>
      </w:r>
      <w:r>
        <w:rPr>
          <w:rStyle w:val="Code"/>
        </w:rPr>
        <w:t>&gt;</w:t>
      </w:r>
      <w:r>
        <w:rPr>
          <w:rStyle w:val="Codetext"/>
        </w:rPr>
        <w:t>III</w:t>
      </w:r>
      <w:r>
        <w:rPr>
          <w:rStyle w:val="Code"/>
        </w:rPr>
        <w:t>&lt;/g&gt;&lt;/num&gt;</w:t>
      </w:r>
    </w:p>
    <w:p w14:paraId="615C18E7" w14:textId="77777777">
      <w:pPr>
        <w:pStyle w:val="Lista2"/>
      </w:pPr>
      <w:r>
        <w:t>“one hundred and twenty-three” written in place value notation</w:t>
      </w:r>
    </w:p>
    <w:p w14:paraId="2534372D" w14:textId="77777777">
      <w:pPr>
        <w:pStyle w:val="Lista3"/>
      </w:pPr>
      <w:r>
        <w:rPr>
          <w:rStyle w:val="Code"/>
        </w:rPr>
        <w:t xml:space="preserve">&lt;num </w:t>
      </w:r>
      <w:r>
        <w:rPr>
          <w:rStyle w:val="Codeattribute"/>
        </w:rPr>
        <w:t>value</w:t>
      </w:r>
      <w:r>
        <w:rPr>
          <w:rStyle w:val="Code"/>
        </w:rPr>
        <w:t>=</w:t>
      </w:r>
      <w:r>
        <w:rPr>
          <w:rStyle w:val="Codevalue"/>
        </w:rPr>
        <w:t>"123"</w:t>
      </w:r>
      <w:r>
        <w:rPr>
          <w:rStyle w:val="Code"/>
        </w:rPr>
        <w:t>&gt;</w:t>
      </w:r>
      <w:r>
        <w:rPr>
          <w:rStyle w:val="Codetext"/>
        </w:rPr>
        <w:t>123</w:t>
      </w:r>
      <w:r>
        <w:rPr>
          <w:rStyle w:val="Code"/>
        </w:rPr>
        <w:t>&lt;/num&gt;</w:t>
      </w:r>
    </w:p>
    <w:p w14:paraId="5F358A58" w14:textId="77777777">
      <w:pPr>
        <w:pStyle w:val="Lista2"/>
      </w:pPr>
      <w:r>
        <w:t>“one hundred and twenty-three” written in additive notation as |100| + |20| + 3</w:t>
      </w:r>
    </w:p>
    <w:p w14:paraId="2409395F" w14:textId="77777777">
      <w:pPr>
        <w:pStyle w:val="Lista3"/>
      </w:pPr>
      <w:r>
        <w:rPr>
          <w:rStyle w:val="Code"/>
        </w:rPr>
        <w:t xml:space="preserve">&lt;num </w:t>
      </w:r>
      <w:r>
        <w:rPr>
          <w:rStyle w:val="Codeattribute"/>
        </w:rPr>
        <w:t>value</w:t>
      </w:r>
      <w:r>
        <w:rPr>
          <w:rStyle w:val="Code"/>
        </w:rPr>
        <w:t>=</w:t>
      </w:r>
      <w:r>
        <w:rPr>
          <w:rStyle w:val="Codevalue"/>
        </w:rPr>
        <w:t>"123"</w:t>
      </w:r>
      <w:r>
        <w:rPr>
          <w:rStyle w:val="Code"/>
        </w:rPr>
        <w:t xml:space="preserve">&gt;&lt;g </w:t>
      </w:r>
      <w:r>
        <w:rPr>
          <w:rStyle w:val="Codeattribute"/>
        </w:rPr>
        <w:t>type</w:t>
      </w:r>
      <w:r>
        <w:rPr>
          <w:rStyle w:val="Code"/>
        </w:rPr>
        <w:t>=</w:t>
      </w:r>
      <w:r>
        <w:rPr>
          <w:rStyle w:val="Codevalue"/>
        </w:rPr>
        <w:t>"numeral"</w:t>
      </w:r>
      <w:r>
        <w:rPr>
          <w:rStyle w:val="Code"/>
        </w:rPr>
        <w:t>&gt;</w:t>
      </w:r>
      <w:r>
        <w:rPr>
          <w:rStyle w:val="Codetext"/>
        </w:rPr>
        <w:t>100</w:t>
      </w:r>
      <w:r>
        <w:rPr>
          <w:rStyle w:val="Code"/>
        </w:rPr>
        <w:t xml:space="preserve">&lt;/g&gt; &lt;g </w:t>
      </w:r>
      <w:r>
        <w:rPr>
          <w:rStyle w:val="Codeattribute"/>
        </w:rPr>
        <w:t>type</w:t>
      </w:r>
      <w:r>
        <w:rPr>
          <w:rStyle w:val="Code"/>
        </w:rPr>
        <w:t>=</w:t>
      </w:r>
      <w:r>
        <w:rPr>
          <w:rStyle w:val="Codevalue"/>
        </w:rPr>
        <w:t>"numeral"</w:t>
      </w:r>
      <w:r>
        <w:rPr>
          <w:rStyle w:val="Code"/>
        </w:rPr>
        <w:t>&gt;</w:t>
      </w:r>
      <w:r>
        <w:rPr>
          <w:rStyle w:val="Codetext"/>
        </w:rPr>
        <w:t>20</w:t>
      </w:r>
      <w:r>
        <w:rPr>
          <w:rStyle w:val="Code"/>
        </w:rPr>
        <w:t>&lt;/g&gt;</w:t>
      </w:r>
      <w:r>
        <w:rPr>
          <w:rStyle w:val="Codetext"/>
        </w:rPr>
        <w:t xml:space="preserve"> 3</w:t>
      </w:r>
      <w:r>
        <w:rPr>
          <w:rStyle w:val="Code"/>
        </w:rPr>
        <w:t>&lt;/num&gt;</w:t>
      </w:r>
    </w:p>
    <w:p w14:paraId="10EABE77" w14:textId="50FFE668">
      <w:pPr>
        <w:pStyle w:val="Lista2"/>
      </w:pPr>
      <w:r>
        <w:t xml:space="preserve">“eight thousand three hundred and ten” written in a combination of multiplicative and additive notation as |1000| × |8| + |100| × |3| + |10| (illustrated in </w:t>
      </w:r>
      <w:r>
        <w:fldChar w:fldCharType="begin"/>
      </w:r>
      <w:r>
        <w:instrText xml:space="preserve"> REF _Ref225952270 \h </w:instrText>
      </w:r>
      <w:r>
        <w:fldChar w:fldCharType="separate"/>
      </w:r>
      <w:r>
        <w:t xml:space="preserve">Exhibit </w:t>
      </w:r>
      <w:r>
        <w:rPr>
          <w:noProof/>
        </w:rPr>
        <w:t>5.2</w:t>
      </w:r>
      <w:r>
        <w:t>.</w:t>
      </w:r>
      <w:r>
        <w:rPr>
          <w:noProof/>
        </w:rPr>
        <w:t>B</w:t>
      </w:r>
      <w:r>
        <w:fldChar w:fldCharType="end"/>
      </w:r>
      <w:r>
        <w:t>)</w:t>
      </w:r>
    </w:p>
    <w:p w14:paraId="1899A39D" w14:textId="77777777">
      <w:pPr>
        <w:pStyle w:val="Lista3"/>
      </w:pPr>
      <w:r>
        <w:rPr>
          <w:rStyle w:val="Code"/>
        </w:rPr>
        <w:t xml:space="preserve">&lt;num </w:t>
      </w:r>
      <w:r>
        <w:rPr>
          <w:rStyle w:val="Codeattribute"/>
        </w:rPr>
        <w:t>value</w:t>
      </w:r>
      <w:r>
        <w:rPr>
          <w:rStyle w:val="Code"/>
        </w:rPr>
        <w:t>=</w:t>
      </w:r>
      <w:r>
        <w:rPr>
          <w:rStyle w:val="Codevalue"/>
        </w:rPr>
        <w:t>"8310"</w:t>
      </w:r>
      <w:r>
        <w:rPr>
          <w:rStyle w:val="Code"/>
        </w:rPr>
        <w:t xml:space="preserve">&gt;&lt;g </w:t>
      </w:r>
      <w:r>
        <w:rPr>
          <w:rStyle w:val="Codeattribute"/>
        </w:rPr>
        <w:t>type=</w:t>
      </w:r>
      <w:r>
        <w:rPr>
          <w:rStyle w:val="Codevalue"/>
        </w:rPr>
        <w:t>"numeral"</w:t>
      </w:r>
      <w:r>
        <w:rPr>
          <w:rStyle w:val="Code"/>
        </w:rPr>
        <w:t>&gt;</w:t>
      </w:r>
      <w:r>
        <w:rPr>
          <w:rStyle w:val="Codetext"/>
        </w:rPr>
        <w:t>1000</w:t>
      </w:r>
      <w:r>
        <w:rPr>
          <w:rStyle w:val="Code"/>
        </w:rPr>
        <w:t>&lt;/g&gt;</w:t>
      </w:r>
      <w:r>
        <w:rPr>
          <w:rStyle w:val="Codetext"/>
        </w:rPr>
        <w:t xml:space="preserve"> 8 </w:t>
      </w:r>
      <w:r>
        <w:rPr>
          <w:rStyle w:val="Code"/>
        </w:rPr>
        <w:t xml:space="preserve">&lt;g </w:t>
      </w:r>
      <w:r>
        <w:rPr>
          <w:rStyle w:val="Codeattribute"/>
        </w:rPr>
        <w:t>type=</w:t>
      </w:r>
      <w:r>
        <w:rPr>
          <w:rStyle w:val="Codevalue"/>
        </w:rPr>
        <w:t>"numeral"</w:t>
      </w:r>
      <w:r>
        <w:rPr>
          <w:rStyle w:val="Code"/>
        </w:rPr>
        <w:t>&gt;</w:t>
      </w:r>
      <w:r>
        <w:rPr>
          <w:rStyle w:val="Codetext"/>
        </w:rPr>
        <w:t>100</w:t>
      </w:r>
      <w:r>
        <w:rPr>
          <w:rStyle w:val="Code"/>
        </w:rPr>
        <w:t>&lt;/g&gt;</w:t>
      </w:r>
      <w:r>
        <w:rPr>
          <w:rStyle w:val="Codetext"/>
        </w:rPr>
        <w:t xml:space="preserve"> 3 </w:t>
      </w:r>
      <w:r>
        <w:rPr>
          <w:rStyle w:val="Code"/>
        </w:rPr>
        <w:t xml:space="preserve">&lt;g </w:t>
      </w:r>
      <w:r>
        <w:rPr>
          <w:rStyle w:val="Codeattribute"/>
        </w:rPr>
        <w:t>type=</w:t>
      </w:r>
      <w:r>
        <w:rPr>
          <w:rStyle w:val="Codevalue"/>
        </w:rPr>
        <w:t>"numeral"</w:t>
      </w:r>
      <w:r>
        <w:rPr>
          <w:rStyle w:val="Code"/>
        </w:rPr>
        <w:t>&gt;</w:t>
      </w:r>
      <w:r>
        <w:rPr>
          <w:rStyle w:val="Codetext"/>
        </w:rPr>
        <w:t>10</w:t>
      </w:r>
      <w:r>
        <w:rPr>
          <w:rStyle w:val="Code"/>
        </w:rPr>
        <w:t>&lt;/g&gt;&lt;/num&gt;</w:t>
      </w:r>
    </w:p>
    <w:p w14:paraId="59268358" w14:textId="77777777">
      <w:pPr>
        <w:pStyle w:val="Lista2"/>
      </w:pPr>
      <w:r>
        <w:t>“ninety” written as the Khmer digit 80 and digit 10</w:t>
      </w:r>
    </w:p>
    <w:p w14:paraId="3589A17C" w14:textId="77777777">
      <w:pPr>
        <w:pStyle w:val="Lista3"/>
      </w:pPr>
      <w:r>
        <w:rPr>
          <w:rStyle w:val="Code"/>
        </w:rPr>
        <w:t xml:space="preserve">&lt;num </w:t>
      </w:r>
      <w:r>
        <w:rPr>
          <w:rStyle w:val="Codeattribute"/>
        </w:rPr>
        <w:t>value</w:t>
      </w:r>
      <w:r>
        <w:rPr>
          <w:rStyle w:val="Code"/>
        </w:rPr>
        <w:t>=</w:t>
      </w:r>
      <w:r>
        <w:rPr>
          <w:rStyle w:val="Codevalue"/>
        </w:rPr>
        <w:t>"90"</w:t>
      </w:r>
      <w:r>
        <w:rPr>
          <w:rStyle w:val="Code"/>
        </w:rPr>
        <w:t xml:space="preserve">&gt;&lt;g </w:t>
      </w:r>
      <w:r>
        <w:rPr>
          <w:rStyle w:val="Codeattribute"/>
        </w:rPr>
        <w:t>type</w:t>
      </w:r>
      <w:r>
        <w:rPr>
          <w:rStyle w:val="Code"/>
        </w:rPr>
        <w:t>=</w:t>
      </w:r>
      <w:r>
        <w:rPr>
          <w:rStyle w:val="Codevalue"/>
        </w:rPr>
        <w:t>"numeral"</w:t>
      </w:r>
      <w:r>
        <w:rPr>
          <w:rStyle w:val="Code"/>
        </w:rPr>
        <w:t>&gt;</w:t>
      </w:r>
      <w:r>
        <w:rPr>
          <w:rStyle w:val="Codetext"/>
        </w:rPr>
        <w:t>80</w:t>
      </w:r>
      <w:r>
        <w:rPr>
          <w:rStyle w:val="Code"/>
        </w:rPr>
        <w:t>&lt;/g&gt;</w:t>
      </w:r>
      <w:r>
        <w:rPr>
          <w:rStyle w:val="Codetext"/>
        </w:rPr>
        <w:t xml:space="preserve">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10</w:t>
      </w:r>
      <w:r>
        <w:rPr>
          <w:rStyle w:val="Code"/>
        </w:rPr>
        <w:t>&lt;/g&gt;&lt;/num&gt;</w:t>
      </w:r>
    </w:p>
    <w:p w14:paraId="7C04D5B4" w14:textId="77777777">
      <w:pPr>
        <w:pStyle w:val="Lista2"/>
      </w:pPr>
      <w:r>
        <w:t>“one thousand” written with one sign for |1000|</w:t>
      </w:r>
    </w:p>
    <w:p w14:paraId="60875B6A" w14:textId="77777777">
      <w:pPr>
        <w:pStyle w:val="Lista3"/>
      </w:pPr>
      <w:r>
        <w:rPr>
          <w:rStyle w:val="Code"/>
        </w:rPr>
        <w:t xml:space="preserve">&lt;num </w:t>
      </w:r>
      <w:r>
        <w:rPr>
          <w:rStyle w:val="Codeattribute"/>
        </w:rPr>
        <w:t>value</w:t>
      </w:r>
      <w:r>
        <w:rPr>
          <w:rStyle w:val="Code"/>
        </w:rPr>
        <w:t>=</w:t>
      </w:r>
      <w:r>
        <w:rPr>
          <w:rStyle w:val="Codevalue"/>
        </w:rPr>
        <w:t>"1000"</w:t>
      </w:r>
      <w:r>
        <w:rPr>
          <w:rStyle w:val="Code"/>
        </w:rPr>
        <w:t xml:space="preserve">&gt;&lt;g </w:t>
      </w:r>
      <w:r>
        <w:rPr>
          <w:rStyle w:val="Codeattribute"/>
        </w:rPr>
        <w:t>type</w:t>
      </w:r>
      <w:r>
        <w:rPr>
          <w:rStyle w:val="Code"/>
        </w:rPr>
        <w:t>=</w:t>
      </w:r>
      <w:r>
        <w:rPr>
          <w:rStyle w:val="Codevalue"/>
        </w:rPr>
        <w:t>"numeral"</w:t>
      </w:r>
      <w:r>
        <w:rPr>
          <w:rStyle w:val="Code"/>
        </w:rPr>
        <w:t>&gt;</w:t>
      </w:r>
      <w:r>
        <w:rPr>
          <w:rStyle w:val="Codetext"/>
        </w:rPr>
        <w:t>1000</w:t>
      </w:r>
      <w:r>
        <w:rPr>
          <w:rStyle w:val="Code"/>
        </w:rPr>
        <w:t>&lt;/g&gt;&lt;/num&gt;</w:t>
      </w:r>
    </w:p>
    <w:p w14:paraId="43CAE99E" w14:textId="77777777">
      <w:pPr>
        <w:pStyle w:val="Lista2"/>
      </w:pPr>
      <w:r>
        <w:t>“one half” written with a single fraction sign</w:t>
      </w:r>
    </w:p>
    <w:p w14:paraId="5A7132C1" w14:textId="77777777">
      <w:pPr>
        <w:pStyle w:val="Lista3"/>
      </w:pPr>
      <w:r>
        <w:rPr>
          <w:rStyle w:val="Code"/>
        </w:rPr>
        <w:t xml:space="preserve">&lt;num </w:t>
      </w:r>
      <w:r>
        <w:rPr>
          <w:rStyle w:val="Codeattribute"/>
        </w:rPr>
        <w:t>value</w:t>
      </w:r>
      <w:r>
        <w:rPr>
          <w:rStyle w:val="Code"/>
        </w:rPr>
        <w:t>=</w:t>
      </w:r>
      <w:r>
        <w:rPr>
          <w:rStyle w:val="Codevalue"/>
        </w:rPr>
        <w:t>"0.5"</w:t>
      </w:r>
      <w:r>
        <w:rPr>
          <w:rStyle w:val="Code"/>
        </w:rPr>
        <w:t>&gt;</w:t>
      </w:r>
      <w:r>
        <w:rPr>
          <w:rStyle w:val="Codetext"/>
        </w:rPr>
        <w:t>½</w:t>
      </w:r>
      <w:r>
        <w:rPr>
          <w:rStyle w:val="Code"/>
        </w:rPr>
        <w:t>&lt;/num&gt;</w:t>
      </w:r>
    </w:p>
    <w:p w14:paraId="43B50695" w14:textId="77777777">
      <w:pPr>
        <w:pStyle w:val="Lista2"/>
      </w:pPr>
      <w:r>
        <w:t>“one eighth” written with a single fraction sign</w:t>
      </w:r>
    </w:p>
    <w:p w14:paraId="12CA4E42" w14:textId="77777777">
      <w:pPr>
        <w:pStyle w:val="Lista3"/>
      </w:pPr>
      <w:r>
        <w:rPr>
          <w:rStyle w:val="Code"/>
        </w:rPr>
        <w:t xml:space="preserve">&lt;num </w:t>
      </w:r>
      <w:r>
        <w:rPr>
          <w:rStyle w:val="Codeattribute"/>
        </w:rPr>
        <w:t>value</w:t>
      </w:r>
      <w:r>
        <w:rPr>
          <w:rStyle w:val="Code"/>
        </w:rPr>
        <w:t>=</w:t>
      </w:r>
      <w:r>
        <w:rPr>
          <w:rStyle w:val="Codevalue"/>
        </w:rPr>
        <w:t>"0.125"</w:t>
      </w:r>
      <w:r>
        <w:rPr>
          <w:rStyle w:val="Code"/>
        </w:rPr>
        <w:t xml:space="preserve">&gt;&lt;g </w:t>
      </w:r>
      <w:r>
        <w:rPr>
          <w:rStyle w:val="Codeattribute"/>
        </w:rPr>
        <w:t>type</w:t>
      </w:r>
      <w:r>
        <w:rPr>
          <w:rStyle w:val="Code"/>
        </w:rPr>
        <w:t>=</w:t>
      </w:r>
      <w:r>
        <w:rPr>
          <w:rStyle w:val="Codevalue"/>
        </w:rPr>
        <w:t>"numeral"</w:t>
      </w:r>
      <w:r>
        <w:rPr>
          <w:rStyle w:val="Code"/>
        </w:rPr>
        <w:t>&gt;</w:t>
      </w:r>
      <w:r>
        <w:rPr>
          <w:rStyle w:val="Codetext"/>
        </w:rPr>
        <w:t>1/8</w:t>
      </w:r>
      <w:r>
        <w:rPr>
          <w:rStyle w:val="Code"/>
        </w:rPr>
        <w:t>&lt;/g&gt;&lt;/num&gt;</w:t>
      </w:r>
    </w:p>
    <w:p w14:paraId="7629026E" w14:textId="77777777">
      <w:pPr>
        <w:pStyle w:val="Lista2"/>
      </w:pPr>
      <w:r>
        <w:t>“three and one third” written as a digit 3 and one sign standing for “one third”</w:t>
      </w:r>
    </w:p>
    <w:p w14:paraId="1E4F289B" w14:textId="77777777">
      <w:pPr>
        <w:pStyle w:val="Lista3"/>
      </w:pPr>
      <w:r>
        <w:rPr>
          <w:rStyle w:val="Code"/>
        </w:rPr>
        <w:t xml:space="preserve">&lt;num </w:t>
      </w:r>
      <w:r>
        <w:rPr>
          <w:rStyle w:val="Codeattribute"/>
        </w:rPr>
        <w:t>value</w:t>
      </w:r>
      <w:r>
        <w:rPr>
          <w:rStyle w:val="Code"/>
        </w:rPr>
        <w:t>=</w:t>
      </w:r>
      <w:r>
        <w:rPr>
          <w:rStyle w:val="Codevalue"/>
        </w:rPr>
        <w:t>"3.333"</w:t>
      </w:r>
      <w:r>
        <w:rPr>
          <w:rStyle w:val="Code"/>
        </w:rPr>
        <w:t>&gt;</w:t>
      </w:r>
      <w:r>
        <w:rPr>
          <w:rStyle w:val="Codetext"/>
        </w:rPr>
        <w:t>3 ⅓</w:t>
      </w:r>
      <w:r>
        <w:rPr>
          <w:rStyle w:val="Code"/>
        </w:rPr>
        <w:t>&lt;/num&gt;</w:t>
      </w:r>
    </w:p>
    <w:p w14:paraId="5DD5727C" w14:textId="77777777">
      <w:pPr>
        <w:pStyle w:val="Lista2"/>
        <w:rPr>
          <w:rFonts w:ascii="Gentium Plus" w:hAnsi="Gentium Plus" w:cs="Arial Unicode MS"/>
        </w:rPr>
      </w:pPr>
      <w:r>
        <w:t>“three and one eighth” written as a digit 3 and one sign standing for “one eighth”</w:t>
      </w:r>
    </w:p>
    <w:p w14:paraId="6095F761" w14:textId="77777777">
      <w:pPr>
        <w:pStyle w:val="Lista3"/>
        <w:rPr>
          <w:rStyle w:val="Code"/>
          <w:rFonts w:ascii="Gentium Plus" w:hAnsi="Gentium Plus" w:cs="Arial Unicode MS"/>
          <w:noProof w:val="0"/>
          <w:color w:val="auto"/>
          <w:shd w:val="clear" w:color="auto" w:fill="auto"/>
        </w:rPr>
      </w:pPr>
      <w:r>
        <w:rPr>
          <w:rStyle w:val="Code"/>
        </w:rPr>
        <w:t xml:space="preserve">&lt;num </w:t>
      </w:r>
      <w:r>
        <w:rPr>
          <w:rStyle w:val="Codeattribute"/>
        </w:rPr>
        <w:t>value</w:t>
      </w:r>
      <w:r>
        <w:rPr>
          <w:rStyle w:val="Code"/>
        </w:rPr>
        <w:t>=</w:t>
      </w:r>
      <w:r>
        <w:rPr>
          <w:rStyle w:val="Codevalue"/>
        </w:rPr>
        <w:t>"3.125"</w:t>
      </w:r>
      <w:r>
        <w:rPr>
          <w:rStyle w:val="Code"/>
        </w:rPr>
        <w:t>&gt;</w:t>
      </w:r>
      <w:r>
        <w:rPr>
          <w:rStyle w:val="Codetext"/>
        </w:rPr>
        <w:t xml:space="preserve">3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1/8</w:t>
      </w:r>
      <w:r>
        <w:rPr>
          <w:rStyle w:val="Code"/>
        </w:rPr>
        <w:t>&lt;/g&gt;&lt;/num&gt;</w:t>
      </w:r>
    </w:p>
    <w:p w14:paraId="5EEAC79A" w14:textId="31DEC789">
      <w:pPr>
        <w:pStyle w:val="Lista2"/>
      </w:pPr>
      <w:r>
        <w:t xml:space="preserve">see also </w:t>
      </w:r>
      <w:r>
        <w:fldChar w:fldCharType="begin"/>
      </w:r>
      <w:r>
        <w:instrText xml:space="preserve"> REF _Ref182560821 \h </w:instrText>
      </w:r>
      <w:r>
        <w:fldChar w:fldCharType="separate"/>
      </w:r>
      <w:r>
        <w:t xml:space="preserve">Exhibit </w:t>
      </w:r>
      <w:r>
        <w:rPr>
          <w:noProof/>
        </w:rPr>
        <w:t>9.1</w:t>
      </w:r>
      <w:r>
        <w:t>.</w:t>
      </w:r>
      <w:r>
        <w:rPr>
          <w:noProof/>
        </w:rPr>
        <w:t>A</w:t>
      </w:r>
      <w:r>
        <w:fldChar w:fldCharType="end"/>
      </w:r>
    </w:p>
    <w:tbl>
      <w:tblPr>
        <w:tblStyle w:val="CodeSampleTable"/>
        <w:tblW w:w="5000" w:type="pct"/>
        <w:tblLook w:val="04A0" w:firstRow="1" w:lastRow="0" w:firstColumn="1" w:lastColumn="0" w:noHBand="0" w:noVBand="1"/>
      </w:tblPr>
      <w:tblGrid>
        <w:gridCol w:w="9628"/>
      </w:tblGrid>
      <w:tr w14:paraId="24841C3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FF8528F" w14:textId="52C4CC35">
            <w:pPr>
              <w:pStyle w:val="Kpalrs"/>
            </w:pPr>
            <w:bookmarkStart w:id="764" w:name="_du4pk4npc5nc" w:colFirst="0" w:colLast="0"/>
            <w:bookmarkStart w:id="765" w:name="_Ref182560821"/>
            <w:bookmarkEnd w:id="764"/>
            <w:r>
              <w:t xml:space="preserve">Exhibit </w:t>
            </w:r>
            <w:fldSimple w:instr=" STYLEREF 2 \s ">
              <w:r>
                <w:rPr>
                  <w:noProof/>
                </w:rPr>
                <w:t>9.1</w:t>
              </w:r>
            </w:fldSimple>
            <w:r>
              <w:t>.</w:t>
            </w:r>
            <w:fldSimple w:instr=" SEQ Exhibit \* ALPHABETIC \s 2 ">
              <w:r>
                <w:rPr>
                  <w:noProof/>
                </w:rPr>
                <w:t>A</w:t>
              </w:r>
            </w:fldSimple>
            <w:bookmarkEnd w:id="765"/>
            <w:r>
              <w:t>: numerals in a date with full encoding</w:t>
            </w:r>
          </w:p>
        </w:tc>
      </w:tr>
      <w:tr w14:paraId="1A9FE506" w14:textId="77777777">
        <w:tc>
          <w:tcPr>
            <w:tcW w:w="5000" w:type="pct"/>
            <w:vAlign w:val="center"/>
          </w:tcPr>
          <w:p w14:paraId="7B3AD23A" w14:textId="77777777">
            <w:pPr>
              <w:pStyle w:val="Image"/>
              <w:rPr>
                <w:rStyle w:val="Code"/>
              </w:rPr>
            </w:pPr>
            <w:r>
              <w:drawing>
                <wp:inline distT="0" distB="0" distL="0" distR="0" wp14:anchorId="24C1C785" wp14:editId="3910090A">
                  <wp:extent cx="6114415" cy="1194435"/>
                  <wp:effectExtent l="0" t="0" r="635" b="5715"/>
                  <wp:docPr id="1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114415" cy="1194435"/>
                          </a:xfrm>
                          <a:prstGeom prst="rect">
                            <a:avLst/>
                          </a:prstGeom>
                          <a:noFill/>
                          <a:ln>
                            <a:noFill/>
                          </a:ln>
                        </pic:spPr>
                      </pic:pic>
                    </a:graphicData>
                  </a:graphic>
                </wp:inline>
              </w:drawing>
            </w:r>
          </w:p>
        </w:tc>
      </w:tr>
      <w:tr w14:paraId="41826B0D" w14:textId="77777777">
        <w:tc>
          <w:tcPr>
            <w:tcW w:w="5000" w:type="pct"/>
          </w:tcPr>
          <w:p w14:paraId="0321C4AA" w14:textId="77777777">
            <w:pPr>
              <w:pStyle w:val="CodeParagraph"/>
              <w:keepNext/>
              <w:rPr>
                <w:rStyle w:val="Code"/>
              </w:rPr>
            </w:pPr>
            <w:r>
              <w:rPr>
                <w:rStyle w:val="Code"/>
              </w:rPr>
              <w:t>&lt;abbr&gt;</w:t>
            </w:r>
            <w:r>
              <w:rPr>
                <w:rStyle w:val="Codetext"/>
              </w:rPr>
              <w:t>saṁ</w:t>
            </w:r>
            <w:r>
              <w:rPr>
                <w:rStyle w:val="Code"/>
              </w:rPr>
              <w:t xml:space="preserve">&lt;/abbr&gt; &lt;num </w:t>
            </w:r>
            <w:r>
              <w:rPr>
                <w:rStyle w:val="Codeattribute"/>
              </w:rPr>
              <w:t>value=</w:t>
            </w:r>
            <w:r>
              <w:rPr>
                <w:rStyle w:val="Codevalue"/>
              </w:rPr>
              <w:t>"18"</w:t>
            </w:r>
            <w:r>
              <w:rPr>
                <w:rStyle w:val="Code"/>
              </w:rPr>
              <w:t xml:space="preserve">&gt;&lt;g </w:t>
            </w:r>
            <w:r>
              <w:rPr>
                <w:rStyle w:val="Codeattribute"/>
              </w:rPr>
              <w:t>type=</w:t>
            </w:r>
            <w:r>
              <w:rPr>
                <w:rStyle w:val="Codevalue"/>
              </w:rPr>
              <w:t>"numeral"</w:t>
            </w:r>
            <w:r>
              <w:rPr>
                <w:rStyle w:val="Code"/>
              </w:rPr>
              <w:t>&gt;</w:t>
            </w:r>
            <w:r>
              <w:rPr>
                <w:rStyle w:val="Codetext"/>
              </w:rPr>
              <w:t>10</w:t>
            </w:r>
            <w:r>
              <w:rPr>
                <w:rStyle w:val="Code"/>
              </w:rPr>
              <w:t>&lt;/g&gt;</w:t>
            </w:r>
            <w:r>
              <w:rPr>
                <w:rStyle w:val="Codetext"/>
              </w:rPr>
              <w:t xml:space="preserve"> 8</w:t>
            </w:r>
            <w:r>
              <w:rPr>
                <w:rStyle w:val="Code"/>
              </w:rPr>
              <w:t>&lt;/num&gt; &lt;abbr&gt;</w:t>
            </w:r>
            <w:r>
              <w:rPr>
                <w:rStyle w:val="Codetext"/>
              </w:rPr>
              <w:t>he</w:t>
            </w:r>
            <w:r>
              <w:rPr>
                <w:rStyle w:val="Code"/>
              </w:rPr>
              <w:t xml:space="preserve">&lt;/abbr&gt; &lt;num </w:t>
            </w:r>
            <w:r>
              <w:rPr>
                <w:rStyle w:val="Codeattribute"/>
              </w:rPr>
              <w:t>value=</w:t>
            </w:r>
            <w:r>
              <w:rPr>
                <w:rStyle w:val="Codevalue"/>
              </w:rPr>
              <w:t>"8"</w:t>
            </w:r>
            <w:r>
              <w:rPr>
                <w:rStyle w:val="Code"/>
              </w:rPr>
              <w:t>&gt;</w:t>
            </w:r>
            <w:r>
              <w:rPr>
                <w:rStyle w:val="Codetext"/>
              </w:rPr>
              <w:t>8</w:t>
            </w:r>
            <w:r>
              <w:rPr>
                <w:rStyle w:val="Code"/>
              </w:rPr>
              <w:t>&lt;/num&gt; &lt;abbr&gt;</w:t>
            </w:r>
            <w:r>
              <w:rPr>
                <w:rStyle w:val="Codetext"/>
              </w:rPr>
              <w:t>di</w:t>
            </w:r>
            <w:r>
              <w:rPr>
                <w:rStyle w:val="Code"/>
              </w:rPr>
              <w:t xml:space="preserve">&lt;/abbr&gt; &lt;num </w:t>
            </w:r>
            <w:r>
              <w:rPr>
                <w:rStyle w:val="Codeattribute"/>
              </w:rPr>
              <w:t>value=</w:t>
            </w:r>
            <w:r>
              <w:rPr>
                <w:rStyle w:val="Codevalue"/>
              </w:rPr>
              <w:t>"15"</w:t>
            </w:r>
            <w:r>
              <w:rPr>
                <w:rStyle w:val="Code"/>
              </w:rPr>
              <w:t xml:space="preserve">&gt;&lt;g </w:t>
            </w:r>
            <w:r>
              <w:rPr>
                <w:rStyle w:val="Codeattribute"/>
              </w:rPr>
              <w:t>type=</w:t>
            </w:r>
            <w:r>
              <w:rPr>
                <w:rStyle w:val="Codevalue"/>
              </w:rPr>
              <w:t>"numeral"</w:t>
            </w:r>
            <w:r>
              <w:rPr>
                <w:rStyle w:val="Code"/>
              </w:rPr>
              <w:t>&gt;</w:t>
            </w:r>
            <w:r>
              <w:rPr>
                <w:rStyle w:val="Codetext"/>
              </w:rPr>
              <w:t>10</w:t>
            </w:r>
            <w:r>
              <w:rPr>
                <w:rStyle w:val="Code"/>
              </w:rPr>
              <w:t xml:space="preserve">&lt;/g&gt; </w:t>
            </w:r>
            <w:r>
              <w:rPr>
                <w:rStyle w:val="Codetext"/>
              </w:rPr>
              <w:t>5</w:t>
            </w:r>
            <w:r>
              <w:rPr>
                <w:rStyle w:val="Code"/>
              </w:rPr>
              <w:t>&lt;/num&gt;</w:t>
            </w:r>
          </w:p>
        </w:tc>
      </w:tr>
      <w:tr w14:paraId="1618748C" w14:textId="77777777">
        <w:tc>
          <w:tcPr>
            <w:tcW w:w="5000" w:type="pct"/>
          </w:tcPr>
          <w:p w14:paraId="43519B88" w14:textId="77777777">
            <w:pPr>
              <w:pStyle w:val="TableNote"/>
            </w:pPr>
            <w:r>
              <w:t xml:space="preserve">the date is </w:t>
            </w:r>
            <w:r>
              <w:rPr>
                <w:rStyle w:val="Foreign"/>
              </w:rPr>
              <w:t>saṁ 18 he 8 di 15</w:t>
            </w:r>
            <w:r>
              <w:t>, meaning the 15</w:t>
            </w:r>
            <w:r>
              <w:rPr>
                <w:vertAlign w:val="superscript"/>
              </w:rPr>
              <w:t>th</w:t>
            </w:r>
            <w:r>
              <w:t xml:space="preserve"> day </w:t>
            </w:r>
            <w:r>
              <w:rPr>
                <w:noProof/>
              </w:rPr>
              <w:t>(</w:t>
            </w:r>
            <w:r>
              <w:rPr>
                <w:rStyle w:val="Foreign"/>
              </w:rPr>
              <w:t>divasa</w:t>
            </w:r>
            <w:r>
              <w:t>) of the 8</w:t>
            </w:r>
            <w:r>
              <w:rPr>
                <w:vertAlign w:val="superscript"/>
              </w:rPr>
              <w:t>th</w:t>
            </w:r>
            <w:r>
              <w:t xml:space="preserve"> fortnight of the cold season </w:t>
            </w:r>
            <w:r>
              <w:rPr>
                <w:noProof/>
              </w:rPr>
              <w:t>(</w:t>
            </w:r>
            <w:r>
              <w:rPr>
                <w:rStyle w:val="Foreign"/>
              </w:rPr>
              <w:t>hemanta</w:t>
            </w:r>
            <w:r>
              <w:t xml:space="preserve">) in the year </w:t>
            </w:r>
            <w:r>
              <w:rPr>
                <w:noProof/>
              </w:rPr>
              <w:t>(</w:t>
            </w:r>
            <w:r>
              <w:rPr>
                <w:rStyle w:val="Foreign"/>
              </w:rPr>
              <w:t>saṁvat</w:t>
            </w:r>
            <w:r>
              <w:t>) 18</w:t>
            </w:r>
          </w:p>
          <w:p w14:paraId="2CC877AA" w14:textId="77777777">
            <w:pPr>
              <w:pStyle w:val="TableNote"/>
            </w:pPr>
            <w:r>
              <w:t xml:space="preserve">the glyphs representing the numeral 10 are wrapped in </w:t>
            </w:r>
            <w:r>
              <w:rPr>
                <w:rStyle w:val="Code"/>
              </w:rPr>
              <w:t>&lt;g&gt;</w:t>
            </w:r>
            <w:r>
              <w:t xml:space="preserve"> and are separated by a space from the adjacent text as well as from the adjacent numeric characters representing decimal digits</w:t>
            </w:r>
          </w:p>
          <w:p w14:paraId="21A384A2" w14:textId="012CE021">
            <w:pPr>
              <w:pStyle w:val="TableNote"/>
            </w:pPr>
            <w:r>
              <w:t xml:space="preserve">for encoding the value of a number with </w:t>
            </w:r>
            <w:r>
              <w:rPr>
                <w:rStyle w:val="Code"/>
              </w:rPr>
              <w:t>&lt;num&gt;</w:t>
            </w:r>
            <w:r>
              <w:t>, see §</w:t>
            </w:r>
            <w:r>
              <w:fldChar w:fldCharType="begin"/>
            </w:r>
            <w:r>
              <w:instrText xml:space="preserve"> REF _Ref43980607 \r \h </w:instrText>
            </w:r>
            <w:r>
              <w:fldChar w:fldCharType="separate"/>
            </w:r>
            <w:r>
              <w:t>9.1</w:t>
            </w:r>
            <w:r>
              <w:fldChar w:fldCharType="end"/>
            </w:r>
          </w:p>
          <w:p w14:paraId="19240675" w14:textId="3D95CCE9">
            <w:pPr>
              <w:pStyle w:val="TableNote"/>
            </w:pPr>
            <w:r>
              <w:t>for the encoding of abbreviations, see §</w:t>
            </w:r>
            <w:r>
              <w:fldChar w:fldCharType="begin"/>
            </w:r>
            <w:r>
              <w:instrText xml:space="preserve"> REF _Ref43989327 \r \h </w:instrText>
            </w:r>
            <w:r>
              <w:fldChar w:fldCharType="separate"/>
            </w:r>
            <w:r>
              <w:t>8.2.2</w:t>
            </w:r>
            <w:r>
              <w:fldChar w:fldCharType="end"/>
            </w:r>
          </w:p>
        </w:tc>
      </w:tr>
    </w:tbl>
    <w:p w14:paraId="433BE19F" w14:textId="77777777">
      <w:pPr>
        <w:pStyle w:val="Cmsor4"/>
      </w:pPr>
      <w:bookmarkStart w:id="766" w:name="_Ref72139759"/>
      <w:r>
        <w:t>Numbers expressed in words</w:t>
      </w:r>
      <w:bookmarkEnd w:id="766"/>
    </w:p>
    <w:p w14:paraId="6B4B6487" w14:textId="77777777">
      <w:pPr>
        <w:pStyle w:val="Lista"/>
      </w:pPr>
      <w:r>
        <w:t xml:space="preserve">words expressing numbers may be optionally encoded with </w:t>
      </w:r>
      <w:r>
        <w:rPr>
          <w:rStyle w:val="Code"/>
        </w:rPr>
        <w:t>&lt;num&gt;</w:t>
      </w:r>
      <w:r>
        <w:t>, including</w:t>
      </w:r>
    </w:p>
    <w:p w14:paraId="465C9218" w14:textId="77777777">
      <w:pPr>
        <w:pStyle w:val="Lista2"/>
      </w:pPr>
      <w:r>
        <w:t xml:space="preserve">numbers spelled out in words such as </w:t>
      </w:r>
      <w:r>
        <w:rPr>
          <w:rStyle w:val="Foreign"/>
        </w:rPr>
        <w:t>ekaḥ</w:t>
      </w:r>
      <w:r>
        <w:t xml:space="preserve"> and </w:t>
      </w:r>
      <w:r>
        <w:rPr>
          <w:rStyle w:val="Foreign"/>
        </w:rPr>
        <w:t>aṣṭottaraśataṁ</w:t>
      </w:r>
    </w:p>
    <w:p w14:paraId="685D70B8" w14:textId="77777777">
      <w:pPr>
        <w:pStyle w:val="Lista2"/>
      </w:pPr>
      <w:r>
        <w:t xml:space="preserve">“coded” numbers </w:t>
      </w:r>
      <w:r>
        <w:rPr>
          <w:noProof/>
        </w:rPr>
        <w:t>(</w:t>
      </w:r>
      <w:r>
        <w:rPr>
          <w:rStyle w:val="Foreign"/>
        </w:rPr>
        <w:t>bhūtasaṁkhyā</w:t>
      </w:r>
      <w:r>
        <w:t xml:space="preserve">, </w:t>
      </w:r>
      <w:r>
        <w:rPr>
          <w:rStyle w:val="Foreign"/>
        </w:rPr>
        <w:t>candrasengkala</w:t>
      </w:r>
      <w:r>
        <w:rPr>
          <w:noProof/>
        </w:rPr>
        <w:t>/</w:t>
      </w:r>
      <w:r>
        <w:rPr>
          <w:rStyle w:val="Foreign"/>
        </w:rPr>
        <w:t>sengkalan</w:t>
      </w:r>
      <w:r>
        <w:t>) as used for example in chronograms</w:t>
      </w:r>
    </w:p>
    <w:p w14:paraId="63BA200D" w14:textId="77777777">
      <w:pPr>
        <w:pStyle w:val="Lista"/>
      </w:pPr>
      <w:r>
        <w:t xml:space="preserve">when a number is expressed in multiple words, preferably tag the entire phrase with </w:t>
      </w:r>
      <w:r>
        <w:rPr>
          <w:rStyle w:val="Code"/>
        </w:rPr>
        <w:t>&lt;num&gt;</w:t>
      </w:r>
      <w:r>
        <w:t xml:space="preserve"> and encode the total value as its </w:t>
      </w:r>
      <w:r>
        <w:rPr>
          <w:rStyle w:val="Codeattribute"/>
        </w:rPr>
        <w:t>@value</w:t>
      </w:r>
    </w:p>
    <w:p w14:paraId="766C916C" w14:textId="77777777">
      <w:pPr>
        <w:pStyle w:val="Lista2"/>
      </w:pPr>
      <w:r>
        <w:t xml:space="preserve">in such cases, words not in themselves expressing a number may be included within the scope of </w:t>
      </w:r>
      <w:r>
        <w:rPr>
          <w:rStyle w:val="Code"/>
        </w:rPr>
        <w:t>&lt;num&gt;</w:t>
      </w:r>
      <w:r>
        <w:t xml:space="preserve"> if they are intermingled with numeral words</w:t>
      </w:r>
    </w:p>
    <w:p w14:paraId="3E13E25B" w14:textId="77777777">
      <w:pPr>
        <w:pStyle w:val="Lista2"/>
      </w:pPr>
      <w:r>
        <w:lastRenderedPageBreak/>
        <w:t>note that numeral expressions extending across block-level elements (such as verse lines) cannot be tagged in this way without complicated encoding that we prefer to avoid</w:t>
      </w:r>
    </w:p>
    <w:p w14:paraId="1BDF9C4C" w14:textId="77777777">
      <w:pPr>
        <w:pStyle w:val="Lista"/>
      </w:pPr>
      <w:r>
        <w:t xml:space="preserve">adding </w:t>
      </w:r>
      <w:r>
        <w:rPr>
          <w:rStyle w:val="Code"/>
        </w:rPr>
        <w:t>&lt;num&gt;</w:t>
      </w:r>
      <w:r>
        <w:t xml:space="preserve"> is recommended for numbers expressed with a combination of words and numeral signs, e.g.</w:t>
      </w:r>
    </w:p>
    <w:p w14:paraId="6C7BBDEA" w14:textId="77777777">
      <w:pPr>
        <w:pStyle w:val="Lista2"/>
      </w:pPr>
      <w:r>
        <w:rPr>
          <w:rStyle w:val="Code"/>
        </w:rPr>
        <w:t xml:space="preserve">&lt;num </w:t>
      </w:r>
      <w:r>
        <w:rPr>
          <w:rStyle w:val="Codeattribute"/>
        </w:rPr>
        <w:t>value</w:t>
      </w:r>
      <w:r>
        <w:rPr>
          <w:rStyle w:val="Code"/>
        </w:rPr>
        <w:t>="</w:t>
      </w:r>
      <w:r>
        <w:rPr>
          <w:rStyle w:val="Codevalue"/>
        </w:rPr>
        <w:t>557</w:t>
      </w:r>
      <w:r>
        <w:rPr>
          <w:rStyle w:val="Code"/>
        </w:rPr>
        <w:t>"&gt;</w:t>
      </w:r>
      <w:r>
        <w:rPr>
          <w:rStyle w:val="Codetext"/>
        </w:rPr>
        <w:t xml:space="preserve">slik·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I</w:t>
      </w:r>
      <w:r>
        <w:rPr>
          <w:rStyle w:val="Code"/>
        </w:rPr>
        <w:t xml:space="preserve">&lt;/g&gt; &lt;g </w:t>
      </w:r>
      <w:r>
        <w:rPr>
          <w:rStyle w:val="Codeattribute"/>
        </w:rPr>
        <w:t>type</w:t>
      </w:r>
      <w:r>
        <w:rPr>
          <w:rStyle w:val="Code"/>
        </w:rPr>
        <w:t>="</w:t>
      </w:r>
      <w:r>
        <w:rPr>
          <w:rStyle w:val="Codevalue"/>
        </w:rPr>
        <w:t>numeral</w:t>
      </w:r>
      <w:r>
        <w:rPr>
          <w:rStyle w:val="Code"/>
        </w:rPr>
        <w:t>"&gt;</w:t>
      </w:r>
      <w:r>
        <w:rPr>
          <w:rStyle w:val="Codetext"/>
        </w:rPr>
        <w:t>100</w:t>
      </w:r>
      <w:r>
        <w:rPr>
          <w:rStyle w:val="Code"/>
        </w:rPr>
        <w:t xml:space="preserve">&lt;/g&gt; &lt;g </w:t>
      </w:r>
      <w:r>
        <w:rPr>
          <w:rStyle w:val="Codeattribute"/>
        </w:rPr>
        <w:t>type</w:t>
      </w:r>
      <w:r>
        <w:rPr>
          <w:rStyle w:val="Code"/>
        </w:rPr>
        <w:t>="</w:t>
      </w:r>
      <w:r>
        <w:rPr>
          <w:rStyle w:val="Codevalue"/>
        </w:rPr>
        <w:t>numeral</w:t>
      </w:r>
      <w:r>
        <w:rPr>
          <w:rStyle w:val="Code"/>
        </w:rPr>
        <w:t>"&gt;</w:t>
      </w:r>
      <w:r>
        <w:rPr>
          <w:rStyle w:val="Codetext"/>
        </w:rPr>
        <w:t>40</w:t>
      </w:r>
      <w:r>
        <w:rPr>
          <w:rStyle w:val="Code"/>
        </w:rPr>
        <w:t xml:space="preserve">&lt;/g&gt; &lt;g </w:t>
      </w:r>
      <w:r>
        <w:rPr>
          <w:rStyle w:val="Codeattribute"/>
        </w:rPr>
        <w:t>type</w:t>
      </w:r>
      <w:r>
        <w:rPr>
          <w:rStyle w:val="Code"/>
        </w:rPr>
        <w:t>="</w:t>
      </w:r>
      <w:r>
        <w:rPr>
          <w:rStyle w:val="Codevalue"/>
        </w:rPr>
        <w:t>numeral</w:t>
      </w:r>
      <w:r>
        <w:rPr>
          <w:rStyle w:val="Code"/>
        </w:rPr>
        <w:t>"&gt;</w:t>
      </w:r>
      <w:r>
        <w:rPr>
          <w:rStyle w:val="Codetext"/>
        </w:rPr>
        <w:t>10</w:t>
      </w:r>
      <w:r>
        <w:rPr>
          <w:rStyle w:val="Code"/>
        </w:rPr>
        <w:t xml:space="preserve">&lt;/g&gt; &lt;g </w:t>
      </w:r>
      <w:r>
        <w:rPr>
          <w:rStyle w:val="Codeattribute"/>
        </w:rPr>
        <w:t>type</w:t>
      </w:r>
      <w:r>
        <w:rPr>
          <w:rStyle w:val="Code"/>
        </w:rPr>
        <w:t>="</w:t>
      </w:r>
      <w:r>
        <w:rPr>
          <w:rStyle w:val="Codevalue"/>
        </w:rPr>
        <w:t>numeral</w:t>
      </w:r>
      <w:r>
        <w:rPr>
          <w:rStyle w:val="Code"/>
        </w:rPr>
        <w:t>"&gt;</w:t>
      </w:r>
      <w:r>
        <w:rPr>
          <w:rStyle w:val="Codetext"/>
        </w:rPr>
        <w:t>7</w:t>
      </w:r>
      <w:r>
        <w:rPr>
          <w:rStyle w:val="Code"/>
        </w:rPr>
        <w:t>&lt;g&gt;&lt;/num&gt;</w:t>
      </w:r>
    </w:p>
    <w:p w14:paraId="62319D96" w14:textId="77777777">
      <w:pPr>
        <w:pStyle w:val="Lista2"/>
      </w:pPr>
      <w:r>
        <w:rPr>
          <w:rStyle w:val="Code"/>
        </w:rPr>
        <w:t xml:space="preserve">&lt;num </w:t>
      </w:r>
      <w:r>
        <w:rPr>
          <w:rStyle w:val="Codeattribute"/>
        </w:rPr>
        <w:t>value</w:t>
      </w:r>
      <w:r>
        <w:rPr>
          <w:rStyle w:val="Code"/>
        </w:rPr>
        <w:t>="</w:t>
      </w:r>
      <w:r>
        <w:rPr>
          <w:rStyle w:val="Codevalue"/>
        </w:rPr>
        <w:t>186</w:t>
      </w:r>
      <w:r>
        <w:rPr>
          <w:rStyle w:val="Code"/>
        </w:rPr>
        <w:t>"&gt;</w:t>
      </w:r>
      <w:r>
        <w:rPr>
          <w:rStyle w:val="Codetext"/>
        </w:rPr>
        <w:t>sā rutuḥ 86</w:t>
      </w:r>
      <w:r>
        <w:rPr>
          <w:rStyle w:val="Code"/>
        </w:rPr>
        <w:t>&lt;/num&gt;</w:t>
      </w:r>
    </w:p>
    <w:p w14:paraId="24776CC5" w14:textId="77777777">
      <w:pPr>
        <w:pStyle w:val="Cmsor3"/>
      </w:pPr>
      <w:bookmarkStart w:id="767" w:name="_Ref231892505"/>
      <w:bookmarkStart w:id="768" w:name="_Toc243922727"/>
      <w:r>
        <w:t>Difficulties in reading numbers</w:t>
      </w:r>
      <w:bookmarkEnd w:id="767"/>
      <w:bookmarkEnd w:id="768"/>
    </w:p>
    <w:p w14:paraId="14947CEA" w14:textId="39B22C45">
      <w:pPr>
        <w:pStyle w:val="Lista"/>
      </w:pPr>
      <w:r>
        <w:t xml:space="preserve">problems with reading numeral signs </w:t>
      </w:r>
      <w:r>
        <w:rPr>
          <w:noProof/>
        </w:rPr>
        <w:t>(</w:t>
      </w:r>
      <w:r>
        <w:t xml:space="preserve">e.g. lacunae, unclear and ambivalent readings) can and must be marked up in the same way as other legibility issues </w:t>
      </w:r>
      <w:r>
        <w:rPr>
          <w:noProof/>
        </w:rPr>
        <w:t>(</w:t>
      </w:r>
      <w:r>
        <w:t>§</w:t>
      </w:r>
      <w:r>
        <w:fldChar w:fldCharType="begin"/>
      </w:r>
      <w:r>
        <w:instrText xml:space="preserve"> REF _Ref231895504 \r \h </w:instrText>
      </w:r>
      <w:r>
        <w:fldChar w:fldCharType="separate"/>
      </w:r>
      <w:r>
        <w:t>6</w:t>
      </w:r>
      <w:r>
        <w:fldChar w:fldCharType="end"/>
      </w:r>
      <w:r>
        <w:t>)</w:t>
      </w:r>
    </w:p>
    <w:p w14:paraId="1F88CB17" w14:textId="77777777">
      <w:pPr>
        <w:pStyle w:val="Lista"/>
      </w:pPr>
      <w:r>
        <w:t>if a numeral sign is unclear or ambivalent, the applicable tags must be placed</w:t>
      </w:r>
    </w:p>
    <w:p w14:paraId="5DE40007" w14:textId="77777777">
      <w:pPr>
        <w:pStyle w:val="Lista2"/>
      </w:pPr>
      <w:r>
        <w:t xml:space="preserve">outside any </w:t>
      </w:r>
      <w:r>
        <w:rPr>
          <w:rStyle w:val="Code"/>
        </w:rPr>
        <w:t>&lt;g&gt;</w:t>
      </w:r>
      <w:r>
        <w:t xml:space="preserve"> elements applied to numeral characters</w:t>
      </w:r>
    </w:p>
    <w:p w14:paraId="0EE2021C" w14:textId="77777777">
      <w:pPr>
        <w:pStyle w:val="Lista2"/>
      </w:pPr>
      <w:r>
        <w:t xml:space="preserve">but inside the </w:t>
      </w:r>
      <w:r>
        <w:rPr>
          <w:rStyle w:val="Code"/>
        </w:rPr>
        <w:t>&lt;num&gt;</w:t>
      </w:r>
      <w:r>
        <w:t xml:space="preserve"> element that wraps numbers as a whole</w:t>
      </w:r>
    </w:p>
    <w:p w14:paraId="0F779F6D" w14:textId="77777777">
      <w:pPr>
        <w:pStyle w:val="Lista"/>
      </w:pPr>
      <w:r>
        <w:t xml:space="preserve">numbers whose reading is problematic will usually not have a definite value that you can encode in the </w:t>
      </w:r>
      <w:r>
        <w:rPr>
          <w:rStyle w:val="Code"/>
        </w:rPr>
        <w:t>&lt;num&gt;</w:t>
      </w:r>
      <w:r>
        <w:t xml:space="preserve"> element; to deal with this problem, choose one of the methods in the following subsections</w:t>
      </w:r>
    </w:p>
    <w:p w14:paraId="7B2BD55C" w14:textId="77777777">
      <w:pPr>
        <w:pStyle w:val="Lista2"/>
      </w:pPr>
      <w:r>
        <w:t>whichever method you use, possible values and their relative probabilities may be elaborated in your annotation</w:t>
      </w:r>
    </w:p>
    <w:p w14:paraId="5BA53689" w14:textId="77777777">
      <w:pPr>
        <w:pStyle w:val="Cmsor4"/>
      </w:pPr>
      <w:r>
        <w:t>Range of values</w:t>
      </w:r>
    </w:p>
    <w:p w14:paraId="6C2A1962" w14:textId="77777777">
      <w:r>
        <w:t>If you can establish a range that covers the possible values of a problematic numeral, encode as follows.</w:t>
      </w:r>
    </w:p>
    <w:p w14:paraId="261CA8DC" w14:textId="77777777">
      <w:pPr>
        <w:pStyle w:val="Lista"/>
      </w:pPr>
      <w:r>
        <w:t xml:space="preserve">instead of the attribute </w:t>
      </w:r>
      <w:r>
        <w:rPr>
          <w:rStyle w:val="Codeattribute"/>
        </w:rPr>
        <w:t>@value</w:t>
      </w:r>
      <w:r>
        <w:t xml:space="preserve">, use </w:t>
      </w:r>
      <w:r>
        <w:rPr>
          <w:rStyle w:val="Codeattribute"/>
        </w:rPr>
        <w:t>@atLeast</w:t>
      </w:r>
      <w:r>
        <w:t xml:space="preserve"> and </w:t>
      </w:r>
      <w:r>
        <w:rPr>
          <w:rStyle w:val="Codeattribute"/>
        </w:rPr>
        <w:t>@atMost</w:t>
      </w:r>
      <w:r>
        <w:t xml:space="preserve"> in the </w:t>
      </w:r>
      <w:r>
        <w:rPr>
          <w:rStyle w:val="Code"/>
        </w:rPr>
        <w:t>&lt;num&gt;</w:t>
      </w:r>
      <w:r>
        <w:t xml:space="preserve"> element to record the lowest and highest possible value of the number as a whole</w:t>
      </w:r>
    </w:p>
    <w:p w14:paraId="3486B4E6" w14:textId="77777777">
      <w:pPr>
        <w:pStyle w:val="Lista2"/>
      </w:pPr>
      <w:r>
        <w:t xml:space="preserve">e.g. for three digits in place value notation, where the first two digits are 1 and 0, and the last digit is illegible: </w:t>
      </w:r>
      <w:r>
        <w:rPr>
          <w:rStyle w:val="Code"/>
        </w:rPr>
        <w:t xml:space="preserve">&lt;num </w:t>
      </w:r>
      <w:r>
        <w:rPr>
          <w:rStyle w:val="Codeattribute"/>
        </w:rPr>
        <w:t>atLeast</w:t>
      </w:r>
      <w:r>
        <w:rPr>
          <w:rStyle w:val="Code"/>
        </w:rPr>
        <w:t>=</w:t>
      </w:r>
      <w:r>
        <w:rPr>
          <w:rStyle w:val="Codevalue"/>
        </w:rPr>
        <w:t>"101"</w:t>
      </w:r>
      <w:r>
        <w:rPr>
          <w:rStyle w:val="Code"/>
        </w:rPr>
        <w:t xml:space="preserve"> </w:t>
      </w:r>
      <w:r>
        <w:rPr>
          <w:rStyle w:val="Codeattribute"/>
        </w:rPr>
        <w:t>atMost</w:t>
      </w:r>
      <w:r>
        <w:rPr>
          <w:rStyle w:val="Code"/>
        </w:rPr>
        <w:t>=</w:t>
      </w:r>
      <w:r>
        <w:rPr>
          <w:rStyle w:val="Codevalue"/>
        </w:rPr>
        <w:t>"109"</w:t>
      </w:r>
      <w:r>
        <w:rPr>
          <w:rStyle w:val="Code"/>
        </w:rPr>
        <w:t>&gt;</w:t>
      </w:r>
      <w:r>
        <w:rPr>
          <w:rStyle w:val="Codetext"/>
        </w:rPr>
        <w:t>10</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"character"</w:t>
      </w:r>
      <w:r>
        <w:rPr>
          <w:rStyle w:val="Code"/>
        </w:rPr>
        <w:t>/&gt;&lt;/num&gt;</w:t>
      </w:r>
    </w:p>
    <w:p w14:paraId="2ED69F24" w14:textId="77777777">
      <w:pPr>
        <w:pStyle w:val="Lista"/>
      </w:pPr>
      <w:r>
        <w:t>because of its relative simplicity, this method is also recommended for situations where only some figures in a relatively limited range are possible</w:t>
      </w:r>
    </w:p>
    <w:p w14:paraId="7AA3FBC5" w14:textId="77777777">
      <w:pPr>
        <w:pStyle w:val="Lista2"/>
        <w:rPr>
          <w:rStyle w:val="Code"/>
          <w:rFonts w:ascii="Gentium" w:hAnsi="Gentium" w:cs="Tiro Devanagari Sanskrit"/>
          <w:noProof w:val="0"/>
          <w:color w:val="auto"/>
          <w:shd w:val="clear" w:color="auto" w:fill="auto"/>
        </w:rPr>
      </w:pPr>
      <w:r>
        <w:t xml:space="preserve">e.g. for an unclear numeral sign that may be 80 or 90 with equal likelihood: </w:t>
      </w:r>
      <w:r>
        <w:rPr>
          <w:rStyle w:val="Code"/>
        </w:rPr>
        <w:t xml:space="preserve">&lt;num </w:t>
      </w:r>
      <w:r>
        <w:rPr>
          <w:rStyle w:val="Codeattribute"/>
        </w:rPr>
        <w:t>atLeast</w:t>
      </w:r>
      <w:r>
        <w:rPr>
          <w:rStyle w:val="Code"/>
        </w:rPr>
        <w:t>=</w:t>
      </w:r>
      <w:r>
        <w:rPr>
          <w:rStyle w:val="Codevalue"/>
        </w:rPr>
        <w:t>"80"</w:t>
      </w:r>
      <w:r>
        <w:rPr>
          <w:rStyle w:val="Code"/>
        </w:rPr>
        <w:t xml:space="preserve"> </w:t>
      </w:r>
      <w:r>
        <w:rPr>
          <w:rStyle w:val="Codeattribute"/>
        </w:rPr>
        <w:t>atMost</w:t>
      </w:r>
      <w:r>
        <w:rPr>
          <w:rStyle w:val="Code"/>
        </w:rPr>
        <w:t>=</w:t>
      </w:r>
      <w:r>
        <w:rPr>
          <w:rStyle w:val="Codevalue"/>
        </w:rPr>
        <w:t>"90"</w:t>
      </w:r>
      <w:r>
        <w:rPr>
          <w:rStyle w:val="Code"/>
        </w:rPr>
        <w:t xml:space="preserve">&gt;&lt;choice&gt;&lt;unclear&gt;&lt;g </w:t>
      </w:r>
      <w:r>
        <w:rPr>
          <w:rStyle w:val="Codeattribute"/>
        </w:rPr>
        <w:t>type</w:t>
      </w:r>
      <w:r>
        <w:rPr>
          <w:rStyle w:val="Code"/>
        </w:rPr>
        <w:t>=</w:t>
      </w:r>
      <w:r>
        <w:rPr>
          <w:rStyle w:val="Codevalue"/>
        </w:rPr>
        <w:t>"numeral"</w:t>
      </w:r>
      <w:r>
        <w:rPr>
          <w:rStyle w:val="Code"/>
        </w:rPr>
        <w:t>&gt;</w:t>
      </w:r>
      <w:r>
        <w:rPr>
          <w:rStyle w:val="Codetext"/>
        </w:rPr>
        <w:t>80</w:t>
      </w:r>
      <w:r>
        <w:rPr>
          <w:rStyle w:val="Code"/>
        </w:rPr>
        <w:t xml:space="preserve">&lt;/g&gt;&lt;/unclear&gt;&lt;unclear&gt;&lt;g </w:t>
      </w:r>
      <w:r>
        <w:rPr>
          <w:rStyle w:val="Codeattribute"/>
        </w:rPr>
        <w:t>type</w:t>
      </w:r>
      <w:r>
        <w:rPr>
          <w:rStyle w:val="Code"/>
        </w:rPr>
        <w:t>=</w:t>
      </w:r>
      <w:r>
        <w:rPr>
          <w:rStyle w:val="Codevalue"/>
        </w:rPr>
        <w:t>"numeral"</w:t>
      </w:r>
      <w:r>
        <w:rPr>
          <w:rStyle w:val="Code"/>
        </w:rPr>
        <w:t>&gt;</w:t>
      </w:r>
      <w:r>
        <w:rPr>
          <w:rStyle w:val="Codetext"/>
        </w:rPr>
        <w:t>90</w:t>
      </w:r>
      <w:r>
        <w:rPr>
          <w:rStyle w:val="Code"/>
        </w:rPr>
        <w:t>&lt;/g&gt;&lt;/unclear&gt;&lt;/choice&gt;&lt;/num&gt;</w:t>
      </w:r>
    </w:p>
    <w:p w14:paraId="7FFEB0A5" w14:textId="77777777">
      <w:pPr>
        <w:pStyle w:val="Lista2"/>
      </w:pPr>
      <w:r>
        <w:t>the EpiDoc Guidelines</w:t>
      </w:r>
      <w:r>
        <w:rPr>
          <w:rStyle w:val="Lbjegyzet-hivatkozs"/>
        </w:rPr>
        <w:footnoteReference w:id="39"/>
      </w:r>
      <w:r>
        <w:t xml:space="preserve"> offer a further method for dealing with partly lost numerals whose gamut of possible values is not sequential, but we discourage the use of this method because we do not foresee that our project would benefit from the increased accuracy to an extent that would justify the complexity of the markup involved</w:t>
      </w:r>
    </w:p>
    <w:p w14:paraId="68CBA259" w14:textId="77777777">
      <w:pPr>
        <w:pStyle w:val="Cmsor4"/>
      </w:pPr>
      <w:r>
        <w:t>Tentative value</w:t>
      </w:r>
    </w:p>
    <w:p w14:paraId="67202CA3" w14:textId="77777777">
      <w:r>
        <w:t>If you can establish a single tentative value for a problematic numeral, encode as follows.</w:t>
      </w:r>
    </w:p>
    <w:p w14:paraId="585D502A" w14:textId="77777777">
      <w:pPr>
        <w:pStyle w:val="Lista"/>
      </w:pPr>
      <w:r>
        <w:t xml:space="preserve">use the tentative value in the attribute </w:t>
      </w:r>
      <w:r>
        <w:rPr>
          <w:rStyle w:val="Codeattribute"/>
        </w:rPr>
        <w:t>@value</w:t>
      </w:r>
      <w:r>
        <w:t xml:space="preserve"> and add the attribute </w:t>
      </w:r>
      <w:r>
        <w:rPr>
          <w:rStyle w:val="Codeattribute"/>
        </w:rPr>
        <w:t>@cert</w:t>
      </w:r>
      <w:r>
        <w:t xml:space="preserve"> with the value </w:t>
      </w:r>
      <w:r>
        <w:rPr>
          <w:rStyle w:val="Codevalue"/>
        </w:rPr>
        <w:t>"low"</w:t>
      </w:r>
      <w:r>
        <w:t xml:space="preserve"> to flag the value as uncertain</w:t>
      </w:r>
    </w:p>
    <w:p w14:paraId="0ED94B21" w14:textId="77777777">
      <w:pPr>
        <w:pStyle w:val="Lista2"/>
      </w:pPr>
      <w:r>
        <w:t xml:space="preserve">e.g. for three digits in place value notation, where the first two digits are 2 and 4, and the last digit seems to be 6: </w:t>
      </w:r>
      <w:r>
        <w:rPr>
          <w:rStyle w:val="Code"/>
        </w:rPr>
        <w:t xml:space="preserve">&lt;num </w:t>
      </w:r>
      <w:r>
        <w:rPr>
          <w:rStyle w:val="Codeattribute"/>
        </w:rPr>
        <w:t>value</w:t>
      </w:r>
      <w:r>
        <w:rPr>
          <w:rStyle w:val="Code"/>
        </w:rPr>
        <w:t>=</w:t>
      </w:r>
      <w:r>
        <w:rPr>
          <w:rStyle w:val="Codevalue"/>
        </w:rPr>
        <w:t>"246"</w:t>
      </w:r>
      <w:r>
        <w:rPr>
          <w:rStyle w:val="Code"/>
        </w:rPr>
        <w:t xml:space="preserve"> </w:t>
      </w:r>
      <w:r>
        <w:rPr>
          <w:rStyle w:val="Codeattribute"/>
        </w:rPr>
        <w:t>cert</w:t>
      </w:r>
      <w:r>
        <w:rPr>
          <w:rStyle w:val="Code"/>
        </w:rPr>
        <w:t>=</w:t>
      </w:r>
      <w:r>
        <w:rPr>
          <w:rStyle w:val="Codevalue"/>
        </w:rPr>
        <w:t>"low"</w:t>
      </w:r>
      <w:r>
        <w:rPr>
          <w:rStyle w:val="Code"/>
        </w:rPr>
        <w:t>&gt;</w:t>
      </w:r>
      <w:r>
        <w:rPr>
          <w:rStyle w:val="Codetext"/>
        </w:rPr>
        <w:t>24</w:t>
      </w:r>
      <w:r>
        <w:rPr>
          <w:rStyle w:val="Code"/>
        </w:rPr>
        <w:t>&lt;unclear&gt;</w:t>
      </w:r>
      <w:r>
        <w:rPr>
          <w:rStyle w:val="Codetext"/>
        </w:rPr>
        <w:t>6</w:t>
      </w:r>
      <w:r>
        <w:rPr>
          <w:rStyle w:val="Code"/>
        </w:rPr>
        <w:t>&lt;/unclear&gt;&lt;/num&gt;</w:t>
      </w:r>
    </w:p>
    <w:p w14:paraId="4123EBBB" w14:textId="77777777">
      <w:pPr>
        <w:pStyle w:val="Cmsor4"/>
      </w:pPr>
      <w:r>
        <w:t>Tentative range</w:t>
      </w:r>
    </w:p>
    <w:p w14:paraId="1A174E5C" w14:textId="77777777">
      <w:r>
        <w:t>The above methods may be combined to encode a range of tentative values.</w:t>
      </w:r>
    </w:p>
    <w:p w14:paraId="0B25E8B5" w14:textId="77777777">
      <w:pPr>
        <w:pStyle w:val="Lista"/>
      </w:pPr>
      <w:r>
        <w:t xml:space="preserve">e.g. for three digits in place value notation, where the first two digits are probably 1 and 0, and the last digit is illegible: </w:t>
      </w:r>
      <w:r>
        <w:rPr>
          <w:rStyle w:val="Code"/>
        </w:rPr>
        <w:t xml:space="preserve">&lt;num </w:t>
      </w:r>
      <w:r>
        <w:rPr>
          <w:rStyle w:val="Codeattribute"/>
        </w:rPr>
        <w:t>atLeast</w:t>
      </w:r>
      <w:r>
        <w:rPr>
          <w:rStyle w:val="Code"/>
        </w:rPr>
        <w:t>=</w:t>
      </w:r>
      <w:r>
        <w:rPr>
          <w:rStyle w:val="Codevalue"/>
        </w:rPr>
        <w:t>"101"</w:t>
      </w:r>
      <w:r>
        <w:rPr>
          <w:rStyle w:val="Code"/>
        </w:rPr>
        <w:t xml:space="preserve"> </w:t>
      </w:r>
      <w:r>
        <w:rPr>
          <w:rStyle w:val="Codeattribute"/>
        </w:rPr>
        <w:t>atMost</w:t>
      </w:r>
      <w:r>
        <w:rPr>
          <w:rStyle w:val="Code"/>
        </w:rPr>
        <w:t>=</w:t>
      </w:r>
      <w:r>
        <w:rPr>
          <w:rStyle w:val="Codevalue"/>
        </w:rPr>
        <w:t xml:space="preserve">"109" </w:t>
      </w:r>
      <w:r>
        <w:rPr>
          <w:rStyle w:val="Codeattribute"/>
        </w:rPr>
        <w:t>cert</w:t>
      </w:r>
      <w:r>
        <w:rPr>
          <w:rStyle w:val="Code"/>
        </w:rPr>
        <w:t>=</w:t>
      </w:r>
      <w:r>
        <w:rPr>
          <w:rStyle w:val="Codevalue"/>
        </w:rPr>
        <w:t>"low"</w:t>
      </w:r>
      <w:r>
        <w:rPr>
          <w:rStyle w:val="Code"/>
        </w:rPr>
        <w:t>&gt;&lt;unclear&gt;</w:t>
      </w:r>
      <w:r>
        <w:rPr>
          <w:rStyle w:val="Codetext"/>
        </w:rPr>
        <w:t>10</w:t>
      </w:r>
      <w:r>
        <w:rPr>
          <w:rStyle w:val="Code"/>
        </w:rPr>
        <w:t xml:space="preserve">&lt;/unclear&gt;&lt;gap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"character"</w:t>
      </w:r>
      <w:r>
        <w:rPr>
          <w:rStyle w:val="Code"/>
        </w:rPr>
        <w:t>/&gt;&lt;/num&gt;</w:t>
      </w:r>
    </w:p>
    <w:p w14:paraId="485D0D98" w14:textId="77777777">
      <w:pPr>
        <w:pStyle w:val="Cmsor4"/>
      </w:pPr>
      <w:r>
        <w:lastRenderedPageBreak/>
        <w:t>Unknown value</w:t>
      </w:r>
    </w:p>
    <w:p w14:paraId="34DF4FA5" w14:textId="77777777">
      <w:r>
        <w:t xml:space="preserve">If none of the above seems adequate for a partially legible numeral, or if a numeral is wholly lost or illegible </w:t>
      </w:r>
      <w:r>
        <w:rPr>
          <w:noProof/>
        </w:rPr>
        <w:t>(</w:t>
      </w:r>
      <w:r>
        <w:t>yet you are certain it was a numeral), encode as follows.</w:t>
      </w:r>
    </w:p>
    <w:p w14:paraId="75FF3518" w14:textId="77777777">
      <w:pPr>
        <w:pStyle w:val="Lista"/>
      </w:pPr>
      <w:r>
        <w:t xml:space="preserve">use the </w:t>
      </w:r>
      <w:r>
        <w:rPr>
          <w:rStyle w:val="Code"/>
        </w:rPr>
        <w:t>&lt;num&gt;</w:t>
      </w:r>
      <w:r>
        <w:t xml:space="preserve"> element without </w:t>
      </w:r>
      <w:r>
        <w:rPr>
          <w:rStyle w:val="Codeattribute"/>
        </w:rPr>
        <w:t>@value</w:t>
      </w:r>
      <w:r>
        <w:t xml:space="preserve"> around the partial reading or the lacuna</w:t>
      </w:r>
    </w:p>
    <w:p w14:paraId="5AA4D6D9" w14:textId="77777777">
      <w:pPr>
        <w:pStyle w:val="Lista2"/>
      </w:pPr>
      <w:r>
        <w:t xml:space="preserve">e.g. for one lost/illegible numeral character: </w:t>
      </w:r>
      <w:r>
        <w:rPr>
          <w:rStyle w:val="Code"/>
        </w:rPr>
        <w:t xml:space="preserve">&lt;num&gt;&lt;gap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"character"</w:t>
      </w:r>
      <w:r>
        <w:rPr>
          <w:rStyle w:val="Code"/>
        </w:rPr>
        <w:t>/&gt;&lt;/num&gt;</w:t>
      </w:r>
    </w:p>
    <w:p w14:paraId="00D329DD" w14:textId="77777777">
      <w:pPr>
        <w:pStyle w:val="Cmsor3"/>
      </w:pPr>
      <w:bookmarkStart w:id="769" w:name="_h6ric5yl5k83" w:colFirst="0" w:colLast="0"/>
      <w:bookmarkStart w:id="770" w:name="_Toc243922728"/>
      <w:bookmarkEnd w:id="769"/>
      <w:r>
        <w:t>Editorial intervention and numerals</w:t>
      </w:r>
      <w:bookmarkEnd w:id="770"/>
    </w:p>
    <w:p w14:paraId="3FF9AD65" w14:textId="77777777">
      <w:pPr>
        <w:pStyle w:val="Lista"/>
      </w:pPr>
      <w:r>
        <w:t>occasionally, an editor may be able to restore a lost number, or even emend an incorrectly inscribed one, e.g. on the basis of the number being also written out in words</w:t>
      </w:r>
    </w:p>
    <w:p w14:paraId="687DD8AD" w14:textId="108C8167">
      <w:pPr>
        <w:pStyle w:val="Lista"/>
      </w:pPr>
      <w:r>
        <w:t>tags for editorial restoration (§</w:t>
      </w:r>
      <w:r>
        <w:fldChar w:fldCharType="begin"/>
      </w:r>
      <w:r>
        <w:instrText xml:space="preserve"> REF _Ref228459751 \r \h </w:instrText>
      </w:r>
      <w:r>
        <w:fldChar w:fldCharType="separate"/>
      </w:r>
      <w:r>
        <w:t>6.4</w:t>
      </w:r>
      <w:r>
        <w:fldChar w:fldCharType="end"/>
      </w:r>
      <w:r>
        <w:t xml:space="preserve">) may be used inside or outside the </w:t>
      </w:r>
      <w:r>
        <w:rPr>
          <w:rStyle w:val="Code"/>
        </w:rPr>
        <w:t>&lt;num&gt;</w:t>
      </w:r>
      <w:r>
        <w:t xml:space="preserve"> element depending on the scope of the restoration, but they must never be inside any </w:t>
      </w:r>
      <w:r>
        <w:rPr>
          <w:rStyle w:val="Code"/>
        </w:rPr>
        <w:t>&lt;g&gt;</w:t>
      </w:r>
      <w:r>
        <w:t xml:space="preserve"> elements applied to numeral signs</w:t>
      </w:r>
    </w:p>
    <w:p w14:paraId="3EEE5A1C" w14:textId="77777777">
      <w:pPr>
        <w:pStyle w:val="Lista2"/>
      </w:pPr>
      <w:r>
        <w:t>a longer stretch of restored text may freely include both text and a numeral</w:t>
      </w:r>
    </w:p>
    <w:p w14:paraId="5903C846" w14:textId="77777777">
      <w:pPr>
        <w:pStyle w:val="Lista2"/>
      </w:pPr>
      <w:r>
        <w:t xml:space="preserve">the </w:t>
      </w:r>
      <w:r>
        <w:rPr>
          <w:rStyle w:val="Codeattribute"/>
        </w:rPr>
        <w:t>@value</w:t>
      </w:r>
      <w:r>
        <w:t xml:space="preserve"> attribute of the </w:t>
      </w:r>
      <w:r>
        <w:rPr>
          <w:rStyle w:val="Code"/>
        </w:rPr>
        <w:t>&lt;num&gt;</w:t>
      </w:r>
      <w:r>
        <w:t xml:space="preserve"> element should reflect only the restored value</w:t>
      </w:r>
    </w:p>
    <w:p w14:paraId="0127190C" w14:textId="1B607617">
      <w:pPr>
        <w:pStyle w:val="Lista"/>
      </w:pPr>
      <w:r>
        <w:t>tags for editorial correction (§</w:t>
      </w:r>
      <w:r>
        <w:fldChar w:fldCharType="begin"/>
      </w:r>
      <w:r>
        <w:instrText xml:space="preserve"> REF _Ref229054270 \r \h </w:instrText>
      </w:r>
      <w:r>
        <w:fldChar w:fldCharType="separate"/>
      </w:r>
      <w:r>
        <w:t>7.2</w:t>
      </w:r>
      <w:r>
        <w:fldChar w:fldCharType="end"/>
      </w:r>
      <w:r>
        <w:t xml:space="preserve">) must be outside the </w:t>
      </w:r>
      <w:r>
        <w:rPr>
          <w:rStyle w:val="Code"/>
        </w:rPr>
        <w:t>&lt;num&gt;</w:t>
      </w:r>
      <w:r>
        <w:t xml:space="preserve"> elements, which must separately encode both the pre- and post-correction number</w:t>
      </w:r>
    </w:p>
    <w:p w14:paraId="53F89F40" w14:textId="77777777">
      <w:pPr>
        <w:pStyle w:val="Lista2"/>
        <w:rPr>
          <w:rStyle w:val="Code"/>
          <w:rFonts w:ascii="Gentium Plus" w:hAnsi="Gentium Plus" w:cs="Arial Unicode MS"/>
          <w:noProof w:val="0"/>
          <w:color w:val="auto"/>
          <w:shd w:val="clear" w:color="auto" w:fill="auto"/>
        </w:rPr>
      </w:pPr>
      <w:r>
        <w:t xml:space="preserve">e.g. </w:t>
      </w:r>
      <w:r>
        <w:rPr>
          <w:rStyle w:val="Code"/>
        </w:rPr>
        <w:t xml:space="preserve">&lt;choice&gt;&lt;sic&gt;&lt;num </w:t>
      </w:r>
      <w:r>
        <w:rPr>
          <w:rStyle w:val="Codeattribute"/>
        </w:rPr>
        <w:t>value</w:t>
      </w:r>
      <w:r>
        <w:rPr>
          <w:rStyle w:val="Code"/>
        </w:rPr>
        <w:t>=</w:t>
      </w:r>
      <w:r>
        <w:rPr>
          <w:rStyle w:val="Codevalue"/>
        </w:rPr>
        <w:t>"6"</w:t>
      </w:r>
      <w:r>
        <w:rPr>
          <w:rStyle w:val="Code"/>
        </w:rPr>
        <w:t>&gt;</w:t>
      </w:r>
      <w:r>
        <w:rPr>
          <w:rStyle w:val="Codetext"/>
        </w:rPr>
        <w:t>6</w:t>
      </w:r>
      <w:r>
        <w:rPr>
          <w:rStyle w:val="Code"/>
        </w:rPr>
        <w:t xml:space="preserve">&lt;/num&gt;&lt;/sic&gt;&lt;corr&gt;&lt;num </w:t>
      </w:r>
      <w:r>
        <w:rPr>
          <w:rStyle w:val="Codeattribute"/>
        </w:rPr>
        <w:t>value</w:t>
      </w:r>
      <w:r>
        <w:rPr>
          <w:rStyle w:val="Code"/>
        </w:rPr>
        <w:t>=</w:t>
      </w:r>
      <w:r>
        <w:rPr>
          <w:rStyle w:val="Codevalue"/>
        </w:rPr>
        <w:t>"7"</w:t>
      </w:r>
      <w:r>
        <w:rPr>
          <w:rStyle w:val="Code"/>
        </w:rPr>
        <w:t>&gt;</w:t>
      </w:r>
      <w:r>
        <w:rPr>
          <w:rStyle w:val="Codetext"/>
        </w:rPr>
        <w:t>7</w:t>
      </w:r>
      <w:r>
        <w:rPr>
          <w:rStyle w:val="Code"/>
        </w:rPr>
        <w:t>&lt;/num&gt;&lt;/corr&gt;&lt;/choice&gt;</w:t>
      </w:r>
    </w:p>
    <w:p w14:paraId="04023571" w14:textId="77777777">
      <w:pPr>
        <w:pStyle w:val="Lista2"/>
      </w:pPr>
      <w:r>
        <w:t>as a corollary of this, the entire number must be included in the correction markup even when editorial correction affects only one digit of a multi-digit numeral (regardless of whether the digits are in place value notation or not)</w:t>
      </w:r>
    </w:p>
    <w:p w14:paraId="63C8F129" w14:textId="77777777">
      <w:pPr>
        <w:pStyle w:val="Lista3"/>
      </w:pPr>
      <w:r>
        <w:t xml:space="preserve">e.g. </w:t>
      </w:r>
      <w:r>
        <w:rPr>
          <w:rStyle w:val="Code"/>
        </w:rPr>
        <w:t xml:space="preserve">&lt;choice&gt;&lt;sic&gt;&lt;num </w:t>
      </w:r>
      <w:r>
        <w:rPr>
          <w:rStyle w:val="Codeattribute"/>
        </w:rPr>
        <w:t>value</w:t>
      </w:r>
      <w:r>
        <w:rPr>
          <w:rStyle w:val="Code"/>
        </w:rPr>
        <w:t>=</w:t>
      </w:r>
      <w:r>
        <w:rPr>
          <w:rStyle w:val="Codevalue"/>
        </w:rPr>
        <w:t>"18"</w:t>
      </w:r>
      <w:r>
        <w:rPr>
          <w:rStyle w:val="Code"/>
        </w:rPr>
        <w:t>&gt;</w:t>
      </w:r>
      <w:r>
        <w:rPr>
          <w:rStyle w:val="Codetext"/>
        </w:rPr>
        <w:t>18</w:t>
      </w:r>
      <w:r>
        <w:rPr>
          <w:rStyle w:val="Code"/>
        </w:rPr>
        <w:t xml:space="preserve">&lt;/num&gt;&lt;/sic&gt;&lt;corr&gt;&lt;num </w:t>
      </w:r>
      <w:r>
        <w:rPr>
          <w:rStyle w:val="Codeattribute"/>
        </w:rPr>
        <w:t>value</w:t>
      </w:r>
      <w:r>
        <w:rPr>
          <w:rStyle w:val="Code"/>
        </w:rPr>
        <w:t>=</w:t>
      </w:r>
      <w:r>
        <w:rPr>
          <w:rStyle w:val="Codevalue"/>
        </w:rPr>
        <w:t>"28"</w:t>
      </w:r>
      <w:r>
        <w:rPr>
          <w:rStyle w:val="Code"/>
        </w:rPr>
        <w:t>&gt;</w:t>
      </w:r>
      <w:r>
        <w:rPr>
          <w:rStyle w:val="Codetext"/>
        </w:rPr>
        <w:t>28</w:t>
      </w:r>
      <w:r>
        <w:rPr>
          <w:rStyle w:val="Code"/>
        </w:rPr>
        <w:t>&lt;/num&gt;&lt;/corr&gt;&lt;/choice&gt;</w:t>
      </w:r>
    </w:p>
    <w:p w14:paraId="2ED8AC2E" w14:textId="77777777">
      <w:pPr>
        <w:pStyle w:val="Cmsor2"/>
      </w:pPr>
      <w:bookmarkStart w:id="771" w:name="_Ref232002201"/>
      <w:bookmarkStart w:id="772" w:name="_Toc243922729"/>
      <w:r>
        <w:t>Abbreviations</w:t>
      </w:r>
      <w:bookmarkEnd w:id="728"/>
      <w:bookmarkEnd w:id="771"/>
      <w:bookmarkEnd w:id="772"/>
    </w:p>
    <w:p w14:paraId="495224F8" w14:textId="48F2EA98">
      <w:pPr>
        <w:rPr>
          <w:lang w:eastAsia="en-US" w:bidi="ar-SA"/>
        </w:rPr>
      </w:pPr>
      <w:r>
        <w:rPr>
          <w:lang w:eastAsia="en-US" w:bidi="ar-SA"/>
        </w:rPr>
        <w:t>Abbreviations, i.e. strings of phonographic graphemes representing part of a word or phrase but understood to signify the entire word or phrase, may be tagged as such in TEI as per §</w:t>
      </w:r>
      <w:r>
        <w:rPr>
          <w:lang w:eastAsia="en-US" w:bidi="ar-SA"/>
        </w:rPr>
        <w:fldChar w:fldCharType="begin"/>
      </w:r>
      <w:r>
        <w:rPr>
          <w:lang w:eastAsia="en-US" w:bidi="ar-SA"/>
        </w:rPr>
        <w:instrText xml:space="preserve"> REF _Ref231905103 \r \h </w:instrText>
      </w:r>
      <w:r>
        <w:rPr>
          <w:lang w:eastAsia="en-US" w:bidi="ar-SA"/>
        </w:rPr>
      </w:r>
      <w:r>
        <w:rPr>
          <w:lang w:eastAsia="en-US" w:bidi="ar-SA"/>
        </w:rPr>
        <w:fldChar w:fldCharType="separate"/>
      </w:r>
      <w:r>
        <w:rPr>
          <w:lang w:eastAsia="en-US" w:bidi="ar-SA"/>
        </w:rPr>
        <w:t>9.2.1</w:t>
      </w:r>
      <w:r>
        <w:rPr>
          <w:lang w:eastAsia="en-US" w:bidi="ar-SA"/>
        </w:rPr>
        <w:fldChar w:fldCharType="end"/>
      </w:r>
      <w:r>
        <w:rPr>
          <w:lang w:eastAsia="en-US" w:bidi="ar-SA"/>
        </w:rPr>
        <w:t>, which allows them to be interpretable by a computer. Markup is also available for expanding abbreviations, i.e. for resolving the abbreviation into (your editorial notion of) the full word or phrase it signifies, as per §</w:t>
      </w:r>
      <w:r>
        <w:rPr>
          <w:lang w:eastAsia="en-US" w:bidi="ar-SA"/>
        </w:rPr>
        <w:fldChar w:fldCharType="begin"/>
      </w:r>
      <w:r>
        <w:rPr>
          <w:lang w:eastAsia="en-US" w:bidi="ar-SA"/>
        </w:rPr>
        <w:instrText xml:space="preserve"> REF _Ref122445893 \r \h </w:instrText>
      </w:r>
      <w:r>
        <w:rPr>
          <w:lang w:eastAsia="en-US" w:bidi="ar-SA"/>
        </w:rPr>
      </w:r>
      <w:r>
        <w:rPr>
          <w:lang w:eastAsia="en-US" w:bidi="ar-SA"/>
        </w:rPr>
        <w:fldChar w:fldCharType="separate"/>
      </w:r>
      <w:r>
        <w:rPr>
          <w:lang w:eastAsia="en-US" w:bidi="ar-SA"/>
        </w:rPr>
        <w:t>9.2.2</w:t>
      </w:r>
      <w:r>
        <w:rPr>
          <w:lang w:eastAsia="en-US" w:bidi="ar-SA"/>
        </w:rPr>
        <w:fldChar w:fldCharType="end"/>
      </w:r>
      <w:r>
        <w:rPr>
          <w:lang w:eastAsia="en-US" w:bidi="ar-SA"/>
        </w:rPr>
        <w:t xml:space="preserve">. </w:t>
      </w:r>
    </w:p>
    <w:p w14:paraId="6F612A23" w14:textId="77777777">
      <w:pPr>
        <w:pStyle w:val="Cmsor3"/>
      </w:pPr>
      <w:bookmarkStart w:id="773" w:name="_Ref231905103"/>
      <w:bookmarkStart w:id="774" w:name="_Toc243922730"/>
      <w:r>
        <w:t>Tagging abbreviations</w:t>
      </w:r>
      <w:bookmarkEnd w:id="773"/>
      <w:bookmarkEnd w:id="774"/>
    </w:p>
    <w:p w14:paraId="7D9A7E11" w14:textId="77777777">
      <w:pPr>
        <w:rPr>
          <w:lang w:eastAsia="en-US" w:bidi="ar-SA"/>
        </w:rPr>
      </w:pPr>
      <w:r>
        <w:rPr>
          <w:lang w:eastAsia="en-US" w:bidi="ar-SA"/>
        </w:rPr>
        <w:t>Encoding abbreviations is not mandatory in DHARMA editions, but it is generally recommended that you tag all abbreviations in your editions.</w:t>
      </w:r>
    </w:p>
    <w:p w14:paraId="2AE34E09" w14:textId="77777777">
      <w:pPr>
        <w:pStyle w:val="Lista"/>
      </w:pPr>
      <w:r>
        <w:t xml:space="preserve">to tag an abbreviation, wrap it in the element </w:t>
      </w:r>
      <w:r>
        <w:rPr>
          <w:rStyle w:val="Code"/>
        </w:rPr>
        <w:t>&lt;abbr&gt;</w:t>
      </w:r>
      <w:r>
        <w:t xml:space="preserve"> without any attributes</w:t>
      </w:r>
    </w:p>
    <w:p w14:paraId="6D356C7C" w14:textId="77777777">
      <w:pPr>
        <w:pStyle w:val="Lista2"/>
        <w:rPr>
          <w:rStyle w:val="Foreign"/>
          <w:i w:val="0"/>
          <w:iCs w:val="0"/>
          <w:noProof w:val="0"/>
        </w:rPr>
      </w:pPr>
      <w:r>
        <w:t xml:space="preserve">e.g. </w:t>
      </w:r>
      <w:r>
        <w:rPr>
          <w:rStyle w:val="Code"/>
        </w:rPr>
        <w:t>&lt;abbr&gt;</w:t>
      </w:r>
      <w:r>
        <w:rPr>
          <w:rStyle w:val="Codetext"/>
        </w:rPr>
        <w:t>su</w:t>
      </w:r>
      <w:r>
        <w:rPr>
          <w:rStyle w:val="Code"/>
        </w:rPr>
        <w:t>&lt;/abbr&gt;</w:t>
      </w:r>
      <w:r>
        <w:t xml:space="preserve"> for the abbreviation of </w:t>
      </w:r>
      <w:r>
        <w:rPr>
          <w:rStyle w:val="Foreign"/>
        </w:rPr>
        <w:t>suvarṇa</w:t>
      </w:r>
    </w:p>
    <w:p w14:paraId="358FBA3F" w14:textId="579AF8AC">
      <w:pPr>
        <w:pStyle w:val="Lista2"/>
      </w:pPr>
      <w:r>
        <w:t xml:space="preserve">see also </w:t>
      </w:r>
      <w:r>
        <w:fldChar w:fldCharType="begin"/>
      </w:r>
      <w:r>
        <w:instrText xml:space="preserve"> REF _Ref182560821 \h </w:instrText>
      </w:r>
      <w:r>
        <w:fldChar w:fldCharType="separate"/>
      </w:r>
      <w:r>
        <w:t xml:space="preserve">Exhibit </w:t>
      </w:r>
      <w:r>
        <w:rPr>
          <w:noProof/>
        </w:rPr>
        <w:t>9.1</w:t>
      </w:r>
      <w:r>
        <w:t>.</w:t>
      </w:r>
      <w:r>
        <w:rPr>
          <w:noProof/>
        </w:rPr>
        <w:t>A</w:t>
      </w:r>
      <w:r>
        <w:fldChar w:fldCharType="end"/>
      </w:r>
      <w:r>
        <w:t xml:space="preserve"> for a real-life illustration</w:t>
      </w:r>
    </w:p>
    <w:p w14:paraId="65E8DD9F" w14:textId="77777777">
      <w:pPr>
        <w:pStyle w:val="Lista"/>
      </w:pPr>
      <w:r>
        <w:t>abbreviations comprised of parts of words in compound and in phrases or sequences that regularly occur together shall be tagged as a single unit or as separate abbreviations at your discretion, e.g.</w:t>
      </w:r>
    </w:p>
    <w:p w14:paraId="318B1BB1" w14:textId="77777777">
      <w:pPr>
        <w:pStyle w:val="Lista2"/>
      </w:pPr>
      <w:r>
        <w:rPr>
          <w:rStyle w:val="Code"/>
        </w:rPr>
        <w:t>&lt;abbr&gt;</w:t>
      </w:r>
      <w:r>
        <w:rPr>
          <w:rStyle w:val="Codetext"/>
        </w:rPr>
        <w:t>badi</w:t>
      </w:r>
      <w:r>
        <w:rPr>
          <w:rStyle w:val="Code"/>
        </w:rPr>
        <w:t>&lt;/abbr&gt;</w:t>
      </w:r>
      <w:r>
        <w:t xml:space="preserve"> for the abbreviation of </w:t>
      </w:r>
      <w:r>
        <w:rPr>
          <w:rStyle w:val="Foreign"/>
        </w:rPr>
        <w:t>bahula-divase</w:t>
      </w:r>
    </w:p>
    <w:p w14:paraId="40B2239A" w14:textId="77777777">
      <w:pPr>
        <w:pStyle w:val="Lista2"/>
      </w:pPr>
      <w:r>
        <w:rPr>
          <w:rStyle w:val="Code"/>
        </w:rPr>
        <w:t>&lt;abbr&gt;</w:t>
      </w:r>
      <w:r>
        <w:rPr>
          <w:rStyle w:val="Codetext"/>
        </w:rPr>
        <w:t>grī pa</w:t>
      </w:r>
      <w:r>
        <w:rPr>
          <w:rStyle w:val="Code"/>
        </w:rPr>
        <w:t>&lt;/abbr&gt;</w:t>
      </w:r>
      <w:r>
        <w:t xml:space="preserve"> or </w:t>
      </w:r>
      <w:r>
        <w:rPr>
          <w:rStyle w:val="Code"/>
        </w:rPr>
        <w:t>&lt;abbr&gt;</w:t>
      </w:r>
      <w:r>
        <w:rPr>
          <w:rStyle w:val="Codetext"/>
        </w:rPr>
        <w:t>grī</w:t>
      </w:r>
      <w:r>
        <w:rPr>
          <w:rStyle w:val="Code"/>
        </w:rPr>
        <w:t>&lt;/abbr&gt; &lt;abbr&gt;</w:t>
      </w:r>
      <w:r>
        <w:rPr>
          <w:rStyle w:val="Codetext"/>
        </w:rPr>
        <w:t>pa</w:t>
      </w:r>
      <w:r>
        <w:rPr>
          <w:rStyle w:val="Code"/>
        </w:rPr>
        <w:t>&lt;/abbr&gt;</w:t>
      </w:r>
      <w:r>
        <w:t xml:space="preserve"> for the abbreviation of </w:t>
      </w:r>
      <w:r>
        <w:rPr>
          <w:rStyle w:val="Foreign"/>
        </w:rPr>
        <w:t>grīṣma pakṣa</w:t>
      </w:r>
      <w:r>
        <w:t xml:space="preserve"> </w:t>
      </w:r>
    </w:p>
    <w:p w14:paraId="0D0C9DAB" w14:textId="77777777">
      <w:pPr>
        <w:pStyle w:val="Cmsor3"/>
      </w:pPr>
      <w:bookmarkStart w:id="775" w:name="_Ref122445893"/>
      <w:bookmarkStart w:id="776" w:name="_Toc243922731"/>
      <w:r>
        <w:t>Expanding abbreviations</w:t>
      </w:r>
      <w:bookmarkEnd w:id="775"/>
      <w:bookmarkEnd w:id="776"/>
    </w:p>
    <w:p w14:paraId="380970FA" w14:textId="77777777">
      <w:r>
        <w:rPr>
          <w:lang w:eastAsia="en-US" w:bidi="ar-SA"/>
        </w:rPr>
        <w:t xml:space="preserve">Expanding abbreviations is optional but recommended especially in </w:t>
      </w:r>
      <w:r>
        <w:t>cases where a certain abbreviation may be resolved in more than one way, and you wish to indicate a particular resolution. It is generally preferable not to resolve common abbreviations (whose meaning can be found in published reference works), especially if they allow multiple resolutions with the same ultimate meaning (differing for instance only in the choice of case ending or lack thereof).</w:t>
      </w:r>
    </w:p>
    <w:p w14:paraId="5D400813" w14:textId="77777777">
      <w:pPr>
        <w:pStyle w:val="Lista"/>
      </w:pPr>
      <w:r>
        <w:lastRenderedPageBreak/>
        <w:t xml:space="preserve">resolved abbreviations must be wrapped in the element </w:t>
      </w:r>
      <w:r>
        <w:rPr>
          <w:rStyle w:val="Code"/>
        </w:rPr>
        <w:t>&lt;expan&gt;</w:t>
      </w:r>
      <w:r>
        <w:t>, containing one or more instances (as necessary) of the following elements, and nothing outside the following elements:</w:t>
      </w:r>
    </w:p>
    <w:p w14:paraId="7C82B842" w14:textId="77777777">
      <w:pPr>
        <w:pStyle w:val="Lista2"/>
      </w:pPr>
      <w:r>
        <w:rPr>
          <w:rStyle w:val="Code"/>
        </w:rPr>
        <w:t>&lt;abbr&gt;</w:t>
      </w:r>
      <w:r>
        <w:t xml:space="preserve"> wrapping only graphemes present in the original, i.e. those that belong to the abbreviation </w:t>
      </w:r>
    </w:p>
    <w:p w14:paraId="3DE3C9BE" w14:textId="77777777">
      <w:pPr>
        <w:pStyle w:val="Lista2"/>
      </w:pPr>
      <w:r>
        <w:rPr>
          <w:rStyle w:val="Code"/>
        </w:rPr>
        <w:t>&lt;ex&gt;</w:t>
      </w:r>
      <w:r>
        <w:t xml:space="preserve"> wrapping only graphemes supplied to resolve the abbreviation, i.e. those that belong to the editorial expansion</w:t>
      </w:r>
    </w:p>
    <w:p w14:paraId="66BF4AF9" w14:textId="77777777">
      <w:pPr>
        <w:pStyle w:val="Lista3"/>
      </w:pPr>
      <w:r>
        <w:t xml:space="preserve">when you are unsure of an expansion but still wish to show it in the edition, add </w:t>
      </w:r>
      <w:r>
        <w:rPr>
          <w:rStyle w:val="Codeattribute"/>
        </w:rPr>
        <w:t>@cert</w:t>
      </w:r>
      <w:r>
        <w:rPr>
          <w:rStyle w:val="Codetext"/>
        </w:rPr>
        <w:t>=</w:t>
      </w:r>
      <w:r>
        <w:rPr>
          <w:rStyle w:val="Codevalue"/>
        </w:rPr>
        <w:t>"low"</w:t>
      </w:r>
      <w:r>
        <w:t xml:space="preserve">  to the </w:t>
      </w:r>
      <w:r>
        <w:rPr>
          <w:rStyle w:val="Code"/>
        </w:rPr>
        <w:t>&lt;ex&gt;</w:t>
      </w:r>
      <w:r>
        <w:t xml:space="preserve"> element</w:t>
      </w:r>
    </w:p>
    <w:p w14:paraId="53AC2133" w14:textId="77777777">
      <w:pPr>
        <w:pStyle w:val="Lista2"/>
      </w:pPr>
      <w:r>
        <w:t xml:space="preserve">should the abbreviation contain any graphemes which must be suppressed to obtain the expanded form of the abbreviation, wrap these in </w:t>
      </w:r>
      <w:r>
        <w:rPr>
          <w:rStyle w:val="Code"/>
        </w:rPr>
        <w:t>&lt;am&gt;</w:t>
      </w:r>
      <w:r>
        <w:t xml:space="preserve"> (for “abbreviation mark”) within the </w:t>
      </w:r>
      <w:r>
        <w:rPr>
          <w:rStyle w:val="Code"/>
        </w:rPr>
        <w:t>&lt;abbr&gt;</w:t>
      </w:r>
      <w:r>
        <w:t xml:space="preserve"> element</w:t>
      </w:r>
    </w:p>
    <w:p w14:paraId="0D828D34" w14:textId="77777777">
      <w:pPr>
        <w:pStyle w:val="Lista3"/>
      </w:pPr>
      <w:r>
        <w:t>the original purpose of this encoding was to allow suppressing actual abbreviation marks (TG §4.3.2) in resolved abbreviations</w:t>
      </w:r>
    </w:p>
    <w:p w14:paraId="646FB80A" w14:textId="77777777">
      <w:pPr>
        <w:pStyle w:val="Lista3"/>
      </w:pPr>
      <w:r>
        <w:t xml:space="preserve">in EpiDoc usage it is also applied to phonographic graphemes added to an abbreviation to indicate a plural or another change of the abbreviated word, e.g. Latin </w:t>
      </w:r>
      <w:r>
        <w:rPr>
          <w:rStyle w:val="Foreign"/>
        </w:rPr>
        <w:t>augg</w:t>
      </w:r>
      <w:r>
        <w:t xml:space="preserve"> abbreviating </w:t>
      </w:r>
      <w:r>
        <w:rPr>
          <w:rStyle w:val="Foreign"/>
        </w:rPr>
        <w:t>augusti duo</w:t>
      </w:r>
      <w:r>
        <w:t xml:space="preserve"> or English </w:t>
      </w:r>
      <w:r>
        <w:rPr>
          <w:rStyle w:val="Foreign"/>
        </w:rPr>
        <w:t>pp</w:t>
      </w:r>
      <w:r>
        <w:t xml:space="preserve"> abbreviating </w:t>
      </w:r>
      <w:r>
        <w:rPr>
          <w:rStyle w:val="Foreign"/>
        </w:rPr>
        <w:t>pages</w:t>
      </w:r>
    </w:p>
    <w:p w14:paraId="2CF441A8" w14:textId="77777777">
      <w:pPr>
        <w:pStyle w:val="Lista3"/>
      </w:pPr>
      <w:r>
        <w:t>so far, we have not encountered either of these phenomena in documents edited for DHARMA, but modern Indic writing systems do employ an abbreviation sign (e.g. Devanagari |</w:t>
      </w:r>
      <w:r>
        <w:rPr>
          <w:rStyle w:val="ForeignDevanagariScript0"/>
          <w:rFonts w:hint="cs"/>
          <w:cs/>
        </w:rPr>
        <w:t>॰</w:t>
      </w:r>
      <w:r>
        <w:t>|) and extra letters might conceivably be used in Indic abbreviations too, so the encoding option is available</w:t>
      </w:r>
    </w:p>
    <w:p w14:paraId="3187A4B2" w14:textId="77777777">
      <w:pPr>
        <w:pStyle w:val="Lista"/>
      </w:pPr>
      <w:r>
        <w:t>when resolving abbreviations in Sanskrit or another language with complex inflexion, feel free to resolve to stems (dictionary forms) when a specific fully inflected form cannot be predicted</w:t>
      </w:r>
    </w:p>
    <w:p w14:paraId="3BC61243" w14:textId="77777777">
      <w:pPr>
        <w:pStyle w:val="Lista2"/>
      </w:pPr>
      <w:r>
        <w:t xml:space="preserve">e.g. the abbreviation </w:t>
      </w:r>
      <w:r>
        <w:rPr>
          <w:rStyle w:val="Foreign"/>
        </w:rPr>
        <w:t>grī pa</w:t>
      </w:r>
      <w:r>
        <w:t xml:space="preserve"> is best resolved to </w:t>
      </w:r>
      <w:r>
        <w:rPr>
          <w:rStyle w:val="Foreign"/>
        </w:rPr>
        <w:t>grīṣma pakṣa</w:t>
      </w:r>
      <w:r>
        <w:t xml:space="preserve">, because a multiplicity of inflected forms are plausible (e.g. </w:t>
      </w:r>
      <w:r>
        <w:rPr>
          <w:rStyle w:val="Foreign"/>
        </w:rPr>
        <w:t>grīṣma-pakṣaḥ</w:t>
      </w:r>
      <w:r>
        <w:t xml:space="preserve">, </w:t>
      </w:r>
      <w:r>
        <w:rPr>
          <w:rStyle w:val="Foreign"/>
        </w:rPr>
        <w:t>grīṣma-pakṣe</w:t>
      </w:r>
      <w:r>
        <w:t xml:space="preserve">, </w:t>
      </w:r>
      <w:r>
        <w:rPr>
          <w:rStyle w:val="Foreign"/>
        </w:rPr>
        <w:t>grīṣmasya pakṣe</w:t>
      </w:r>
      <w:r>
        <w:t>)</w:t>
      </w:r>
    </w:p>
    <w:p w14:paraId="38B766C3" w14:textId="77777777">
      <w:pPr>
        <w:pStyle w:val="Lista"/>
      </w:pPr>
      <w:r>
        <w:t>examples of resolved abbreviations</w:t>
      </w:r>
    </w:p>
    <w:p w14:paraId="6EEE192F" w14:textId="77777777">
      <w:pPr>
        <w:pStyle w:val="Lista2"/>
      </w:pPr>
      <w:r>
        <w:t>abbreviation of a word by its initial grapheme(s)</w:t>
      </w:r>
    </w:p>
    <w:p w14:paraId="3F4911D1" w14:textId="77777777">
      <w:pPr>
        <w:pStyle w:val="Lista3"/>
      </w:pPr>
      <w:r>
        <w:t xml:space="preserve">the string </w:t>
      </w:r>
      <w:r>
        <w:rPr>
          <w:rStyle w:val="Foreign"/>
        </w:rPr>
        <w:t>mā</w:t>
      </w:r>
      <w:r>
        <w:t xml:space="preserve"> as an abbreviation of </w:t>
      </w:r>
      <w:r>
        <w:rPr>
          <w:rStyle w:val="Foreign"/>
        </w:rPr>
        <w:t>māṣa</w:t>
      </w:r>
      <w:r>
        <w:t xml:space="preserve">: </w:t>
      </w:r>
      <w:r>
        <w:rPr>
          <w:rStyle w:val="Code"/>
        </w:rPr>
        <w:t>&lt;expan&gt;&lt;abbr&gt;</w:t>
      </w:r>
      <w:r>
        <w:rPr>
          <w:rStyle w:val="Codetext"/>
        </w:rPr>
        <w:t>mā</w:t>
      </w:r>
      <w:r>
        <w:rPr>
          <w:rStyle w:val="Code"/>
        </w:rPr>
        <w:t>&lt;/abbr&gt;&lt;ex&gt;</w:t>
      </w:r>
      <w:r>
        <w:rPr>
          <w:rStyle w:val="Codetext"/>
        </w:rPr>
        <w:t>ṣa</w:t>
      </w:r>
      <w:r>
        <w:rPr>
          <w:rStyle w:val="Code"/>
        </w:rPr>
        <w:t>&lt;/ex&gt;&lt;/expan&gt;</w:t>
      </w:r>
      <w:r>
        <w:t xml:space="preserve"> </w:t>
      </w:r>
    </w:p>
    <w:p w14:paraId="713D4E92" w14:textId="77777777">
      <w:pPr>
        <w:pStyle w:val="Lista2"/>
      </w:pPr>
      <w:r>
        <w:t>abbreviation of a word by its final grapheme(s)</w:t>
      </w:r>
    </w:p>
    <w:p w14:paraId="57FC3A76" w14:textId="77777777">
      <w:pPr>
        <w:pStyle w:val="Lista3"/>
      </w:pPr>
      <w:r>
        <w:t xml:space="preserve">the string </w:t>
      </w:r>
      <w:r>
        <w:rPr>
          <w:rStyle w:val="Foreign"/>
        </w:rPr>
        <w:t>k·</w:t>
      </w:r>
      <w:r>
        <w:t xml:space="preserve"> </w:t>
      </w:r>
      <w:r>
        <w:rPr>
          <w:rStyle w:val="Foreign"/>
        </w:rPr>
        <w:t>tandoṅ·</w:t>
      </w:r>
      <w:r>
        <w:t xml:space="preserve"> as an abbreviation of </w:t>
      </w:r>
      <w:r>
        <w:rPr>
          <w:rStyle w:val="Foreign"/>
        </w:rPr>
        <w:t>jāk·</w:t>
      </w:r>
      <w:r>
        <w:t xml:space="preserve"> </w:t>
      </w:r>
      <w:r>
        <w:rPr>
          <w:rStyle w:val="Foreign"/>
        </w:rPr>
        <w:t>tandoṅ·</w:t>
      </w:r>
      <w:r>
        <w:t xml:space="preserve">: </w:t>
      </w:r>
      <w:r>
        <w:rPr>
          <w:rStyle w:val="Code"/>
        </w:rPr>
        <w:t>&lt;expan&gt;&lt;ex&gt;</w:t>
      </w:r>
      <w:r>
        <w:rPr>
          <w:rStyle w:val="Codetext"/>
        </w:rPr>
        <w:t>jā</w:t>
      </w:r>
      <w:r>
        <w:rPr>
          <w:rStyle w:val="Code"/>
        </w:rPr>
        <w:t>&lt;/ex&gt;&lt;abbr&gt;</w:t>
      </w:r>
      <w:r>
        <w:rPr>
          <w:rStyle w:val="Codetext"/>
        </w:rPr>
        <w:t>k·</w:t>
      </w:r>
      <w:r>
        <w:rPr>
          <w:rStyle w:val="Code"/>
        </w:rPr>
        <w:t>&lt;/abbr&gt; &lt;/expan&gt;</w:t>
      </w:r>
      <w:r>
        <w:rPr>
          <w:rStyle w:val="Codetext"/>
        </w:rPr>
        <w:t xml:space="preserve"> tandoṅ</w:t>
      </w:r>
    </w:p>
    <w:p w14:paraId="025BB1CA" w14:textId="77777777">
      <w:pPr>
        <w:pStyle w:val="Lista2"/>
      </w:pPr>
      <w:r>
        <w:t>abbreviation of a word by its initial and final grapheme(s)</w:t>
      </w:r>
    </w:p>
    <w:p w14:paraId="12C03B99" w14:textId="77777777">
      <w:pPr>
        <w:pStyle w:val="Lista3"/>
      </w:pPr>
      <w:r>
        <w:t xml:space="preserve">the string </w:t>
      </w:r>
      <w:r>
        <w:rPr>
          <w:rStyle w:val="Foreign"/>
        </w:rPr>
        <w:t>Im</w:t>
      </w:r>
      <w:r>
        <w:t xml:space="preserve"> as an abbreviation of </w:t>
      </w:r>
      <w:r>
        <w:rPr>
          <w:rStyle w:val="Foreign"/>
        </w:rPr>
        <w:t>Iraṇṭum</w:t>
      </w:r>
      <w:r>
        <w:t xml:space="preserve">: </w:t>
      </w:r>
      <w:r>
        <w:rPr>
          <w:rStyle w:val="Code"/>
        </w:rPr>
        <w:t>&lt;expan&gt;&lt;abbr&gt;</w:t>
      </w:r>
      <w:r>
        <w:rPr>
          <w:rStyle w:val="Codetext"/>
        </w:rPr>
        <w:t>I</w:t>
      </w:r>
      <w:r>
        <w:rPr>
          <w:rStyle w:val="Code"/>
        </w:rPr>
        <w:t>&lt;/abbr&gt;&lt;ex&gt;</w:t>
      </w:r>
      <w:r>
        <w:rPr>
          <w:rStyle w:val="Codetext"/>
        </w:rPr>
        <w:t>raṇṭu</w:t>
      </w:r>
      <w:r>
        <w:rPr>
          <w:rStyle w:val="Code"/>
        </w:rPr>
        <w:t>&lt;/ex&gt;&lt;abbr&gt;</w:t>
      </w:r>
      <w:r>
        <w:rPr>
          <w:rStyle w:val="Codetext"/>
        </w:rPr>
        <w:t>m</w:t>
      </w:r>
      <w:r>
        <w:rPr>
          <w:rStyle w:val="Code"/>
        </w:rPr>
        <w:t>&lt;/abbr&gt;&lt;/expan&gt;</w:t>
      </w:r>
      <w:r>
        <w:t xml:space="preserve"> </w:t>
      </w:r>
    </w:p>
    <w:p w14:paraId="73BB0C50" w14:textId="77777777">
      <w:pPr>
        <w:pStyle w:val="Lista2"/>
      </w:pPr>
      <w:r>
        <w:t>abbreviation of a compound word by the initial grapheme(s) of its members</w:t>
      </w:r>
    </w:p>
    <w:p w14:paraId="69D43E97" w14:textId="77777777">
      <w:pPr>
        <w:pStyle w:val="Lista3"/>
      </w:pPr>
      <w:r>
        <w:t xml:space="preserve">the string </w:t>
      </w:r>
      <w:r>
        <w:rPr>
          <w:rStyle w:val="Foreign"/>
        </w:rPr>
        <w:t>kuvā</w:t>
      </w:r>
      <w:r>
        <w:t xml:space="preserve"> as an abbreviation of </w:t>
      </w:r>
      <w:r>
        <w:rPr>
          <w:rStyle w:val="Foreign"/>
        </w:rPr>
        <w:t>kulyavāpa</w:t>
      </w:r>
      <w:r>
        <w:t xml:space="preserve">: </w:t>
      </w:r>
      <w:r>
        <w:rPr>
          <w:rStyle w:val="Code"/>
        </w:rPr>
        <w:t>&lt;expan&gt;&lt;abbr&gt;</w:t>
      </w:r>
      <w:r>
        <w:rPr>
          <w:rStyle w:val="Codetext"/>
        </w:rPr>
        <w:t>ku</w:t>
      </w:r>
      <w:r>
        <w:rPr>
          <w:rStyle w:val="Code"/>
        </w:rPr>
        <w:t>&lt;/abbr&gt;&lt;ex&gt;</w:t>
      </w:r>
      <w:r>
        <w:rPr>
          <w:rStyle w:val="Codetext"/>
        </w:rPr>
        <w:t>lya</w:t>
      </w:r>
      <w:r>
        <w:rPr>
          <w:rStyle w:val="Code"/>
        </w:rPr>
        <w:t>&lt;/ex&gt;&lt;abbr&gt;</w:t>
      </w:r>
      <w:r>
        <w:rPr>
          <w:rStyle w:val="Codetext"/>
        </w:rPr>
        <w:t>vā</w:t>
      </w:r>
      <w:r>
        <w:rPr>
          <w:rStyle w:val="Code"/>
        </w:rPr>
        <w:t>&lt;/abbr&gt;&lt;ex&gt;</w:t>
      </w:r>
      <w:r>
        <w:rPr>
          <w:rStyle w:val="Codetext"/>
        </w:rPr>
        <w:t>pa</w:t>
      </w:r>
      <w:r>
        <w:rPr>
          <w:rStyle w:val="Code"/>
        </w:rPr>
        <w:t>&lt;/ex&gt;&lt;/expan&gt;</w:t>
      </w:r>
      <w:r>
        <w:t xml:space="preserve"> </w:t>
      </w:r>
    </w:p>
    <w:p w14:paraId="0E72057E" w14:textId="77777777">
      <w:pPr>
        <w:pStyle w:val="Cmsor1"/>
      </w:pPr>
      <w:bookmarkStart w:id="777" w:name="_y8d6jllfz1" w:colFirst="0" w:colLast="0"/>
      <w:bookmarkStart w:id="778" w:name="_2s6au4dtqyfr" w:colFirst="0" w:colLast="0"/>
      <w:bookmarkStart w:id="779" w:name="_msv3i980wz4v" w:colFirst="0" w:colLast="0"/>
      <w:bookmarkStart w:id="780" w:name="_if22uogatvm3" w:colFirst="0" w:colLast="0"/>
      <w:bookmarkStart w:id="781" w:name="_c4m58vl65n98" w:colFirst="0" w:colLast="0"/>
      <w:bookmarkStart w:id="782" w:name="_Ref43978773"/>
      <w:bookmarkStart w:id="783" w:name="_Toc243922732"/>
      <w:bookmarkEnd w:id="777"/>
      <w:bookmarkEnd w:id="778"/>
      <w:bookmarkEnd w:id="779"/>
      <w:bookmarkEnd w:id="780"/>
      <w:bookmarkEnd w:id="781"/>
      <w:r>
        <w:lastRenderedPageBreak/>
        <w:t>The critical apparatus</w:t>
      </w:r>
      <w:bookmarkEnd w:id="782"/>
      <w:bookmarkEnd w:id="783"/>
    </w:p>
    <w:p w14:paraId="4749760F" w14:textId="4DFD0328">
      <w:r>
        <w:t xml:space="preserve">The primary purpose of a critical apparatus in our project’s documentary editions is to record substantive alternative readings, restorations and emendations by previous editors. Unless a specific sub-corpus or a particular text requires this, a complete record of minor differences </w:t>
      </w:r>
      <w:r>
        <w:rPr>
          <w:noProof/>
        </w:rPr>
        <w:t>(</w:t>
      </w:r>
      <w:r>
        <w:t>e.g. typing and printing errors, orthographic normalisation or whether a reading is shown as unclear or tentatively read/reconstructed) is not desirable. Your own editorial emendations (§</w:t>
      </w:r>
      <w:r>
        <w:fldChar w:fldCharType="begin"/>
      </w:r>
      <w:r>
        <w:instrText xml:space="preserve"> REF _Ref43978565 \r \h </w:instrText>
      </w:r>
      <w:r>
        <w:fldChar w:fldCharType="separate"/>
      </w:r>
      <w:r>
        <w:t>7</w:t>
      </w:r>
      <w:r>
        <w:fldChar w:fldCharType="end"/>
      </w:r>
      <w:r>
        <w:t>) and restorations (§</w:t>
      </w:r>
      <w:r>
        <w:fldChar w:fldCharType="begin"/>
      </w:r>
      <w:r>
        <w:instrText xml:space="preserve"> REF _Ref228459751 \r \h </w:instrText>
      </w:r>
      <w:r>
        <w:fldChar w:fldCharType="separate"/>
      </w:r>
      <w:r>
        <w:t>6.4</w:t>
      </w:r>
      <w:r>
        <w:fldChar w:fldCharType="end"/>
      </w:r>
      <w:r>
        <w:t>) must be encoded within the edition rather than being shown in the critical apparatus. However, apparatus notes can and should be used to add details or reasoning to such choices, and to record highly tentative proposals you are not confident enough to include in the edition itself.</w:t>
      </w:r>
    </w:p>
    <w:p w14:paraId="6842FBA2" w14:textId="77777777">
      <w:pPr>
        <w:pStyle w:val="Normlbehzs"/>
      </w:pPr>
      <w:r>
        <w:t>TEI and EpiDoc provide a variety of methods for encoding a critical apparatus for a scholarly edition. In DHARMA documentary editions we limit ourselves to an external apparatus criticus, meaning that the apparatus entries are encoded in a section separate from the edition, with each entry containing a reference to a locus of the text that is human-readable but not fully machine-actionable. For the sake of project-wide consistency and ease of processing, the external apparatus shall always be encoded as set out in this section.</w:t>
      </w:r>
    </w:p>
    <w:p w14:paraId="6CBC5C0D" w14:textId="77777777">
      <w:pPr>
        <w:pStyle w:val="Cmsor2"/>
      </w:pPr>
      <w:bookmarkStart w:id="784" w:name="_wvqmcsurv552" w:colFirst="0" w:colLast="0"/>
      <w:bookmarkStart w:id="785" w:name="_Toc243922733"/>
      <w:bookmarkEnd w:id="784"/>
      <w:r>
        <w:t>Encoding the critical apparatus</w:t>
      </w:r>
      <w:bookmarkEnd w:id="785"/>
    </w:p>
    <w:p w14:paraId="112455A3" w14:textId="77777777">
      <w:pPr>
        <w:pStyle w:val="Lista"/>
      </w:pPr>
      <w:r>
        <w:t xml:space="preserve">after your </w:t>
      </w:r>
      <w:r>
        <w:rPr>
          <w:rStyle w:val="Code"/>
        </w:rPr>
        <w:t xml:space="preserve">&lt;div </w:t>
      </w:r>
      <w:r>
        <w:rPr>
          <w:rStyle w:val="Codeattribute"/>
        </w:rPr>
        <w:t>type</w:t>
      </w:r>
      <w:r>
        <w:rPr>
          <w:rStyle w:val="Code"/>
        </w:rPr>
        <w:t>=</w:t>
      </w:r>
      <w:r>
        <w:rPr>
          <w:rStyle w:val="Codevalue"/>
        </w:rPr>
        <w:t>"edition"</w:t>
      </w:r>
      <w:r>
        <w:rPr>
          <w:rStyle w:val="Code"/>
        </w:rPr>
        <w:t>&gt;</w:t>
      </w:r>
      <w:r>
        <w:t xml:space="preserve"> element, your document must include a </w:t>
      </w:r>
      <w:r>
        <w:rPr>
          <w:rStyle w:val="Code"/>
        </w:rPr>
        <w:t xml:space="preserve">&lt;div </w:t>
      </w:r>
      <w:r>
        <w:rPr>
          <w:rStyle w:val="Codeattribute"/>
        </w:rPr>
        <w:t>type</w:t>
      </w:r>
      <w:r>
        <w:rPr>
          <w:rStyle w:val="Code"/>
        </w:rPr>
        <w:t>=</w:t>
      </w:r>
      <w:r>
        <w:rPr>
          <w:rStyle w:val="Codevalue"/>
        </w:rPr>
        <w:t>"apparatus"</w:t>
      </w:r>
      <w:r>
        <w:rPr>
          <w:rStyle w:val="Code"/>
        </w:rPr>
        <w:t>&gt;</w:t>
      </w:r>
      <w:r>
        <w:t>, without any attributes</w:t>
      </w:r>
    </w:p>
    <w:p w14:paraId="39F60BE2" w14:textId="77777777">
      <w:pPr>
        <w:pStyle w:val="Lista"/>
        <w:rPr>
          <w:rStyle w:val="Code"/>
          <w:rFonts w:ascii="Gentium" w:hAnsi="Gentium" w:cs="Tiro Devanagari Sanskrit"/>
          <w:noProof w:val="0"/>
          <w:color w:val="auto"/>
          <w:shd w:val="clear" w:color="auto" w:fill="auto"/>
        </w:rPr>
      </w:pPr>
      <w:r>
        <w:t xml:space="preserve">the direct child of this container must be the element  </w:t>
      </w:r>
      <w:r>
        <w:rPr>
          <w:rStyle w:val="Code"/>
        </w:rPr>
        <w:t>&lt;listApp&gt;</w:t>
      </w:r>
    </w:p>
    <w:p w14:paraId="2F32A363" w14:textId="77777777">
      <w:pPr>
        <w:pStyle w:val="Lista"/>
      </w:pPr>
      <w:r>
        <w:t>these skeleton containers are already present in our templates and will not need to be created by you</w:t>
      </w:r>
    </w:p>
    <w:p w14:paraId="44B2CEFA" w14:textId="635EDA4D">
      <w:pPr>
        <w:pStyle w:val="Lista2"/>
      </w:pPr>
      <w:r>
        <w:t>but if your edition division includes boxlike partitions (§</w:t>
      </w:r>
      <w:r>
        <w:fldChar w:fldCharType="begin"/>
      </w:r>
      <w:r>
        <w:instrText xml:space="preserve"> REF _Ref225778181 \r \h </w:instrText>
      </w:r>
      <w:r>
        <w:fldChar w:fldCharType="separate"/>
      </w:r>
      <w:r>
        <w:t>4.2</w:t>
      </w:r>
      <w:r>
        <w:fldChar w:fldCharType="end"/>
      </w:r>
      <w:r>
        <w:t xml:space="preserve">), then all corresponding textpart divisions must be replicated within the </w:t>
      </w:r>
      <w:r>
        <w:rPr>
          <w:rStyle w:val="Code"/>
        </w:rPr>
        <w:t xml:space="preserve">&lt;div </w:t>
      </w:r>
      <w:r>
        <w:rPr>
          <w:rStyle w:val="Codeattribute"/>
        </w:rPr>
        <w:t>type</w:t>
      </w:r>
      <w:r>
        <w:rPr>
          <w:rStyle w:val="Code"/>
        </w:rPr>
        <w:t>=</w:t>
      </w:r>
      <w:r>
        <w:rPr>
          <w:rStyle w:val="Codevalue"/>
        </w:rPr>
        <w:t>"apparatus"</w:t>
      </w:r>
      <w:r>
        <w:rPr>
          <w:rStyle w:val="Code"/>
        </w:rPr>
        <w:t>&gt;</w:t>
      </w:r>
      <w:r>
        <w:t xml:space="preserve"> as described in §</w:t>
      </w:r>
      <w:r>
        <w:fldChar w:fldCharType="begin"/>
      </w:r>
      <w:r>
        <w:instrText xml:space="preserve"> REF _Ref43989464 \w \h  \* MERGEFORMAT </w:instrText>
      </w:r>
      <w:r>
        <w:fldChar w:fldCharType="separate"/>
      </w:r>
      <w:r>
        <w:t>10.1.1</w:t>
      </w:r>
      <w:r>
        <w:fldChar w:fldCharType="end"/>
      </w:r>
      <w:r>
        <w:t xml:space="preserve">, and </w:t>
      </w:r>
      <w:r>
        <w:rPr>
          <w:rStyle w:val="Code"/>
        </w:rPr>
        <w:t>&lt;listApp&gt;</w:t>
      </w:r>
      <w:r>
        <w:t xml:space="preserve"> must be created separately for each textpart division within the apparatus</w:t>
      </w:r>
    </w:p>
    <w:p w14:paraId="1ABB27A3" w14:textId="77777777">
      <w:pPr>
        <w:pStyle w:val="Lista"/>
      </w:pPr>
      <w:r>
        <w:t xml:space="preserve">within </w:t>
      </w:r>
      <w:r>
        <w:rPr>
          <w:rStyle w:val="Code"/>
        </w:rPr>
        <w:t>&lt;listApp&gt;</w:t>
      </w:r>
      <w:r>
        <w:t xml:space="preserve">, each apparatus entry must be individually wrapped in the element </w:t>
      </w:r>
      <w:r>
        <w:rPr>
          <w:rStyle w:val="Code"/>
        </w:rPr>
        <w:t>&lt;app&gt;</w:t>
      </w:r>
    </w:p>
    <w:p w14:paraId="18EC5163" w14:textId="4FE87B9B">
      <w:pPr>
        <w:pStyle w:val="Lista2"/>
      </w:pPr>
      <w:r>
        <w:t xml:space="preserve">with the mandatory attribute </w:t>
      </w:r>
      <w:r>
        <w:rPr>
          <w:rStyle w:val="Codeattribute"/>
        </w:rPr>
        <w:t>@loc</w:t>
      </w:r>
      <w:r>
        <w:t xml:space="preserve"> to indicate the location </w:t>
      </w:r>
      <w:r>
        <w:rPr>
          <w:noProof/>
        </w:rPr>
        <w:t>(</w:t>
      </w:r>
      <w:r>
        <w:t>epigraphic line) to which your entry pertains, as per §</w:t>
      </w:r>
      <w:r>
        <w:fldChar w:fldCharType="begin"/>
      </w:r>
      <w:r>
        <w:instrText xml:space="preserve"> REF _Ref43978538 \w \h  \* MERGEFORMAT </w:instrText>
      </w:r>
      <w:r>
        <w:fldChar w:fldCharType="separate"/>
      </w:r>
      <w:r>
        <w:t>10.1.1</w:t>
      </w:r>
      <w:r>
        <w:fldChar w:fldCharType="end"/>
      </w:r>
      <w:r>
        <w:t xml:space="preserve"> below</w:t>
      </w:r>
    </w:p>
    <w:p w14:paraId="3CFB0D25" w14:textId="7B0F7159">
      <w:pPr>
        <w:pStyle w:val="Lista"/>
      </w:pPr>
      <w:r>
        <w:t xml:space="preserve">each </w:t>
      </w:r>
      <w:r>
        <w:rPr>
          <w:rStyle w:val="Code"/>
        </w:rPr>
        <w:t>&lt;app&gt;</w:t>
      </w:r>
      <w:r>
        <w:t xml:space="preserve"> element must contain </w:t>
      </w:r>
      <w:r>
        <w:rPr>
          <w:rStyle w:val="Code"/>
        </w:rPr>
        <w:t>&lt;lem&gt;</w:t>
      </w:r>
      <w:r>
        <w:t xml:space="preserve"> as its first child element, containing a lemma encoded as per §</w:t>
      </w:r>
      <w:r>
        <w:fldChar w:fldCharType="begin"/>
      </w:r>
      <w:r>
        <w:instrText xml:space="preserve"> REF _Ref61250887 \r \h </w:instrText>
      </w:r>
      <w:r>
        <w:fldChar w:fldCharType="separate"/>
      </w:r>
      <w:r>
        <w:t>10.3</w:t>
      </w:r>
      <w:r>
        <w:fldChar w:fldCharType="end"/>
      </w:r>
      <w:r>
        <w:t xml:space="preserve"> below</w:t>
      </w:r>
    </w:p>
    <w:p w14:paraId="0634178A" w14:textId="77777777">
      <w:pPr>
        <w:pStyle w:val="Lista"/>
      </w:pPr>
      <w:r>
        <w:t xml:space="preserve">in addition to and after </w:t>
      </w:r>
      <w:r>
        <w:rPr>
          <w:rStyle w:val="Code"/>
        </w:rPr>
        <w:t>&lt;lem&gt;</w:t>
      </w:r>
      <w:r>
        <w:t xml:space="preserve">, each </w:t>
      </w:r>
      <w:r>
        <w:rPr>
          <w:rStyle w:val="Code"/>
        </w:rPr>
        <w:t>&lt;app&gt;</w:t>
      </w:r>
      <w:r>
        <w:t xml:space="preserve"> element must normally contain at least one of the following</w:t>
      </w:r>
    </w:p>
    <w:p w14:paraId="1777CD78" w14:textId="30065BE6">
      <w:pPr>
        <w:pStyle w:val="Lista2"/>
      </w:pPr>
      <w:r>
        <w:t xml:space="preserve">one or more </w:t>
      </w:r>
      <w:r>
        <w:rPr>
          <w:rStyle w:val="Code"/>
        </w:rPr>
        <w:t>&lt;rdg&gt;</w:t>
      </w:r>
      <w:r>
        <w:t xml:space="preserve"> elements </w:t>
      </w:r>
      <w:r>
        <w:rPr>
          <w:noProof/>
        </w:rPr>
        <w:t>(</w:t>
      </w:r>
      <w:r>
        <w:t>one for each alternative reading/restoration/emendation), as per §</w:t>
      </w:r>
      <w:r>
        <w:fldChar w:fldCharType="begin"/>
      </w:r>
      <w:r>
        <w:instrText xml:space="preserve"> REF _Ref43989425 \w \h  \* MERGEFORMAT </w:instrText>
      </w:r>
      <w:r>
        <w:fldChar w:fldCharType="separate"/>
      </w:r>
      <w:r>
        <w:t>10.4</w:t>
      </w:r>
      <w:r>
        <w:fldChar w:fldCharType="end"/>
      </w:r>
      <w:r>
        <w:t xml:space="preserve"> below</w:t>
      </w:r>
    </w:p>
    <w:p w14:paraId="6A12413E" w14:textId="4A540D53">
      <w:pPr>
        <w:pStyle w:val="Lista2"/>
      </w:pPr>
      <w:r>
        <w:t xml:space="preserve">one or more </w:t>
      </w:r>
      <w:r>
        <w:rPr>
          <w:rStyle w:val="Code"/>
        </w:rPr>
        <w:t>&lt;note&gt;</w:t>
      </w:r>
      <w:r>
        <w:t xml:space="preserve"> elements containing a human-readable note in freeform text pertaining to that particular lemma, as per §</w:t>
      </w:r>
      <w:r>
        <w:fldChar w:fldCharType="begin"/>
      </w:r>
      <w:r>
        <w:instrText xml:space="preserve"> REF _Ref43988104 \w \h  \* MERGEFORMAT </w:instrText>
      </w:r>
      <w:r>
        <w:fldChar w:fldCharType="separate"/>
      </w:r>
      <w:r>
        <w:t>10.7</w:t>
      </w:r>
      <w:r>
        <w:fldChar w:fldCharType="end"/>
      </w:r>
      <w:r>
        <w:t xml:space="preserve"> below</w:t>
      </w:r>
    </w:p>
    <w:p w14:paraId="595DE0C2" w14:textId="4F376E4F">
      <w:pPr>
        <w:pStyle w:val="Lista"/>
      </w:pPr>
      <w:r>
        <w:t>a lemma without either a reading or a note may be used to credit a previous editor for a reading as per §</w:t>
      </w:r>
      <w:r>
        <w:fldChar w:fldCharType="begin"/>
      </w:r>
      <w:r>
        <w:instrText xml:space="preserve"> REF _Ref232167741 \r \h </w:instrText>
      </w:r>
      <w:r>
        <w:fldChar w:fldCharType="separate"/>
      </w:r>
      <w:r>
        <w:t>10.3.3</w:t>
      </w:r>
      <w:r>
        <w:fldChar w:fldCharType="end"/>
      </w:r>
    </w:p>
    <w:p w14:paraId="4AD55815" w14:textId="0350D52C">
      <w:pPr>
        <w:pStyle w:val="Lista"/>
      </w:pPr>
      <w:r>
        <w:t xml:space="preserve">the framework of the apparatus is illustrated in </w:t>
      </w:r>
      <w:r>
        <w:fldChar w:fldCharType="begin"/>
      </w:r>
      <w:r>
        <w:instrText xml:space="preserve"> REF _Ref232153771 \h </w:instrText>
      </w:r>
      <w:r>
        <w:fldChar w:fldCharType="separate"/>
      </w:r>
      <w:r>
        <w:t xml:space="preserve">Exhibit </w:t>
      </w:r>
      <w:r>
        <w:rPr>
          <w:noProof/>
        </w:rPr>
        <w:t>10.1</w:t>
      </w:r>
      <w:r>
        <w:t>.</w:t>
      </w:r>
      <w:r>
        <w:rPr>
          <w:noProof/>
        </w:rPr>
        <w:t>A</w:t>
      </w:r>
      <w:r>
        <w:fldChar w:fldCharType="end"/>
      </w:r>
    </w:p>
    <w:tbl>
      <w:tblPr>
        <w:tblStyle w:val="CodeSampleTable"/>
        <w:tblW w:w="5000" w:type="pct"/>
        <w:tblLook w:val="04A0" w:firstRow="1" w:lastRow="0" w:firstColumn="1" w:lastColumn="0" w:noHBand="0" w:noVBand="1"/>
      </w:tblPr>
      <w:tblGrid>
        <w:gridCol w:w="9628"/>
      </w:tblGrid>
      <w:tr w14:paraId="3A0C21B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5A0EF60" w14:textId="19FAE33D">
            <w:pPr>
              <w:pStyle w:val="Kpalrs"/>
            </w:pPr>
            <w:bookmarkStart w:id="786" w:name="_Ref232153771"/>
            <w:r>
              <w:lastRenderedPageBreak/>
              <w:t xml:space="preserve">Exhibit </w:t>
            </w:r>
            <w:fldSimple w:instr=" STYLEREF 2 \s ">
              <w:r>
                <w:rPr>
                  <w:noProof/>
                </w:rPr>
                <w:t>10.1</w:t>
              </w:r>
            </w:fldSimple>
            <w:r>
              <w:t>.</w:t>
            </w:r>
            <w:fldSimple w:instr=" SEQ Exhibit \* ALPHABETIC \s 2 ">
              <w:r>
                <w:rPr>
                  <w:noProof/>
                </w:rPr>
                <w:t>A</w:t>
              </w:r>
            </w:fldSimple>
            <w:bookmarkEnd w:id="786"/>
            <w:r>
              <w:t>: example of a critical apparatus</w:t>
            </w:r>
          </w:p>
        </w:tc>
      </w:tr>
      <w:tr w14:paraId="7F76242F" w14:textId="77777777">
        <w:tc>
          <w:tcPr>
            <w:tcW w:w="5000" w:type="pct"/>
          </w:tcPr>
          <w:p w14:paraId="7E75922F" w14:textId="77777777">
            <w:pPr>
              <w:pStyle w:val="TableNote"/>
              <w:keepNext/>
              <w:rPr>
                <w:rStyle w:val="Code"/>
              </w:rPr>
            </w:pPr>
            <w:r>
              <w:t>a snippet from an edition</w:t>
            </w:r>
          </w:p>
        </w:tc>
      </w:tr>
      <w:tr w14:paraId="01C20CD5" w14:textId="77777777">
        <w:tc>
          <w:tcPr>
            <w:tcW w:w="5000" w:type="pct"/>
          </w:tcPr>
          <w:p w14:paraId="72571CE0" w14:textId="77777777">
            <w:pPr>
              <w:pStyle w:val="CodeParagraph"/>
              <w:keepNext/>
              <w:rPr>
                <w:rStyle w:val="Code"/>
              </w:rPr>
            </w:pPr>
            <w:r>
              <w:rPr>
                <w:rStyle w:val="Code"/>
              </w:rPr>
              <w:t xml:space="preserve">&lt;div </w:t>
            </w:r>
            <w:r>
              <w:rPr>
                <w:rStyle w:val="Codeattribute"/>
              </w:rPr>
              <w:t>type</w:t>
            </w:r>
            <w:r>
              <w:rPr>
                <w:rStyle w:val="Code"/>
              </w:rPr>
              <w:t>=</w:t>
            </w:r>
            <w:r>
              <w:rPr>
                <w:rStyle w:val="Codevalue"/>
              </w:rPr>
              <w:t xml:space="preserve">"edition" </w:t>
            </w:r>
            <w:r>
              <w:rPr>
                <w:rStyle w:val="Codeattribute"/>
              </w:rPr>
              <w:t>xml:lang</w:t>
            </w:r>
            <w:r>
              <w:rPr>
                <w:rStyle w:val="Code"/>
              </w:rPr>
              <w:t>=</w:t>
            </w:r>
            <w:r>
              <w:rPr>
                <w:rStyle w:val="Codevalue"/>
              </w:rPr>
              <w:t>"san-Latn"</w:t>
            </w:r>
            <w:r>
              <w:rPr>
                <w:rStyle w:val="Code"/>
              </w:rPr>
              <w:t>&gt;</w:t>
            </w:r>
            <w:r>
              <w:rPr>
                <w:rStyle w:val="Codetext"/>
              </w:rPr>
              <w:br/>
              <w:t xml:space="preserve">  [...]</w:t>
            </w:r>
            <w:r>
              <w:rPr>
                <w:rStyle w:val="Codetext"/>
              </w:rPr>
              <w:br/>
            </w:r>
            <w:r>
              <w:rPr>
                <w:rStyle w:val="Code"/>
              </w:rPr>
              <w:t xml:space="preserve">  &lt;lg </w:t>
            </w:r>
            <w:r>
              <w:rPr>
                <w:rStyle w:val="Codeattribute"/>
              </w:rPr>
              <w:t>n=</w:t>
            </w:r>
            <w:r>
              <w:rPr>
                <w:rStyle w:val="Codevalue"/>
              </w:rPr>
              <w:t>"3"</w:t>
            </w:r>
            <w:r>
              <w:rPr>
                <w:rStyle w:val="Code"/>
              </w:rPr>
              <w:t xml:space="preserve"> </w:t>
            </w:r>
            <w:r>
              <w:rPr>
                <w:rStyle w:val="Codeattribute"/>
              </w:rPr>
              <w:t>met=</w:t>
            </w:r>
            <w:r>
              <w:rPr>
                <w:rStyle w:val="Codevalue"/>
              </w:rPr>
              <w:t>"anuṣṭubh"</w:t>
            </w:r>
            <w:r>
              <w:rPr>
                <w:rStyle w:val="Code"/>
              </w:rPr>
              <w:t>&gt;</w:t>
            </w:r>
          </w:p>
          <w:p w14:paraId="12FBBCAE" w14:textId="77777777">
            <w:pPr>
              <w:pStyle w:val="CodeParagraph"/>
              <w:keepNext/>
              <w:rPr>
                <w:rStyle w:val="Code"/>
              </w:rPr>
            </w:pPr>
            <w:r>
              <w:rPr>
                <w:rStyle w:val="Code"/>
              </w:rPr>
              <w:t xml:space="preserve">    &lt;l </w:t>
            </w:r>
            <w:r>
              <w:rPr>
                <w:rStyle w:val="Codeattribute"/>
              </w:rPr>
              <w:t>n=</w:t>
            </w:r>
            <w:r>
              <w:rPr>
                <w:rStyle w:val="Codevalue"/>
              </w:rPr>
              <w:t>"a"</w:t>
            </w:r>
            <w:r>
              <w:rPr>
                <w:rStyle w:val="Code"/>
              </w:rPr>
              <w:t>&gt;</w:t>
            </w:r>
            <w:r>
              <w:rPr>
                <w:rStyle w:val="Codetext"/>
              </w:rPr>
              <w:t>brahma-svan tu viṣa</w:t>
            </w:r>
            <w:r>
              <w:rPr>
                <w:rStyle w:val="Code"/>
              </w:rPr>
              <w:t xml:space="preserve">&lt;supplied </w:t>
            </w:r>
            <w:r>
              <w:rPr>
                <w:rStyle w:val="Codeattribute"/>
              </w:rPr>
              <w:t>reason=</w:t>
            </w:r>
            <w:r>
              <w:rPr>
                <w:rStyle w:val="Codevalue"/>
              </w:rPr>
              <w:t>"omitted"</w:t>
            </w:r>
            <w:r>
              <w:rPr>
                <w:rStyle w:val="Code"/>
              </w:rPr>
              <w:t>&gt;</w:t>
            </w:r>
            <w:r>
              <w:rPr>
                <w:rStyle w:val="Codetext"/>
              </w:rPr>
              <w:t>ṁ</w:t>
            </w:r>
            <w:r>
              <w:rPr>
                <w:rStyle w:val="Code"/>
              </w:rPr>
              <w:t>&lt;/supplied&gt;</w:t>
            </w:r>
            <w:r>
              <w:rPr>
                <w:rStyle w:val="Codetext"/>
              </w:rPr>
              <w:t xml:space="preserve"> ghora</w:t>
            </w:r>
            <w:r>
              <w:rPr>
                <w:rStyle w:val="Code"/>
              </w:rPr>
              <w:t xml:space="preserve">&lt;supplied </w:t>
            </w:r>
            <w:r>
              <w:rPr>
                <w:rStyle w:val="Codeattribute"/>
              </w:rPr>
              <w:t>reason=</w:t>
            </w:r>
            <w:r>
              <w:rPr>
                <w:rStyle w:val="Codevalue"/>
              </w:rPr>
              <w:t>"omitted"</w:t>
            </w:r>
            <w:r>
              <w:rPr>
                <w:rStyle w:val="Code"/>
              </w:rPr>
              <w:t>&gt;</w:t>
            </w:r>
            <w:r>
              <w:rPr>
                <w:rStyle w:val="Codetext"/>
              </w:rPr>
              <w:t>ṁ</w:t>
            </w:r>
            <w:r>
              <w:rPr>
                <w:rStyle w:val="Code"/>
              </w:rPr>
              <w:t>&lt;/supplied&gt;&lt;/l&gt;</w:t>
            </w:r>
          </w:p>
          <w:p w14:paraId="5E822A10" w14:textId="77777777">
            <w:pPr>
              <w:pStyle w:val="CodeParagraph"/>
              <w:keepNext/>
              <w:rPr>
                <w:rStyle w:val="Code"/>
              </w:rPr>
            </w:pPr>
            <w:r>
              <w:rPr>
                <w:rStyle w:val="Code"/>
              </w:rPr>
              <w:t xml:space="preserve">    &lt;l </w:t>
            </w:r>
            <w:r>
              <w:rPr>
                <w:rStyle w:val="Codeattribute"/>
              </w:rPr>
              <w:t>n=</w:t>
            </w:r>
            <w:r>
              <w:rPr>
                <w:rStyle w:val="Codevalue"/>
              </w:rPr>
              <w:t>"b"</w:t>
            </w:r>
            <w:r>
              <w:rPr>
                <w:rStyle w:val="Code"/>
              </w:rPr>
              <w:t>&gt;</w:t>
            </w:r>
            <w:r>
              <w:rPr>
                <w:rStyle w:val="Codetext"/>
              </w:rPr>
              <w:t>na viṣa</w:t>
            </w:r>
            <w:r>
              <w:rPr>
                <w:rStyle w:val="Code"/>
              </w:rPr>
              <w:t xml:space="preserve">&lt;supplied </w:t>
            </w:r>
            <w:r>
              <w:rPr>
                <w:rStyle w:val="Codeattribute"/>
              </w:rPr>
              <w:t>reason=</w:t>
            </w:r>
            <w:r>
              <w:rPr>
                <w:rStyle w:val="Codevalue"/>
              </w:rPr>
              <w:t>"omitted"</w:t>
            </w:r>
            <w:r>
              <w:rPr>
                <w:rStyle w:val="Code"/>
              </w:rPr>
              <w:t>&gt;</w:t>
            </w:r>
            <w:r>
              <w:rPr>
                <w:rStyle w:val="Codetext"/>
              </w:rPr>
              <w:t>ṁ</w:t>
            </w:r>
            <w:r>
              <w:rPr>
                <w:rStyle w:val="Code"/>
              </w:rPr>
              <w:t>&lt;/supplied&gt;</w:t>
            </w:r>
            <w:r>
              <w:rPr>
                <w:rStyle w:val="Codetext"/>
              </w:rPr>
              <w:t xml:space="preserve"> viṣam ucyate</w:t>
            </w:r>
            <w:r>
              <w:rPr>
                <w:rStyle w:val="Code"/>
              </w:rPr>
              <w:t>&lt;/l&gt;</w:t>
            </w:r>
          </w:p>
          <w:p w14:paraId="42949343" w14:textId="77777777">
            <w:pPr>
              <w:pStyle w:val="CodeParagraph"/>
              <w:keepNext/>
              <w:rPr>
                <w:rStyle w:val="Code"/>
              </w:rPr>
            </w:pPr>
            <w:r>
              <w:rPr>
                <w:rStyle w:val="Code"/>
              </w:rPr>
              <w:t xml:space="preserve">    &lt;l </w:t>
            </w:r>
            <w:r>
              <w:rPr>
                <w:rStyle w:val="Codeattribute"/>
              </w:rPr>
              <w:t>n=</w:t>
            </w:r>
            <w:r>
              <w:rPr>
                <w:rStyle w:val="Codevalue"/>
              </w:rPr>
              <w:t>"c"</w:t>
            </w:r>
            <w:r>
              <w:rPr>
                <w:rStyle w:val="Code"/>
              </w:rPr>
              <w:t>&gt;</w:t>
            </w:r>
            <w:r>
              <w:rPr>
                <w:rStyle w:val="Codetext"/>
              </w:rPr>
              <w:t>viṣa</w:t>
            </w:r>
            <w:r>
              <w:rPr>
                <w:rStyle w:val="Code"/>
              </w:rPr>
              <w:t xml:space="preserve">&lt;lb </w:t>
            </w:r>
            <w:r>
              <w:rPr>
                <w:rStyle w:val="Codeattribute"/>
              </w:rPr>
              <w:t>n=</w:t>
            </w:r>
            <w:r>
              <w:rPr>
                <w:rStyle w:val="Codevalue"/>
              </w:rPr>
              <w:t>"25"</w:t>
            </w:r>
            <w:r>
              <w:rPr>
                <w:rStyle w:val="Code"/>
              </w:rPr>
              <w:t xml:space="preserve"> </w:t>
            </w:r>
            <w:r>
              <w:rPr>
                <w:rStyle w:val="Codeattribute"/>
              </w:rPr>
              <w:t>break=</w:t>
            </w:r>
            <w:r>
              <w:rPr>
                <w:rStyle w:val="Codevalue"/>
              </w:rPr>
              <w:t>"no"</w:t>
            </w:r>
            <w:r>
              <w:rPr>
                <w:rStyle w:val="Code"/>
              </w:rPr>
              <w:t>/&gt;</w:t>
            </w:r>
            <w:r>
              <w:rPr>
                <w:rStyle w:val="Codetext"/>
              </w:rPr>
              <w:t xml:space="preserve">m </w:t>
            </w:r>
            <w:r>
              <w:rPr>
                <w:rStyle w:val="Code"/>
              </w:rPr>
              <w:t>&lt;unclear&gt;</w:t>
            </w:r>
            <w:r>
              <w:rPr>
                <w:rStyle w:val="Codetext"/>
              </w:rPr>
              <w:t>e</w:t>
            </w:r>
            <w:r>
              <w:rPr>
                <w:rStyle w:val="Code"/>
              </w:rPr>
              <w:t>&lt;/unclear&gt;</w:t>
            </w:r>
            <w:r>
              <w:rPr>
                <w:rStyle w:val="Codetext"/>
              </w:rPr>
              <w:t>kākin</w:t>
            </w:r>
            <w:r>
              <w:rPr>
                <w:rStyle w:val="Code"/>
              </w:rPr>
              <w:t>&lt;choice&gt;&lt;sic&gt;</w:t>
            </w:r>
            <w:r>
              <w:rPr>
                <w:rStyle w:val="Codetext"/>
              </w:rPr>
              <w:t>ā</w:t>
            </w:r>
            <w:r>
              <w:rPr>
                <w:rStyle w:val="Code"/>
              </w:rPr>
              <w:t>&lt;/sic&gt;&lt;corr&gt;</w:t>
            </w:r>
            <w:r>
              <w:rPr>
                <w:rStyle w:val="Codetext"/>
              </w:rPr>
              <w:t>a</w:t>
            </w:r>
            <w:r>
              <w:rPr>
                <w:rStyle w:val="Code"/>
              </w:rPr>
              <w:t>&lt;/corr&gt;&lt;/choice&gt;</w:t>
            </w:r>
            <w:r>
              <w:rPr>
                <w:rStyle w:val="Codetext"/>
              </w:rPr>
              <w:t>ṁ hanti</w:t>
            </w:r>
            <w:r>
              <w:rPr>
                <w:rStyle w:val="Code"/>
              </w:rPr>
              <w:t>&lt;/l&gt;</w:t>
            </w:r>
          </w:p>
          <w:p w14:paraId="58E236F2" w14:textId="77777777">
            <w:pPr>
              <w:pStyle w:val="CodeParagraph"/>
              <w:keepNext/>
              <w:rPr>
                <w:rStyle w:val="Code"/>
              </w:rPr>
            </w:pPr>
            <w:r>
              <w:rPr>
                <w:rStyle w:val="Code"/>
              </w:rPr>
              <w:t xml:space="preserve">    &lt;l </w:t>
            </w:r>
            <w:r>
              <w:rPr>
                <w:rStyle w:val="Codeattribute"/>
              </w:rPr>
              <w:t>n=</w:t>
            </w:r>
            <w:r>
              <w:rPr>
                <w:rStyle w:val="Codevalue"/>
              </w:rPr>
              <w:t>"d"</w:t>
            </w:r>
            <w:r>
              <w:rPr>
                <w:rStyle w:val="Code"/>
              </w:rPr>
              <w:t>&gt;</w:t>
            </w:r>
            <w:r>
              <w:rPr>
                <w:rStyle w:val="Codetext"/>
              </w:rPr>
              <w:t>brahma-svaM putra-p</w:t>
            </w:r>
            <w:r>
              <w:rPr>
                <w:rStyle w:val="Code"/>
              </w:rPr>
              <w:t>&lt;choice&gt;&lt;sic&gt;</w:t>
            </w:r>
            <w:r>
              <w:rPr>
                <w:rStyle w:val="Codetext"/>
              </w:rPr>
              <w:t>avi</w:t>
            </w:r>
            <w:r>
              <w:rPr>
                <w:rStyle w:val="Code"/>
              </w:rPr>
              <w:t>&lt;/sic&gt;&lt;corr&gt;</w:t>
            </w:r>
            <w:r>
              <w:rPr>
                <w:rStyle w:val="Codetext"/>
              </w:rPr>
              <w:t>au</w:t>
            </w:r>
            <w:r>
              <w:rPr>
                <w:rStyle w:val="Code"/>
              </w:rPr>
              <w:t>&lt;/corr&gt;&lt;/choice&gt;</w:t>
            </w:r>
            <w:r>
              <w:rPr>
                <w:rStyle w:val="Codetext"/>
              </w:rPr>
              <w:t>trikaM</w:t>
            </w:r>
            <w:r>
              <w:rPr>
                <w:rStyle w:val="Code"/>
              </w:rPr>
              <w:t>&lt;/l&gt;</w:t>
            </w:r>
          </w:p>
          <w:p w14:paraId="7962D84C" w14:textId="77777777">
            <w:pPr>
              <w:pStyle w:val="CodeParagraph"/>
              <w:keepNext/>
              <w:rPr>
                <w:rStyle w:val="Code"/>
              </w:rPr>
            </w:pPr>
            <w:r>
              <w:rPr>
                <w:rStyle w:val="Code"/>
              </w:rPr>
              <w:t xml:space="preserve">  &lt;/lg&gt;</w:t>
            </w:r>
          </w:p>
          <w:p w14:paraId="6010DB83" w14:textId="77777777">
            <w:pPr>
              <w:pStyle w:val="CodeParagraph"/>
              <w:keepNext/>
            </w:pPr>
            <w:r>
              <w:rPr>
                <w:rStyle w:val="Codetext"/>
              </w:rPr>
              <w:t xml:space="preserve">  [...]</w:t>
            </w:r>
            <w:r>
              <w:rPr>
                <w:rStyle w:val="Codetext"/>
              </w:rPr>
              <w:br/>
            </w:r>
            <w:r>
              <w:rPr>
                <w:rStyle w:val="Code"/>
              </w:rPr>
              <w:t>&lt;/div&gt;</w:t>
            </w:r>
          </w:p>
        </w:tc>
      </w:tr>
      <w:tr w14:paraId="2FC12FBF" w14:textId="77777777">
        <w:tc>
          <w:tcPr>
            <w:tcW w:w="5000" w:type="pct"/>
          </w:tcPr>
          <w:p w14:paraId="0C72EB7F" w14:textId="77777777">
            <w:pPr>
              <w:pStyle w:val="TableNote"/>
              <w:keepNext/>
              <w:rPr>
                <w:rStyle w:val="Code"/>
              </w:rPr>
            </w:pPr>
            <w:r>
              <w:t>and from the corresponding apparatus</w:t>
            </w:r>
          </w:p>
        </w:tc>
      </w:tr>
      <w:tr w14:paraId="439A51F0" w14:textId="77777777">
        <w:tc>
          <w:tcPr>
            <w:tcW w:w="5000" w:type="pct"/>
          </w:tcPr>
          <w:p w14:paraId="21517D3C" w14:textId="77777777">
            <w:pPr>
              <w:pStyle w:val="CodeParagraph"/>
              <w:rPr>
                <w:rStyle w:val="Code"/>
              </w:rPr>
            </w:pPr>
            <w:r>
              <w:rPr>
                <w:rStyle w:val="Code"/>
              </w:rPr>
              <w:t xml:space="preserve">&lt;div </w:t>
            </w:r>
            <w:r>
              <w:rPr>
                <w:rStyle w:val="Codeattribute"/>
              </w:rPr>
              <w:t>type</w:t>
            </w:r>
            <w:r>
              <w:rPr>
                <w:rStyle w:val="Code"/>
              </w:rPr>
              <w:t>=</w:t>
            </w:r>
            <w:r>
              <w:rPr>
                <w:rStyle w:val="Codevalue"/>
              </w:rPr>
              <w:t>"apparatus"</w:t>
            </w:r>
            <w:r>
              <w:rPr>
                <w:rStyle w:val="Code"/>
              </w:rPr>
              <w:t>&gt;</w:t>
            </w:r>
            <w:r>
              <w:rPr>
                <w:rStyle w:val="Codetext"/>
              </w:rPr>
              <w:br/>
            </w:r>
            <w:r>
              <w:rPr>
                <w:rStyle w:val="Code"/>
              </w:rPr>
              <w:t xml:space="preserve">  &lt;listApp&gt;</w:t>
            </w:r>
            <w:r>
              <w:rPr>
                <w:rStyle w:val="Codetext"/>
              </w:rPr>
              <w:br/>
              <w:t xml:space="preserve">    [...]</w:t>
            </w:r>
            <w:r>
              <w:rPr>
                <w:rStyle w:val="Codetext"/>
              </w:rPr>
              <w:br/>
            </w:r>
            <w:r>
              <w:rPr>
                <w:rStyle w:val="Code"/>
              </w:rPr>
              <w:t xml:space="preserve">    &lt;app </w:t>
            </w:r>
            <w:r>
              <w:rPr>
                <w:rStyle w:val="Codeattribute"/>
              </w:rPr>
              <w:t>loc=</w:t>
            </w:r>
            <w:r>
              <w:rPr>
                <w:rStyle w:val="Codevalue"/>
              </w:rPr>
              <w:t>"24"</w:t>
            </w:r>
            <w:r>
              <w:rPr>
                <w:rStyle w:val="Code"/>
              </w:rPr>
              <w:t>&gt;</w:t>
            </w:r>
          </w:p>
          <w:p w14:paraId="4E3E1CA2" w14:textId="77777777">
            <w:pPr>
              <w:pStyle w:val="CodeParagraph"/>
              <w:rPr>
                <w:rStyle w:val="Code"/>
              </w:rPr>
            </w:pPr>
            <w:r>
              <w:rPr>
                <w:rStyle w:val="Code"/>
              </w:rPr>
              <w:t xml:space="preserve">      &lt;lem&gt;</w:t>
            </w:r>
            <w:r>
              <w:rPr>
                <w:rStyle w:val="Codetext"/>
              </w:rPr>
              <w:t>viṣa</w:t>
            </w:r>
            <w:r>
              <w:rPr>
                <w:rStyle w:val="Code"/>
              </w:rPr>
              <w:t xml:space="preserve">&lt;supplied </w:t>
            </w:r>
            <w:r>
              <w:rPr>
                <w:rStyle w:val="Codeattribute"/>
              </w:rPr>
              <w:t>reason=</w:t>
            </w:r>
            <w:r>
              <w:rPr>
                <w:rStyle w:val="Codevalue"/>
              </w:rPr>
              <w:t>"omitted"</w:t>
            </w:r>
            <w:r>
              <w:rPr>
                <w:rStyle w:val="Code"/>
              </w:rPr>
              <w:t>&gt;</w:t>
            </w:r>
            <w:r>
              <w:rPr>
                <w:rStyle w:val="Codetext"/>
              </w:rPr>
              <w:t>ṁ</w:t>
            </w:r>
            <w:r>
              <w:rPr>
                <w:rStyle w:val="Code"/>
              </w:rPr>
              <w:t>&lt;/supplied&gt;</w:t>
            </w:r>
            <w:r>
              <w:rPr>
                <w:rStyle w:val="Codetext"/>
              </w:rPr>
              <w:t xml:space="preserve"> viṣam</w:t>
            </w:r>
            <w:r>
              <w:rPr>
                <w:rStyle w:val="Code"/>
              </w:rPr>
              <w:t>&lt;/lem&gt;</w:t>
            </w:r>
          </w:p>
          <w:p w14:paraId="3FDD4D07" w14:textId="77777777">
            <w:pPr>
              <w:pStyle w:val="CodeParagraph"/>
              <w:rPr>
                <w:rStyle w:val="Code"/>
              </w:rPr>
            </w:pPr>
            <w:r>
              <w:rPr>
                <w:rStyle w:val="Code"/>
              </w:rPr>
              <w:t xml:space="preserve">      &lt;rdg </w:t>
            </w:r>
            <w:r>
              <w:rPr>
                <w:rStyle w:val="Codeattribute"/>
              </w:rPr>
              <w:t>source=</w:t>
            </w:r>
            <w:r>
              <w:rPr>
                <w:rStyle w:val="Codevalue"/>
              </w:rPr>
              <w:t>"bib:Gai1965-1966_01"</w:t>
            </w:r>
            <w:r>
              <w:rPr>
                <w:rStyle w:val="Code"/>
              </w:rPr>
              <w:t>&gt;</w:t>
            </w:r>
            <w:r>
              <w:rPr>
                <w:rStyle w:val="Codetext"/>
              </w:rPr>
              <w:t>viṣa</w:t>
            </w:r>
            <w:r>
              <w:rPr>
                <w:rStyle w:val="Code"/>
              </w:rPr>
              <w:t>&lt;unclear&gt;</w:t>
            </w:r>
            <w:r>
              <w:rPr>
                <w:rStyle w:val="Codetext"/>
              </w:rPr>
              <w:t>ṁ</w:t>
            </w:r>
            <w:r>
              <w:rPr>
                <w:rStyle w:val="Code"/>
              </w:rPr>
              <w:t>&lt;/unclear&gt;</w:t>
            </w:r>
            <w:r>
              <w:rPr>
                <w:rStyle w:val="Codetext"/>
              </w:rPr>
              <w:t xml:space="preserve"> viṣam</w:t>
            </w:r>
            <w:r>
              <w:rPr>
                <w:rStyle w:val="Code"/>
              </w:rPr>
              <w:t>&lt;/rdg&gt;</w:t>
            </w:r>
          </w:p>
          <w:p w14:paraId="27E0E35B" w14:textId="77777777">
            <w:pPr>
              <w:pStyle w:val="CodeParagraph"/>
              <w:rPr>
                <w:rStyle w:val="Code"/>
              </w:rPr>
            </w:pPr>
            <w:r>
              <w:rPr>
                <w:rStyle w:val="Code"/>
              </w:rPr>
              <w:t xml:space="preserve">      &lt;rdg </w:t>
            </w:r>
            <w:r>
              <w:rPr>
                <w:rStyle w:val="Codeattribute"/>
              </w:rPr>
              <w:t>source=</w:t>
            </w:r>
            <w:r>
              <w:rPr>
                <w:rStyle w:val="Codevalue"/>
              </w:rPr>
              <w:t>"bib:Venkataramanayya1974_01"</w:t>
            </w:r>
            <w:r>
              <w:rPr>
                <w:rStyle w:val="Code"/>
              </w:rPr>
              <w:t>&gt;</w:t>
            </w:r>
            <w:r>
              <w:rPr>
                <w:rStyle w:val="Codetext"/>
              </w:rPr>
              <w:t>viṣa</w:t>
            </w:r>
            <w:r>
              <w:rPr>
                <w:rStyle w:val="Code"/>
              </w:rPr>
              <w:t xml:space="preserve">&lt;supplied </w:t>
            </w:r>
            <w:r>
              <w:rPr>
                <w:rStyle w:val="Codeattribute"/>
              </w:rPr>
              <w:t>reason=</w:t>
            </w:r>
            <w:r>
              <w:rPr>
                <w:rStyle w:val="Codevalue"/>
              </w:rPr>
              <w:t>"omitted"</w:t>
            </w:r>
            <w:r>
              <w:rPr>
                <w:rStyle w:val="Code"/>
              </w:rPr>
              <w:t>&gt;</w:t>
            </w:r>
            <w:r>
              <w:rPr>
                <w:rStyle w:val="Codetext"/>
              </w:rPr>
              <w:t>ṁ</w:t>
            </w:r>
            <w:r>
              <w:rPr>
                <w:rStyle w:val="Code"/>
              </w:rPr>
              <w:t>&lt;/supplied&gt;&lt;/rdg&gt;</w:t>
            </w:r>
          </w:p>
          <w:p w14:paraId="797EDD6A" w14:textId="77777777">
            <w:pPr>
              <w:pStyle w:val="CodeParagraph"/>
              <w:rPr>
                <w:rStyle w:val="Code"/>
              </w:rPr>
            </w:pPr>
            <w:r>
              <w:rPr>
                <w:rStyle w:val="Code"/>
              </w:rPr>
              <w:t xml:space="preserve">    &lt;/app&gt;</w:t>
            </w:r>
          </w:p>
          <w:p w14:paraId="13013707" w14:textId="77777777">
            <w:pPr>
              <w:pStyle w:val="CodeParagraph"/>
              <w:rPr>
                <w:rStyle w:val="Code"/>
              </w:rPr>
            </w:pPr>
            <w:r>
              <w:rPr>
                <w:rStyle w:val="Code"/>
              </w:rPr>
              <w:t xml:space="preserve">    &lt;app </w:t>
            </w:r>
            <w:r>
              <w:rPr>
                <w:rStyle w:val="Codeattribute"/>
              </w:rPr>
              <w:t>loc=</w:t>
            </w:r>
            <w:r>
              <w:rPr>
                <w:rStyle w:val="Codevalue"/>
              </w:rPr>
              <w:t>"24"</w:t>
            </w:r>
            <w:r>
              <w:rPr>
                <w:rStyle w:val="Code"/>
              </w:rPr>
              <w:t>&gt;</w:t>
            </w:r>
          </w:p>
          <w:p w14:paraId="30A8C369" w14:textId="77777777">
            <w:pPr>
              <w:pStyle w:val="CodeParagraph"/>
              <w:rPr>
                <w:rStyle w:val="Code"/>
              </w:rPr>
            </w:pPr>
            <w:r>
              <w:rPr>
                <w:rStyle w:val="Code"/>
              </w:rPr>
              <w:t xml:space="preserve">      &lt;lem </w:t>
            </w:r>
            <w:r>
              <w:rPr>
                <w:rStyle w:val="Codeattribute"/>
              </w:rPr>
              <w:t>source=</w:t>
            </w:r>
            <w:r>
              <w:rPr>
                <w:rStyle w:val="Codevalue"/>
              </w:rPr>
              <w:t>"bib:Gai1965-1966_01"</w:t>
            </w:r>
            <w:r>
              <w:rPr>
                <w:rStyle w:val="Code"/>
              </w:rPr>
              <w:t>&gt;</w:t>
            </w:r>
            <w:r>
              <w:rPr>
                <w:rStyle w:val="Codetext"/>
              </w:rPr>
              <w:t>ucyate</w:t>
            </w:r>
            <w:r>
              <w:rPr>
                <w:rStyle w:val="Code"/>
              </w:rPr>
              <w:t>&lt;/lem&gt;</w:t>
            </w:r>
          </w:p>
          <w:p w14:paraId="555D7201" w14:textId="77777777">
            <w:pPr>
              <w:pStyle w:val="CodeParagraph"/>
              <w:rPr>
                <w:rStyle w:val="Code"/>
              </w:rPr>
            </w:pPr>
            <w:r>
              <w:rPr>
                <w:rStyle w:val="Code"/>
              </w:rPr>
              <w:t xml:space="preserve">      &lt;rdg </w:t>
            </w:r>
            <w:r>
              <w:rPr>
                <w:rStyle w:val="Codeattribute"/>
              </w:rPr>
              <w:t>source=</w:t>
            </w:r>
            <w:r>
              <w:rPr>
                <w:rStyle w:val="Codevalue"/>
              </w:rPr>
              <w:t>"bib:Venkataramanayya1974_01"</w:t>
            </w:r>
            <w:r>
              <w:rPr>
                <w:rStyle w:val="Code"/>
              </w:rPr>
              <w:t>&gt;</w:t>
            </w:r>
            <w:r>
              <w:rPr>
                <w:rStyle w:val="Codetext"/>
              </w:rPr>
              <w:t>uc</w:t>
            </w:r>
            <w:r>
              <w:rPr>
                <w:rStyle w:val="Code"/>
              </w:rPr>
              <w:t>&lt;surplus&gt;</w:t>
            </w:r>
            <w:r>
              <w:rPr>
                <w:rStyle w:val="Codetext"/>
              </w:rPr>
              <w:t>c</w:t>
            </w:r>
            <w:r>
              <w:rPr>
                <w:rStyle w:val="Code"/>
              </w:rPr>
              <w:t>&lt;/surplus&gt;</w:t>
            </w:r>
            <w:r>
              <w:rPr>
                <w:rStyle w:val="Codetext"/>
              </w:rPr>
              <w:t>yate</w:t>
            </w:r>
            <w:r>
              <w:rPr>
                <w:rStyle w:val="Code"/>
              </w:rPr>
              <w:t>&lt;/rdg&gt;</w:t>
            </w:r>
          </w:p>
          <w:p w14:paraId="7CEB688D" w14:textId="77777777">
            <w:pPr>
              <w:pStyle w:val="CodeParagraph"/>
              <w:rPr>
                <w:rStyle w:val="Code"/>
              </w:rPr>
            </w:pPr>
            <w:r>
              <w:rPr>
                <w:rStyle w:val="Code"/>
              </w:rPr>
              <w:t xml:space="preserve">    &lt;/app&gt;</w:t>
            </w:r>
          </w:p>
          <w:p w14:paraId="6E16E168" w14:textId="77777777">
            <w:pPr>
              <w:pStyle w:val="CodeParagraph"/>
              <w:rPr>
                <w:rStyle w:val="Code"/>
              </w:rPr>
            </w:pPr>
            <w:r>
              <w:rPr>
                <w:rStyle w:val="Code"/>
              </w:rPr>
              <w:t xml:space="preserve">    &lt;app </w:t>
            </w:r>
            <w:r>
              <w:rPr>
                <w:rStyle w:val="Codeattribute"/>
              </w:rPr>
              <w:t>loc=</w:t>
            </w:r>
            <w:r>
              <w:rPr>
                <w:rStyle w:val="Codevalue"/>
              </w:rPr>
              <w:t>"25"</w:t>
            </w:r>
            <w:r>
              <w:rPr>
                <w:rStyle w:val="Code"/>
              </w:rPr>
              <w:t>&gt;</w:t>
            </w:r>
          </w:p>
          <w:p w14:paraId="7ED23A1B" w14:textId="77777777">
            <w:pPr>
              <w:pStyle w:val="CodeParagraph"/>
              <w:rPr>
                <w:rStyle w:val="Code"/>
              </w:rPr>
            </w:pPr>
            <w:r>
              <w:rPr>
                <w:rStyle w:val="Code"/>
              </w:rPr>
              <w:t xml:space="preserve">      &lt;lem </w:t>
            </w:r>
            <w:r>
              <w:rPr>
                <w:rStyle w:val="Codeattribute"/>
              </w:rPr>
              <w:t>source=</w:t>
            </w:r>
            <w:r>
              <w:rPr>
                <w:rStyle w:val="Codevalue"/>
              </w:rPr>
              <w:t>"bib:Venkataramanayya1974_01"</w:t>
            </w:r>
            <w:r>
              <w:rPr>
                <w:rStyle w:val="Code"/>
              </w:rPr>
              <w:t>&gt;-</w:t>
            </w:r>
            <w:r>
              <w:rPr>
                <w:rStyle w:val="Codetext"/>
              </w:rPr>
              <w:t>p</w:t>
            </w:r>
            <w:r>
              <w:rPr>
                <w:rStyle w:val="Code"/>
              </w:rPr>
              <w:t>&lt;choice&gt;&lt;sic&gt;</w:t>
            </w:r>
            <w:r>
              <w:rPr>
                <w:rStyle w:val="Codetext"/>
              </w:rPr>
              <w:t>avi</w:t>
            </w:r>
            <w:r>
              <w:rPr>
                <w:rStyle w:val="Code"/>
              </w:rPr>
              <w:t>&lt;/sic&gt;&lt;corr&gt;</w:t>
            </w:r>
            <w:r>
              <w:rPr>
                <w:rStyle w:val="Codetext"/>
              </w:rPr>
              <w:t>au</w:t>
            </w:r>
            <w:r>
              <w:rPr>
                <w:rStyle w:val="Code"/>
              </w:rPr>
              <w:t>&lt;/corr&gt;&lt;/choice&gt;</w:t>
            </w:r>
            <w:r>
              <w:rPr>
                <w:rStyle w:val="Codetext"/>
              </w:rPr>
              <w:t>trikaM</w:t>
            </w:r>
            <w:r>
              <w:rPr>
                <w:rStyle w:val="Code"/>
              </w:rPr>
              <w:t>&lt;/lem&gt;</w:t>
            </w:r>
          </w:p>
          <w:p w14:paraId="620C0A3A" w14:textId="77777777">
            <w:pPr>
              <w:pStyle w:val="CodeParagraph"/>
              <w:rPr>
                <w:rStyle w:val="Code"/>
              </w:rPr>
            </w:pPr>
            <w:r>
              <w:rPr>
                <w:rStyle w:val="Code"/>
              </w:rPr>
              <w:t xml:space="preserve">      &lt;rdg </w:t>
            </w:r>
            <w:r>
              <w:rPr>
                <w:rStyle w:val="Codeattribute"/>
              </w:rPr>
              <w:t>source=</w:t>
            </w:r>
            <w:r>
              <w:rPr>
                <w:rStyle w:val="Codevalue"/>
              </w:rPr>
              <w:t>"bib:Gai1965-1966_01"</w:t>
            </w:r>
            <w:r>
              <w:rPr>
                <w:rStyle w:val="Code"/>
              </w:rPr>
              <w:t>&gt;-</w:t>
            </w:r>
            <w:r>
              <w:rPr>
                <w:rStyle w:val="Codetext"/>
              </w:rPr>
              <w:t>p</w:t>
            </w:r>
            <w:r>
              <w:rPr>
                <w:rStyle w:val="Code"/>
              </w:rPr>
              <w:t>&lt;choice&gt;&lt;sic&gt;</w:t>
            </w:r>
            <w:r>
              <w:rPr>
                <w:rStyle w:val="Codetext"/>
              </w:rPr>
              <w:t>avi</w:t>
            </w:r>
            <w:r>
              <w:rPr>
                <w:rStyle w:val="Code"/>
              </w:rPr>
              <w:t>&lt;/sic&gt;&lt;corr&gt;</w:t>
            </w:r>
            <w:r>
              <w:rPr>
                <w:rStyle w:val="Codetext"/>
              </w:rPr>
              <w:t>au</w:t>
            </w:r>
            <w:r>
              <w:rPr>
                <w:rStyle w:val="Code"/>
              </w:rPr>
              <w:t>&lt;/corr&gt;&lt;/choice&gt;</w:t>
            </w:r>
            <w:r>
              <w:rPr>
                <w:rStyle w:val="Codetext"/>
              </w:rPr>
              <w:t>tr</w:t>
            </w:r>
            <w:r>
              <w:rPr>
                <w:rStyle w:val="Code"/>
              </w:rPr>
              <w:t>&lt;choice&gt;&lt;orig&gt;</w:t>
            </w:r>
            <w:r>
              <w:rPr>
                <w:rStyle w:val="Codetext"/>
              </w:rPr>
              <w:t>i</w:t>
            </w:r>
            <w:r>
              <w:rPr>
                <w:rStyle w:val="Code"/>
              </w:rPr>
              <w:t>&lt;/orig&gt;&lt;reg&gt;</w:t>
            </w:r>
            <w:r>
              <w:rPr>
                <w:rStyle w:val="Codetext"/>
              </w:rPr>
              <w:t>a</w:t>
            </w:r>
            <w:r>
              <w:rPr>
                <w:rStyle w:val="Code"/>
              </w:rPr>
              <w:t>&lt;/reg&gt;&lt;/choice&gt;</w:t>
            </w:r>
            <w:r>
              <w:rPr>
                <w:rStyle w:val="Codetext"/>
              </w:rPr>
              <w:t>kaM</w:t>
            </w:r>
            <w:r>
              <w:rPr>
                <w:rStyle w:val="Code"/>
              </w:rPr>
              <w:t>&lt;/rdg&gt;</w:t>
            </w:r>
          </w:p>
          <w:p w14:paraId="02F14CFC" w14:textId="77777777">
            <w:pPr>
              <w:pStyle w:val="CodeParagraph"/>
              <w:rPr>
                <w:rStyle w:val="Code"/>
              </w:rPr>
            </w:pPr>
            <w:r>
              <w:rPr>
                <w:rStyle w:val="Code"/>
              </w:rPr>
              <w:t xml:space="preserve">      &lt;note&gt;</w:t>
            </w:r>
            <w:r>
              <w:rPr>
                <w:rStyle w:val="Codetext"/>
              </w:rPr>
              <w:t xml:space="preserve">I prefer the normalisation </w:t>
            </w:r>
            <w:r>
              <w:rPr>
                <w:rStyle w:val="Code"/>
              </w:rPr>
              <w:t>&lt;foreign&gt;</w:t>
            </w:r>
            <w:r>
              <w:rPr>
                <w:rStyle w:val="Codetext"/>
              </w:rPr>
              <w:t>pautrikam</w:t>
            </w:r>
            <w:r>
              <w:rPr>
                <w:rStyle w:val="Code"/>
              </w:rPr>
              <w:t>&lt;/foreign</w:t>
            </w:r>
            <w:r>
              <w:rPr>
                <w:rStyle w:val="Codetext"/>
              </w:rPr>
              <w:t xml:space="preserve">&gt;; I moreover wonder if the intent was not </w:t>
            </w:r>
            <w:r>
              <w:rPr>
                <w:rStyle w:val="Code"/>
              </w:rPr>
              <w:t>&lt;foreign&gt;</w:t>
            </w:r>
            <w:r>
              <w:rPr>
                <w:rStyle w:val="Codetext"/>
              </w:rPr>
              <w:t>paitr̥kam</w:t>
            </w:r>
            <w:r>
              <w:rPr>
                <w:rStyle w:val="Code"/>
              </w:rPr>
              <w:t>&lt;/foreign&gt;</w:t>
            </w:r>
            <w:r>
              <w:rPr>
                <w:rStyle w:val="Codetext"/>
              </w:rPr>
              <w:t>.</w:t>
            </w:r>
            <w:r>
              <w:rPr>
                <w:rStyle w:val="Code"/>
              </w:rPr>
              <w:t>&lt;/note&gt;</w:t>
            </w:r>
          </w:p>
          <w:p w14:paraId="7E2300F6" w14:textId="77777777">
            <w:pPr>
              <w:pStyle w:val="CodeParagraph"/>
              <w:rPr>
                <w:rStyle w:val="Code"/>
              </w:rPr>
            </w:pPr>
            <w:r>
              <w:rPr>
                <w:rStyle w:val="Code"/>
              </w:rPr>
              <w:t xml:space="preserve">    &lt;/app&gt;</w:t>
            </w:r>
          </w:p>
          <w:p w14:paraId="1FE8DE06" w14:textId="77777777">
            <w:pPr>
              <w:pStyle w:val="CodeParagraph"/>
              <w:rPr>
                <w:rStyle w:val="Code"/>
              </w:rPr>
            </w:pPr>
            <w:r>
              <w:rPr>
                <w:rStyle w:val="Codetext"/>
              </w:rPr>
              <w:t xml:space="preserve">    [...]</w:t>
            </w:r>
            <w:r>
              <w:rPr>
                <w:rStyle w:val="Codetext"/>
              </w:rPr>
              <w:br/>
            </w:r>
            <w:r>
              <w:rPr>
                <w:rStyle w:val="Code"/>
              </w:rPr>
              <w:t xml:space="preserve">  &lt;/listApp&gt;</w:t>
            </w:r>
            <w:r>
              <w:rPr>
                <w:rStyle w:val="Codetext"/>
              </w:rPr>
              <w:br/>
            </w:r>
            <w:r>
              <w:rPr>
                <w:rStyle w:val="Code"/>
              </w:rPr>
              <w:t>&lt;/div&gt;</w:t>
            </w:r>
          </w:p>
        </w:tc>
      </w:tr>
    </w:tbl>
    <w:p w14:paraId="12464227" w14:textId="77777777">
      <w:pPr>
        <w:pStyle w:val="Cmsor3"/>
      </w:pPr>
      <w:bookmarkStart w:id="787" w:name="_ylrtvcd6yrbu" w:colFirst="0" w:colLast="0"/>
      <w:bookmarkStart w:id="788" w:name="_Ref43989464"/>
      <w:bookmarkStart w:id="789" w:name="_Ref43978538"/>
      <w:bookmarkStart w:id="790" w:name="_Toc243922734"/>
      <w:bookmarkEnd w:id="787"/>
      <w:r>
        <w:t>Textpart divisions in the apparatus</w:t>
      </w:r>
      <w:bookmarkEnd w:id="788"/>
      <w:bookmarkEnd w:id="790"/>
    </w:p>
    <w:p w14:paraId="2C647D1A" w14:textId="44DA3616">
      <w:pPr>
        <w:pStyle w:val="Lista"/>
      </w:pPr>
      <w:r>
        <w:t xml:space="preserve">if your edition includes boxlike partitions </w:t>
      </w:r>
      <w:r>
        <w:rPr>
          <w:noProof/>
        </w:rPr>
        <w:t>(</w:t>
      </w:r>
      <w:r>
        <w:t>§</w:t>
      </w:r>
      <w:r>
        <w:fldChar w:fldCharType="begin"/>
      </w:r>
      <w:r>
        <w:instrText xml:space="preserve"> REF _Ref225778181 \r \h </w:instrText>
      </w:r>
      <w:r>
        <w:fldChar w:fldCharType="separate"/>
      </w:r>
      <w:r>
        <w:t>4.2</w:t>
      </w:r>
      <w:r>
        <w:fldChar w:fldCharType="end"/>
      </w:r>
      <w:r>
        <w:t>), then all corresponding textpart divisions must be replicated within the apparatus</w:t>
      </w:r>
    </w:p>
    <w:p w14:paraId="26202B5C" w14:textId="77777777">
      <w:pPr>
        <w:pStyle w:val="Lista"/>
      </w:pPr>
      <w:r>
        <w:t xml:space="preserve">inside </w:t>
      </w:r>
      <w:r>
        <w:rPr>
          <w:rStyle w:val="Code"/>
        </w:rPr>
        <w:t xml:space="preserve">&lt;div </w:t>
      </w:r>
      <w:r>
        <w:rPr>
          <w:rStyle w:val="Codeattribute"/>
        </w:rPr>
        <w:t>type</w:t>
      </w:r>
      <w:r>
        <w:rPr>
          <w:rStyle w:val="Code"/>
        </w:rPr>
        <w:t>=</w:t>
      </w:r>
      <w:r>
        <w:rPr>
          <w:rStyle w:val="Codevalue"/>
        </w:rPr>
        <w:t>"apparatus"</w:t>
      </w:r>
      <w:r>
        <w:rPr>
          <w:rStyle w:val="Code"/>
        </w:rPr>
        <w:t>&gt;</w:t>
      </w:r>
      <w:r>
        <w:t xml:space="preserve">, create as many </w:t>
      </w:r>
      <w:r>
        <w:rPr>
          <w:rStyle w:val="Code"/>
        </w:rPr>
        <w:t xml:space="preserve">&lt;div </w:t>
      </w:r>
      <w:r>
        <w:rPr>
          <w:rStyle w:val="Codeattribute"/>
        </w:rPr>
        <w:t>type</w:t>
      </w:r>
      <w:r>
        <w:rPr>
          <w:rStyle w:val="Code"/>
        </w:rPr>
        <w:t>=</w:t>
      </w:r>
      <w:r>
        <w:rPr>
          <w:rStyle w:val="Codevalue"/>
        </w:rPr>
        <w:t>"textpart"</w:t>
      </w:r>
      <w:r>
        <w:rPr>
          <w:rStyle w:val="Code"/>
        </w:rPr>
        <w:t>&gt;</w:t>
      </w:r>
      <w:r>
        <w:t xml:space="preserve"> elements as there are in the </w:t>
      </w:r>
      <w:r>
        <w:rPr>
          <w:rStyle w:val="Code"/>
        </w:rPr>
        <w:t xml:space="preserve">&lt;div </w:t>
      </w:r>
      <w:r>
        <w:rPr>
          <w:rStyle w:val="Codeattribute"/>
        </w:rPr>
        <w:t>type</w:t>
      </w:r>
      <w:r>
        <w:rPr>
          <w:rStyle w:val="Code"/>
        </w:rPr>
        <w:t>=</w:t>
      </w:r>
      <w:r>
        <w:rPr>
          <w:rStyle w:val="Codevalue"/>
        </w:rPr>
        <w:t>"edition"</w:t>
      </w:r>
      <w:r>
        <w:rPr>
          <w:rStyle w:val="Code"/>
        </w:rPr>
        <w:t>&gt;</w:t>
      </w:r>
    </w:p>
    <w:p w14:paraId="3B2C24E4" w14:textId="77777777">
      <w:pPr>
        <w:pStyle w:val="Lista2"/>
      </w:pPr>
      <w:r>
        <w:t xml:space="preserve">in the start-tag of these replicated divisions, include the same attributes </w:t>
      </w:r>
      <w:r>
        <w:rPr>
          <w:noProof/>
        </w:rPr>
        <w:t>(</w:t>
      </w:r>
      <w:r>
        <w:rPr>
          <w:rStyle w:val="Codeattribute"/>
        </w:rPr>
        <w:t>@subtype</w:t>
      </w:r>
      <w:r>
        <w:t xml:space="preserve"> and </w:t>
      </w:r>
      <w:r>
        <w:rPr>
          <w:rStyle w:val="Codeattribute"/>
        </w:rPr>
        <w:t>@n</w:t>
      </w:r>
      <w:r>
        <w:t xml:space="preserve"> as applicable) with the same value that they have in the edition division</w:t>
      </w:r>
    </w:p>
    <w:p w14:paraId="279008B6" w14:textId="77777777">
      <w:pPr>
        <w:pStyle w:val="Lista2"/>
      </w:pPr>
      <w:r>
        <w:t xml:space="preserve">if your edition’s textpart divisions have </w:t>
      </w:r>
      <w:r>
        <w:rPr>
          <w:rStyle w:val="Code"/>
        </w:rPr>
        <w:t>&lt;head&gt;</w:t>
      </w:r>
      <w:r>
        <w:t xml:space="preserve"> elements, likewise replicate these in the apparatus, immediately after the start-tag of each textpart division</w:t>
      </w:r>
    </w:p>
    <w:p w14:paraId="5BAAE557" w14:textId="77777777">
      <w:pPr>
        <w:pStyle w:val="Lista3"/>
      </w:pPr>
      <w:r>
        <w:t xml:space="preserve">the </w:t>
      </w:r>
      <w:r>
        <w:rPr>
          <w:rStyle w:val="Codeattribute"/>
        </w:rPr>
        <w:t>@xml:lang</w:t>
      </w:r>
      <w:r>
        <w:t xml:space="preserve"> attribute of the </w:t>
      </w:r>
      <w:r>
        <w:rPr>
          <w:rStyle w:val="Code"/>
        </w:rPr>
        <w:t>&lt;head&gt;</w:t>
      </w:r>
      <w:r>
        <w:t xml:space="preserve"> element is not necessary within the apparatus (because the apparatus division, along with all its children, inherit the English language from the TEI container of the document), but copy-pasting the head and retaining the attribute does no harm</w:t>
      </w:r>
    </w:p>
    <w:p w14:paraId="462D0F6D" w14:textId="77777777">
      <w:pPr>
        <w:pStyle w:val="Lista"/>
      </w:pPr>
      <w:r>
        <w:t xml:space="preserve">the apparatus container </w:t>
      </w:r>
      <w:r>
        <w:rPr>
          <w:rStyle w:val="Code"/>
        </w:rPr>
        <w:t>&lt;listApp&gt;</w:t>
      </w:r>
      <w:r>
        <w:t xml:space="preserve"> must in this case be enclosed within each </w:t>
      </w:r>
      <w:r>
        <w:rPr>
          <w:rStyle w:val="Code"/>
        </w:rPr>
        <w:t xml:space="preserve">&lt;div </w:t>
      </w:r>
      <w:r>
        <w:rPr>
          <w:rStyle w:val="Codeattribute"/>
        </w:rPr>
        <w:t>type</w:t>
      </w:r>
      <w:r>
        <w:rPr>
          <w:rStyle w:val="Code"/>
        </w:rPr>
        <w:t>=</w:t>
      </w:r>
      <w:r>
        <w:rPr>
          <w:rStyle w:val="Codevalue"/>
        </w:rPr>
        <w:t>"textpart"</w:t>
      </w:r>
      <w:r>
        <w:rPr>
          <w:rStyle w:val="Code"/>
        </w:rPr>
        <w:t>&gt;</w:t>
      </w:r>
    </w:p>
    <w:p w14:paraId="49B593C0" w14:textId="6B429BE7">
      <w:pPr>
        <w:pStyle w:val="Lista2"/>
      </w:pPr>
      <w:r>
        <w:t xml:space="preserve">if you have apparatus entries for more than one textpart, then create a </w:t>
      </w:r>
      <w:r>
        <w:rPr>
          <w:rStyle w:val="Code"/>
        </w:rPr>
        <w:t>&lt;listApp&gt;</w:t>
      </w:r>
      <w:r>
        <w:t xml:space="preserve"> within each textpart to wrap the </w:t>
      </w:r>
      <w:r>
        <w:rPr>
          <w:rStyle w:val="Code"/>
        </w:rPr>
        <w:t>&lt;app&gt;</w:t>
      </w:r>
      <w:r>
        <w:t xml:space="preserve"> elements belonging to that textpart as in </w:t>
      </w:r>
      <w:r>
        <w:fldChar w:fldCharType="begin"/>
      </w:r>
      <w:r>
        <w:instrText xml:space="preserve"> REF _Ref232172735 \h </w:instrText>
      </w:r>
      <w:r>
        <w:fldChar w:fldCharType="separate"/>
      </w:r>
      <w:r>
        <w:t xml:space="preserve">Exhibit </w:t>
      </w:r>
      <w:r>
        <w:rPr>
          <w:noProof/>
        </w:rPr>
        <w:t>10.1</w:t>
      </w:r>
      <w:r>
        <w:t>.</w:t>
      </w:r>
      <w:r>
        <w:rPr>
          <w:noProof/>
        </w:rPr>
        <w:t>B</w:t>
      </w:r>
      <w:r>
        <w:fldChar w:fldCharType="end"/>
      </w:r>
    </w:p>
    <w:p w14:paraId="4204B43E" w14:textId="270B0C63">
      <w:pPr>
        <w:pStyle w:val="Lista2"/>
      </w:pPr>
      <w:r>
        <w:t xml:space="preserve">if one or more textparts have no pertaining apparatus entries, then the textpart division </w:t>
      </w:r>
      <w:r>
        <w:rPr>
          <w:noProof/>
        </w:rPr>
        <w:t>(</w:t>
      </w:r>
      <w:r>
        <w:t xml:space="preserve">with attributes) must still be created for these in the apparatus, but that division shall not contain anything </w:t>
      </w:r>
      <w:r>
        <w:rPr>
          <w:noProof/>
        </w:rPr>
        <w:lastRenderedPageBreak/>
        <w:t>(</w:t>
      </w:r>
      <w:r>
        <w:t xml:space="preserve">except, if applicable, </w:t>
      </w:r>
      <w:r>
        <w:rPr>
          <w:rStyle w:val="Code"/>
        </w:rPr>
        <w:t>&lt;head&gt;</w:t>
      </w:r>
      <w:r>
        <w:t xml:space="preserve">), i.e. there should not be a </w:t>
      </w:r>
      <w:r>
        <w:rPr>
          <w:rStyle w:val="Code"/>
        </w:rPr>
        <w:t>&lt;listApp&gt;</w:t>
      </w:r>
      <w:r>
        <w:t xml:space="preserve"> wrapper, nor any </w:t>
      </w:r>
      <w:r>
        <w:rPr>
          <w:rStyle w:val="Code"/>
        </w:rPr>
        <w:t>&lt;app&gt;</w:t>
      </w:r>
      <w:r>
        <w:t xml:space="preserve"> items there, as in </w:t>
      </w:r>
      <w:r>
        <w:fldChar w:fldCharType="begin"/>
      </w:r>
      <w:r>
        <w:instrText xml:space="preserve"> REF _Ref232172736 \h </w:instrText>
      </w:r>
      <w:r>
        <w:fldChar w:fldCharType="separate"/>
      </w:r>
      <w:r>
        <w:t xml:space="preserve">Exhibit </w:t>
      </w:r>
      <w:r>
        <w:rPr>
          <w:noProof/>
        </w:rPr>
        <w:t>10.1</w:t>
      </w:r>
      <w:r>
        <w:t>.</w:t>
      </w:r>
      <w:r>
        <w:rPr>
          <w:noProof/>
        </w:rPr>
        <w:t>C</w:t>
      </w:r>
      <w:r>
        <w:fldChar w:fldCharType="end"/>
      </w:r>
    </w:p>
    <w:tbl>
      <w:tblPr>
        <w:tblStyle w:val="CodeSampleTable"/>
        <w:tblW w:w="5000" w:type="pct"/>
        <w:tblLook w:val="04A0" w:firstRow="1" w:lastRow="0" w:firstColumn="1" w:lastColumn="0" w:noHBand="0" w:noVBand="1"/>
      </w:tblPr>
      <w:tblGrid>
        <w:gridCol w:w="9628"/>
      </w:tblGrid>
      <w:tr w14:paraId="54D417D0"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983800C" w14:textId="59A1320E">
            <w:pPr>
              <w:pStyle w:val="Kpalrs"/>
            </w:pPr>
            <w:bookmarkStart w:id="791" w:name="_Ref232172735"/>
            <w:r>
              <w:t xml:space="preserve">Exhibit </w:t>
            </w:r>
            <w:fldSimple w:instr=" STYLEREF 2 \s ">
              <w:r>
                <w:rPr>
                  <w:noProof/>
                </w:rPr>
                <w:t>10.1</w:t>
              </w:r>
            </w:fldSimple>
            <w:r>
              <w:t>.</w:t>
            </w:r>
            <w:fldSimple w:instr=" SEQ Exhibit \* ALPHABETIC \s 2 ">
              <w:r>
                <w:rPr>
                  <w:noProof/>
                </w:rPr>
                <w:t>B</w:t>
              </w:r>
            </w:fldSimple>
            <w:bookmarkEnd w:id="791"/>
            <w:r>
              <w:t>: critical apparatus with more than one textpart, each with content</w:t>
            </w:r>
          </w:p>
        </w:tc>
      </w:tr>
      <w:tr w14:paraId="5AD7C6E8" w14:textId="77777777">
        <w:tc>
          <w:tcPr>
            <w:tcW w:w="5000" w:type="pct"/>
          </w:tcPr>
          <w:p w14:paraId="67A25D07" w14:textId="77777777">
            <w:pPr>
              <w:pStyle w:val="CodeParagraph"/>
            </w:pPr>
            <w:r>
              <w:rPr>
                <w:rStyle w:val="Code"/>
              </w:rPr>
              <w:t xml:space="preserve">&lt;div </w:t>
            </w:r>
            <w:r>
              <w:rPr>
                <w:rStyle w:val="Codeattribute"/>
              </w:rPr>
              <w:t>type</w:t>
            </w:r>
            <w:r>
              <w:rPr>
                <w:rStyle w:val="Code"/>
              </w:rPr>
              <w:t>=</w:t>
            </w:r>
            <w:r>
              <w:rPr>
                <w:rStyle w:val="Codevalue"/>
              </w:rPr>
              <w:t>"apparatus"</w:t>
            </w:r>
            <w:r>
              <w:rPr>
                <w:rStyle w:val="Code"/>
              </w:rPr>
              <w:t>&gt;</w:t>
            </w:r>
            <w:r>
              <w:rPr>
                <w:rStyle w:val="Codetext"/>
              </w:rPr>
              <w:br/>
              <w:t xml:space="preserve"> </w:t>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&gt;</w:t>
            </w:r>
            <w:r>
              <w:rPr>
                <w:rStyle w:val="Codetext"/>
              </w:rPr>
              <w:br/>
              <w:t xml:space="preserve">  </w:t>
            </w:r>
            <w:r>
              <w:rPr>
                <w:rStyle w:val="Code"/>
              </w:rPr>
              <w:t xml:space="preserve">&lt;head </w:t>
            </w:r>
            <w:r>
              <w:rPr>
                <w:rStyle w:val="Codeattribute"/>
              </w:rPr>
              <w:t>xml:lang</w:t>
            </w:r>
            <w:r>
              <w:rPr>
                <w:rStyle w:val="Code"/>
              </w:rPr>
              <w:t>=</w:t>
            </w:r>
            <w:r>
              <w:rPr>
                <w:rStyle w:val="Codevalue"/>
              </w:rPr>
              <w:t>"eng"</w:t>
            </w:r>
            <w:r>
              <w:rPr>
                <w:rStyle w:val="Code"/>
              </w:rPr>
              <w:t>&gt;</w:t>
            </w:r>
            <w:r>
              <w:rPr>
                <w:rStyle w:val="Codetext"/>
              </w:rPr>
              <w:t>Seal</w:t>
            </w:r>
            <w:r>
              <w:rPr>
                <w:rStyle w:val="Code"/>
              </w:rPr>
              <w:t>&lt;/head&gt;</w:t>
            </w:r>
            <w:r>
              <w:rPr>
                <w:rStyle w:val="Codetext"/>
              </w:rPr>
              <w:br/>
              <w:t xml:space="preserve">  </w:t>
            </w:r>
            <w:r>
              <w:rPr>
                <w:rStyle w:val="Code"/>
              </w:rPr>
              <w:t>&lt;listApp&gt;</w:t>
            </w:r>
            <w:r>
              <w:rPr>
                <w:rStyle w:val="Codetext"/>
              </w:rPr>
              <w:br/>
              <w:t xml:space="preserve">   </w:t>
            </w:r>
            <w:r>
              <w:rPr>
                <w:rStyle w:val="Code"/>
              </w:rPr>
              <w:t xml:space="preserve">&lt;app </w:t>
            </w:r>
            <w:r>
              <w:rPr>
                <w:rStyle w:val="Codeattribute"/>
              </w:rPr>
              <w:t>loc</w:t>
            </w:r>
            <w:r>
              <w:rPr>
                <w:rStyle w:val="Code"/>
              </w:rPr>
              <w:t>=</w:t>
            </w:r>
            <w:r>
              <w:rPr>
                <w:rStyle w:val="Codevalue"/>
              </w:rPr>
              <w:t>"1"</w:t>
            </w:r>
            <w:r>
              <w:rPr>
                <w:rStyle w:val="Code"/>
              </w:rPr>
              <w:t>&gt;</w:t>
            </w:r>
            <w:r>
              <w:rPr>
                <w:rStyle w:val="Codetext"/>
              </w:rPr>
              <w:br/>
              <w:t xml:space="preserve">    </w:t>
            </w:r>
            <w:r>
              <w:rPr>
                <w:rStyle w:val="Code"/>
              </w:rPr>
              <w:t>&lt;lem&gt;</w:t>
            </w:r>
            <w:r>
              <w:rPr>
                <w:rStyle w:val="Codetext"/>
              </w:rPr>
              <w:t>ku</w:t>
            </w:r>
            <w:r>
              <w:rPr>
                <w:rStyle w:val="Code"/>
              </w:rPr>
              <w:t>&lt;unclear&gt;</w:t>
            </w:r>
            <w:r>
              <w:rPr>
                <w:rStyle w:val="Codetext"/>
              </w:rPr>
              <w:t>mā</w:t>
            </w:r>
            <w:r>
              <w:rPr>
                <w:rStyle w:val="Code"/>
              </w:rPr>
              <w:t>&lt;/unclear&gt;</w:t>
            </w:r>
            <w:r>
              <w:rPr>
                <w:rStyle w:val="Codetext"/>
              </w:rPr>
              <w:t>rāmātyādhikaraṇasya</w:t>
            </w:r>
            <w:r>
              <w:rPr>
                <w:rStyle w:val="Code"/>
              </w:rPr>
              <w:t>&lt;/lem&gt;</w:t>
            </w:r>
            <w:r>
              <w:rPr>
                <w:rStyle w:val="Codetext"/>
              </w:rPr>
              <w:br/>
              <w:t xml:space="preserve">    </w:t>
            </w:r>
            <w:r>
              <w:rPr>
                <w:rStyle w:val="Code"/>
              </w:rPr>
              <w:t>&lt;note&gt;</w:t>
            </w:r>
            <w:r>
              <w:rPr>
                <w:rStyle w:val="Codetext"/>
              </w:rPr>
              <w:t xml:space="preserve">Our restitution ... </w:t>
            </w:r>
            <w:r>
              <w:rPr>
                <w:rStyle w:val="Code"/>
              </w:rPr>
              <w:t>&lt;/note&gt;</w:t>
            </w:r>
            <w:r>
              <w:rPr>
                <w:rStyle w:val="Codetext"/>
              </w:rPr>
              <w:br/>
              <w:t xml:space="preserve">   </w:t>
            </w:r>
            <w:r>
              <w:rPr>
                <w:rStyle w:val="Code"/>
              </w:rPr>
              <w:t>&lt;/app&gt;</w:t>
            </w:r>
            <w:r>
              <w:rPr>
                <w:rStyle w:val="Codetext"/>
              </w:rPr>
              <w:br/>
              <w:t xml:space="preserve">  </w:t>
            </w:r>
            <w:r>
              <w:rPr>
                <w:rStyle w:val="Code"/>
              </w:rPr>
              <w:t>&lt;/listApp&gt;</w:t>
            </w:r>
            <w:r>
              <w:rPr>
                <w:rStyle w:val="Codetext"/>
              </w:rPr>
              <w:br/>
              <w:t xml:space="preserve"> </w:t>
            </w:r>
            <w:r>
              <w:rPr>
                <w:rStyle w:val="Code"/>
              </w:rPr>
              <w:t>&lt;/div&gt;</w:t>
            </w:r>
            <w:r>
              <w:rPr>
                <w:rStyle w:val="Codetext"/>
              </w:rPr>
              <w:t xml:space="preserve">        </w:t>
            </w:r>
            <w:r>
              <w:rPr>
                <w:rStyle w:val="Codetext"/>
              </w:rPr>
              <w:tab/>
              <w:t xml:space="preserve"> </w:t>
            </w:r>
            <w:r>
              <w:rPr>
                <w:rStyle w:val="Codetext"/>
              </w:rPr>
              <w:br/>
              <w:t xml:space="preserve"> </w:t>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"B"</w:t>
            </w:r>
            <w:r>
              <w:rPr>
                <w:rStyle w:val="Code"/>
              </w:rPr>
              <w:t>&gt;</w:t>
            </w:r>
            <w:r>
              <w:rPr>
                <w:rStyle w:val="Codetext"/>
              </w:rPr>
              <w:br/>
              <w:t xml:space="preserve">  </w:t>
            </w:r>
            <w:r>
              <w:rPr>
                <w:rStyle w:val="Code"/>
              </w:rPr>
              <w:t xml:space="preserve">&lt;head </w:t>
            </w:r>
            <w:r>
              <w:rPr>
                <w:rStyle w:val="Codeattribute"/>
              </w:rPr>
              <w:t>xml:lang</w:t>
            </w:r>
            <w:r>
              <w:rPr>
                <w:rStyle w:val="Code"/>
              </w:rPr>
              <w:t>=</w:t>
            </w:r>
            <w:r>
              <w:rPr>
                <w:rStyle w:val="Codevalue"/>
              </w:rPr>
              <w:t>"eng"</w:t>
            </w:r>
            <w:r>
              <w:rPr>
                <w:rStyle w:val="Code"/>
              </w:rPr>
              <w:t>&gt;</w:t>
            </w:r>
            <w:r>
              <w:rPr>
                <w:rStyle w:val="Codetext"/>
              </w:rPr>
              <w:t>Plate</w:t>
            </w:r>
            <w:r>
              <w:rPr>
                <w:rStyle w:val="Code"/>
              </w:rPr>
              <w:t>&lt;/head&gt;</w:t>
            </w:r>
            <w:r>
              <w:rPr>
                <w:rStyle w:val="Codetext"/>
              </w:rPr>
              <w:br/>
              <w:t xml:space="preserve">  </w:t>
            </w:r>
            <w:r>
              <w:rPr>
                <w:rStyle w:val="Code"/>
              </w:rPr>
              <w:t>&lt;listApp&gt;</w:t>
            </w:r>
            <w:r>
              <w:rPr>
                <w:rStyle w:val="Codetext"/>
              </w:rPr>
              <w:br/>
              <w:t xml:space="preserve">   </w:t>
            </w:r>
            <w:r>
              <w:rPr>
                <w:rStyle w:val="Code"/>
              </w:rPr>
              <w:t xml:space="preserve">&lt;app </w:t>
            </w:r>
            <w:r>
              <w:rPr>
                <w:rStyle w:val="Codeattribute"/>
              </w:rPr>
              <w:t>loc</w:t>
            </w:r>
            <w:r>
              <w:rPr>
                <w:rStyle w:val="Code"/>
              </w:rPr>
              <w:t>=</w:t>
            </w:r>
            <w:r>
              <w:rPr>
                <w:rStyle w:val="Codevalue"/>
              </w:rPr>
              <w:t>"2"</w:t>
            </w:r>
            <w:r>
              <w:rPr>
                <w:rStyle w:val="Code"/>
              </w:rPr>
              <w:t>&gt;</w:t>
            </w:r>
            <w:r>
              <w:rPr>
                <w:rStyle w:val="Codetext"/>
              </w:rPr>
              <w:br/>
              <w:t xml:space="preserve">    </w:t>
            </w:r>
            <w:r>
              <w:rPr>
                <w:rStyle w:val="Code"/>
              </w:rPr>
              <w:t>&lt;lem&gt;</w:t>
            </w:r>
            <w:r>
              <w:rPr>
                <w:rStyle w:val="Codetext"/>
              </w:rPr>
              <w:t>°bhi</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ḥ</w:t>
            </w:r>
            <w:r>
              <w:rPr>
                <w:rStyle w:val="Code"/>
              </w:rPr>
              <w:t>&lt;/supplied&gt;</w:t>
            </w:r>
            <w:r>
              <w:rPr>
                <w:rStyle w:val="Codetext"/>
              </w:rPr>
              <w:t xml:space="preserve"> mekhalayā</w:t>
            </w:r>
            <w:r>
              <w:rPr>
                <w:rStyle w:val="Code"/>
              </w:rPr>
              <w:t>&lt;/lem&gt;</w:t>
            </w:r>
            <w:r>
              <w:rPr>
                <w:rStyle w:val="Codetext"/>
              </w:rPr>
              <w:br/>
              <w:t xml:space="preserve">    </w:t>
            </w:r>
            <w:r>
              <w:rPr>
                <w:rStyle w:val="Code"/>
              </w:rPr>
              <w:t>&lt;note&gt;</w:t>
            </w:r>
            <w:r>
              <w:rPr>
                <w:rStyle w:val="Codetext"/>
              </w:rPr>
              <w:t xml:space="preserve">Absence of doubling ... </w:t>
            </w:r>
            <w:r>
              <w:rPr>
                <w:rStyle w:val="Code"/>
              </w:rPr>
              <w:t>&lt;/note&gt;</w:t>
            </w:r>
            <w:r>
              <w:rPr>
                <w:rStyle w:val="Codetext"/>
              </w:rPr>
              <w:br/>
              <w:t xml:space="preserve">   </w:t>
            </w:r>
            <w:r>
              <w:rPr>
                <w:rStyle w:val="Code"/>
              </w:rPr>
              <w:t>&lt;/app&gt;</w:t>
            </w:r>
            <w:r>
              <w:rPr>
                <w:rStyle w:val="Codetext"/>
              </w:rPr>
              <w:br/>
              <w:t xml:space="preserve">   ...</w:t>
            </w:r>
            <w:r>
              <w:rPr>
                <w:rStyle w:val="Codetext"/>
              </w:rPr>
              <w:br/>
              <w:t xml:space="preserve">  </w:t>
            </w:r>
            <w:r>
              <w:rPr>
                <w:rStyle w:val="Code"/>
              </w:rPr>
              <w:t>&lt;/listApp&gt;</w:t>
            </w:r>
            <w:r>
              <w:rPr>
                <w:rStyle w:val="Codetext"/>
              </w:rPr>
              <w:br/>
              <w:t xml:space="preserve"> </w:t>
            </w:r>
            <w:r>
              <w:rPr>
                <w:rStyle w:val="Code"/>
              </w:rPr>
              <w:t>&lt;/div&gt;</w:t>
            </w:r>
            <w:r>
              <w:rPr>
                <w:rStyle w:val="Codetext"/>
              </w:rPr>
              <w:br/>
            </w:r>
            <w:r>
              <w:rPr>
                <w:rStyle w:val="Code"/>
              </w:rPr>
              <w:t>&lt;/div&gt;</w:t>
            </w:r>
          </w:p>
        </w:tc>
      </w:tr>
    </w:tbl>
    <w:p w14:paraId="22F6ABAB" w14:textId="77777777"/>
    <w:tbl>
      <w:tblPr>
        <w:tblStyle w:val="CodeSampleTable"/>
        <w:tblW w:w="5000" w:type="pct"/>
        <w:tblLook w:val="04A0" w:firstRow="1" w:lastRow="0" w:firstColumn="1" w:lastColumn="0" w:noHBand="0" w:noVBand="1"/>
      </w:tblPr>
      <w:tblGrid>
        <w:gridCol w:w="9628"/>
      </w:tblGrid>
      <w:tr w14:paraId="4EC8982F"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C247C7C" w14:textId="783C3213">
            <w:pPr>
              <w:pStyle w:val="Kpalrs"/>
            </w:pPr>
            <w:bookmarkStart w:id="792" w:name="_Ref232172736"/>
            <w:r>
              <w:t xml:space="preserve">Exhibit </w:t>
            </w:r>
            <w:fldSimple w:instr=" STYLEREF 2 \s ">
              <w:r>
                <w:rPr>
                  <w:noProof/>
                </w:rPr>
                <w:t>10.1</w:t>
              </w:r>
            </w:fldSimple>
            <w:r>
              <w:t>.</w:t>
            </w:r>
            <w:fldSimple w:instr=" SEQ Exhibit \* ALPHABETIC \s 2 ">
              <w:r>
                <w:rPr>
                  <w:noProof/>
                </w:rPr>
                <w:t>C</w:t>
              </w:r>
            </w:fldSimple>
            <w:bookmarkEnd w:id="792"/>
            <w:r>
              <w:t>: critical apparatus with more than one textpart, one without content</w:t>
            </w:r>
          </w:p>
        </w:tc>
      </w:tr>
      <w:tr w14:paraId="5793942B" w14:textId="77777777">
        <w:tc>
          <w:tcPr>
            <w:tcW w:w="5000" w:type="pct"/>
          </w:tcPr>
          <w:p w14:paraId="008315B9" w14:textId="77777777">
            <w:pPr>
              <w:pStyle w:val="CodeParagraph"/>
              <w:rPr>
                <w:rStyle w:val="Code"/>
              </w:rPr>
            </w:pPr>
            <w:r>
              <w:rPr>
                <w:rStyle w:val="Code"/>
              </w:rPr>
              <w:t xml:space="preserve">&lt;div </w:t>
            </w:r>
            <w:r>
              <w:rPr>
                <w:rStyle w:val="Codeattribute"/>
              </w:rPr>
              <w:t>type</w:t>
            </w:r>
            <w:r>
              <w:rPr>
                <w:rStyle w:val="Code"/>
              </w:rPr>
              <w:t>=</w:t>
            </w:r>
            <w:r>
              <w:rPr>
                <w:rStyle w:val="Codevalue"/>
              </w:rPr>
              <w:t>"apparatus"</w:t>
            </w:r>
            <w:r>
              <w:rPr>
                <w:rStyle w:val="Code"/>
              </w:rPr>
              <w:t>&gt;</w:t>
            </w:r>
            <w:r>
              <w:rPr>
                <w:rStyle w:val="Codetext"/>
              </w:rPr>
              <w:br/>
              <w:t xml:space="preserve"> </w:t>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&gt;</w:t>
            </w:r>
          </w:p>
          <w:p w14:paraId="3FE51B18" w14:textId="77777777">
            <w:pPr>
              <w:pStyle w:val="CodeParagraph"/>
              <w:rPr>
                <w:rStyle w:val="Codetext"/>
              </w:rPr>
            </w:pPr>
            <w:r>
              <w:rPr>
                <w:rStyle w:val="Code"/>
              </w:rPr>
              <w:t xml:space="preserve">  &lt;head </w:t>
            </w:r>
            <w:r>
              <w:rPr>
                <w:rStyle w:val="Codeattribute"/>
              </w:rPr>
              <w:t>xml:lang</w:t>
            </w:r>
            <w:r>
              <w:rPr>
                <w:rStyle w:val="Code"/>
              </w:rPr>
              <w:t>=</w:t>
            </w:r>
            <w:r>
              <w:rPr>
                <w:rStyle w:val="Codevalue"/>
              </w:rPr>
              <w:t>"eng"</w:t>
            </w:r>
            <w:r>
              <w:rPr>
                <w:rStyle w:val="Code"/>
              </w:rPr>
              <w:t>&gt;</w:t>
            </w:r>
            <w:r>
              <w:rPr>
                <w:rStyle w:val="Codetext"/>
              </w:rPr>
              <w:t>Seal</w:t>
            </w:r>
            <w:r>
              <w:rPr>
                <w:rStyle w:val="Code"/>
              </w:rPr>
              <w:t>&lt;/head&gt;</w:t>
            </w:r>
            <w:r>
              <w:rPr>
                <w:rStyle w:val="Codecomment"/>
              </w:rPr>
              <w:t>&lt;!--Empty textpart.--&gt;</w:t>
            </w:r>
            <w:r>
              <w:rPr>
                <w:rStyle w:val="Codetext"/>
              </w:rPr>
              <w:br/>
              <w:t xml:space="preserve"> </w:t>
            </w:r>
            <w:r>
              <w:rPr>
                <w:rStyle w:val="Code"/>
              </w:rPr>
              <w:t>&lt;/div&gt;</w:t>
            </w:r>
            <w:r>
              <w:rPr>
                <w:rStyle w:val="Codetext"/>
              </w:rPr>
              <w:br/>
              <w:t xml:space="preserve"> </w:t>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"B"</w:t>
            </w:r>
            <w:r>
              <w:rPr>
                <w:rStyle w:val="Code"/>
              </w:rPr>
              <w:t xml:space="preserve">&gt;&lt;head </w:t>
            </w:r>
            <w:r>
              <w:rPr>
                <w:rStyle w:val="Codeattribute"/>
              </w:rPr>
              <w:t>xml:lang</w:t>
            </w:r>
            <w:r>
              <w:rPr>
                <w:rStyle w:val="Code"/>
              </w:rPr>
              <w:t>=</w:t>
            </w:r>
            <w:r>
              <w:rPr>
                <w:rStyle w:val="Codevalue"/>
              </w:rPr>
              <w:t>"eng"</w:t>
            </w:r>
            <w:r>
              <w:rPr>
                <w:rStyle w:val="Code"/>
              </w:rPr>
              <w:t>&gt;</w:t>
            </w:r>
            <w:r>
              <w:rPr>
                <w:rStyle w:val="Codetext"/>
              </w:rPr>
              <w:t>Plates</w:t>
            </w:r>
            <w:r>
              <w:rPr>
                <w:rStyle w:val="Code"/>
              </w:rPr>
              <w:t>&lt;/head&gt;</w:t>
            </w:r>
            <w:r>
              <w:rPr>
                <w:rStyle w:val="Codetext"/>
              </w:rPr>
              <w:br/>
              <w:t xml:space="preserve">  </w:t>
            </w:r>
            <w:r>
              <w:rPr>
                <w:rStyle w:val="Code"/>
              </w:rPr>
              <w:t>&lt;listApp&gt;</w:t>
            </w:r>
            <w:r>
              <w:rPr>
                <w:rStyle w:val="Codetext"/>
              </w:rPr>
              <w:br/>
              <w:t xml:space="preserve">   </w:t>
            </w:r>
            <w:r>
              <w:rPr>
                <w:rStyle w:val="Code"/>
              </w:rPr>
              <w:t xml:space="preserve">&lt;app </w:t>
            </w:r>
            <w:r>
              <w:rPr>
                <w:rStyle w:val="Codeattribute"/>
              </w:rPr>
              <w:t>loc</w:t>
            </w:r>
            <w:r>
              <w:rPr>
                <w:rStyle w:val="Code"/>
              </w:rPr>
              <w:t>=</w:t>
            </w:r>
            <w:r>
              <w:rPr>
                <w:rStyle w:val="Codevalue"/>
              </w:rPr>
              <w:t>"6"</w:t>
            </w:r>
            <w:r>
              <w:rPr>
                <w:rStyle w:val="Code"/>
              </w:rPr>
              <w:t>&gt;</w:t>
            </w:r>
            <w:r>
              <w:rPr>
                <w:rStyle w:val="Codetext"/>
              </w:rPr>
              <w:br/>
              <w:t xml:space="preserve">    </w:t>
            </w:r>
            <w:r>
              <w:rPr>
                <w:rStyle w:val="Code"/>
              </w:rPr>
              <w:t>&lt;lem&gt;</w:t>
            </w:r>
            <w:r>
              <w:rPr>
                <w:rStyle w:val="Codetext"/>
              </w:rPr>
              <w:t>-pu</w:t>
            </w:r>
            <w:r>
              <w:rPr>
                <w:rStyle w:val="Code"/>
              </w:rPr>
              <w:t xml:space="preserve">&lt;unclear </w:t>
            </w:r>
            <w:r>
              <w:rPr>
                <w:rStyle w:val="Codeattribute"/>
              </w:rPr>
              <w:t>reason</w:t>
            </w:r>
            <w:r>
              <w:rPr>
                <w:rStyle w:val="Code"/>
              </w:rPr>
              <w:t>=</w:t>
            </w:r>
            <w:r>
              <w:rPr>
                <w:rStyle w:val="Codevalue"/>
              </w:rPr>
              <w:t>"eccentric_ductus"</w:t>
            </w:r>
            <w:r>
              <w:rPr>
                <w:rStyle w:val="Code"/>
              </w:rPr>
              <w:t>&gt;</w:t>
            </w:r>
            <w:r>
              <w:rPr>
                <w:rStyle w:val="Codetext"/>
              </w:rPr>
              <w:t>ñja</w:t>
            </w:r>
            <w:r>
              <w:rPr>
                <w:rStyle w:val="Code"/>
              </w:rPr>
              <w:t>&lt;/unclear&gt;&lt;/lem&gt;</w:t>
            </w:r>
            <w:r>
              <w:rPr>
                <w:rStyle w:val="Codetext"/>
              </w:rPr>
              <w:br/>
              <w:t xml:space="preserve">    </w:t>
            </w:r>
            <w:r>
              <w:rPr>
                <w:rStyle w:val="Code"/>
              </w:rPr>
              <w:t>&lt;note&gt;</w:t>
            </w:r>
            <w:r>
              <w:rPr>
                <w:rStyle w:val="Codetext"/>
              </w:rPr>
              <w:t xml:space="preserve">While </w:t>
            </w:r>
            <w:r>
              <w:rPr>
                <w:rStyle w:val="Code"/>
              </w:rPr>
              <w:t>&lt;foreign&gt;</w:t>
            </w:r>
            <w:r>
              <w:rPr>
                <w:rStyle w:val="Codetext"/>
              </w:rPr>
              <w:t>puñja</w:t>
            </w:r>
            <w:r>
              <w:rPr>
                <w:rStyle w:val="Code"/>
              </w:rPr>
              <w:t>&lt;/foreign&gt;</w:t>
            </w:r>
            <w:r>
              <w:rPr>
                <w:rStyle w:val="Codetext"/>
              </w:rPr>
              <w:t xml:space="preserve"> must have been intended ... </w:t>
            </w:r>
            <w:r>
              <w:rPr>
                <w:rStyle w:val="Code"/>
              </w:rPr>
              <w:t>&lt;/note&gt;</w:t>
            </w:r>
            <w:r>
              <w:rPr>
                <w:rStyle w:val="Codetext"/>
              </w:rPr>
              <w:br/>
              <w:t xml:space="preserve">   </w:t>
            </w:r>
            <w:r>
              <w:rPr>
                <w:rStyle w:val="Code"/>
              </w:rPr>
              <w:t>&lt;/app&gt;</w:t>
            </w:r>
            <w:r>
              <w:rPr>
                <w:rStyle w:val="Codetext"/>
              </w:rPr>
              <w:br/>
              <w:t xml:space="preserve">   ...</w:t>
            </w:r>
            <w:r>
              <w:rPr>
                <w:rStyle w:val="Codetext"/>
              </w:rPr>
              <w:br/>
              <w:t xml:space="preserve">  </w:t>
            </w:r>
            <w:r>
              <w:rPr>
                <w:rStyle w:val="Code"/>
              </w:rPr>
              <w:t>&lt;/listApp&gt;</w:t>
            </w:r>
            <w:r>
              <w:rPr>
                <w:rStyle w:val="Codetext"/>
              </w:rPr>
              <w:br/>
              <w:t xml:space="preserve"> </w:t>
            </w:r>
            <w:r>
              <w:rPr>
                <w:rStyle w:val="Code"/>
              </w:rPr>
              <w:t>&lt;/div&gt;</w:t>
            </w:r>
          </w:p>
          <w:p w14:paraId="534D4D19" w14:textId="77777777">
            <w:pPr>
              <w:pStyle w:val="CodeParagraph"/>
            </w:pPr>
            <w:r>
              <w:rPr>
                <w:rStyle w:val="Code"/>
              </w:rPr>
              <w:t>&lt;/div&gt;</w:t>
            </w:r>
          </w:p>
        </w:tc>
      </w:tr>
    </w:tbl>
    <w:p w14:paraId="53A81887" w14:textId="77777777">
      <w:pPr>
        <w:pStyle w:val="Cmsor2"/>
      </w:pPr>
      <w:bookmarkStart w:id="793" w:name="_Toc243922735"/>
      <w:r>
        <w:t>Indicating location</w:t>
      </w:r>
      <w:bookmarkEnd w:id="789"/>
      <w:r>
        <w:t xml:space="preserve"> in apparatus entries</w:t>
      </w:r>
      <w:bookmarkEnd w:id="793"/>
    </w:p>
    <w:p w14:paraId="72C1C3E3" w14:textId="77777777">
      <w:r>
        <w:t xml:space="preserve">The value of the attribute </w:t>
      </w:r>
      <w:r>
        <w:rPr>
          <w:rStyle w:val="Codeattribute"/>
        </w:rPr>
        <w:t>@loc</w:t>
      </w:r>
      <w:r>
        <w:t xml:space="preserve"> must unambiguously specify the line to which the apparatus entry pertains. The primary purpose of this value is to be intelligible to a human reader, but some degree of machine-actionability may be desired in the future, therefore we adopt rigorous rules.</w:t>
      </w:r>
    </w:p>
    <w:p w14:paraId="0E84DB4C" w14:textId="77777777">
      <w:pPr>
        <w:pStyle w:val="Lista"/>
      </w:pPr>
      <w:r>
        <w:t xml:space="preserve">locations shall normally be identified as epigraphic lines, using line numbers as reference, because they are </w:t>
      </w:r>
      <w:r>
        <w:rPr>
          <w:noProof/>
        </w:rPr>
        <w:t>(</w:t>
      </w:r>
      <w:r>
        <w:t>almost) ubiquitous in our editions and unique within each edition</w:t>
      </w:r>
    </w:p>
    <w:p w14:paraId="19DDA198" w14:textId="77777777">
      <w:pPr>
        <w:pStyle w:val="Lista2"/>
      </w:pPr>
      <w:r>
        <w:t xml:space="preserve">therefore, the value of </w:t>
      </w:r>
      <w:r>
        <w:rPr>
          <w:rStyle w:val="Codeattribute"/>
        </w:rPr>
        <w:t>@loc</w:t>
      </w:r>
      <w:r>
        <w:t xml:space="preserve"> shall normally be the line number, i.e. the value of the </w:t>
      </w:r>
      <w:r>
        <w:rPr>
          <w:rStyle w:val="Codeattribute"/>
        </w:rPr>
        <w:t>@n</w:t>
      </w:r>
      <w:r>
        <w:t xml:space="preserve"> attribute of the </w:t>
      </w:r>
      <w:r>
        <w:rPr>
          <w:rStyle w:val="Code"/>
        </w:rPr>
        <w:t>&lt;lb/&gt;</w:t>
      </w:r>
      <w:r>
        <w:t xml:space="preserve"> element representing the beginning of the target line</w:t>
      </w:r>
    </w:p>
    <w:p w14:paraId="668CF36C" w14:textId="77777777">
      <w:pPr>
        <w:pStyle w:val="Lista3"/>
      </w:pPr>
      <w:r>
        <w:t xml:space="preserve">if the entry refers to a segment of text that extends across a line break, then </w:t>
      </w:r>
      <w:r>
        <w:rPr>
          <w:rStyle w:val="Codeattribute"/>
        </w:rPr>
        <w:t>@loc</w:t>
      </w:r>
      <w:r>
        <w:t xml:space="preserve"> shall be the number of the line in which the segment begins</w:t>
      </w:r>
    </w:p>
    <w:p w14:paraId="486360B5" w14:textId="7FE708F4">
      <w:pPr>
        <w:pStyle w:val="Lista4"/>
      </w:pPr>
      <w:r>
        <w:t>see also §</w:t>
      </w:r>
      <w:r>
        <w:fldChar w:fldCharType="begin"/>
      </w:r>
      <w:r>
        <w:instrText xml:space="preserve"> REF _Ref43989517 \w \h  \* MERGEFORMAT </w:instrText>
      </w:r>
      <w:r>
        <w:fldChar w:fldCharType="separate"/>
      </w:r>
      <w:r>
        <w:t>10.6</w:t>
      </w:r>
      <w:r>
        <w:fldChar w:fldCharType="end"/>
      </w:r>
      <w:r>
        <w:t xml:space="preserve"> below about the inclusion of line </w:t>
      </w:r>
      <w:r>
        <w:rPr>
          <w:noProof/>
        </w:rPr>
        <w:t>(</w:t>
      </w:r>
      <w:r>
        <w:t>and other) beginning tags in a lemma</w:t>
      </w:r>
    </w:p>
    <w:p w14:paraId="2781DDDE" w14:textId="4C492EBC">
      <w:pPr>
        <w:pStyle w:val="Lista"/>
      </w:pPr>
      <w:r>
        <w:t xml:space="preserve">the sole exception to the ubiquitous presence of line numbers in our editions is forme work </w:t>
      </w:r>
      <w:r>
        <w:rPr>
          <w:noProof/>
        </w:rPr>
        <w:t>(</w:t>
      </w:r>
      <w:r>
        <w:t>§</w:t>
      </w:r>
      <w:r>
        <w:fldChar w:fldCharType="begin"/>
      </w:r>
      <w:r>
        <w:instrText xml:space="preserve"> REF _Ref43984607 \w \h  \* MERGEFORMAT </w:instrText>
      </w:r>
      <w:r>
        <w:fldChar w:fldCharType="separate"/>
      </w:r>
      <w:r>
        <w:t>4.7.2</w:t>
      </w:r>
      <w:r>
        <w:fldChar w:fldCharType="end"/>
      </w:r>
      <w:r>
        <w:t>)</w:t>
      </w:r>
    </w:p>
    <w:p w14:paraId="3C294685" w14:textId="77777777">
      <w:pPr>
        <w:pStyle w:val="Lista2"/>
      </w:pPr>
      <w:r>
        <w:t>it is therefore not possible to refer to the contents of forme work using line numbers</w:t>
      </w:r>
    </w:p>
    <w:p w14:paraId="168330FD" w14:textId="77777777">
      <w:pPr>
        <w:pStyle w:val="Lista2"/>
      </w:pPr>
      <w:r>
        <w:t xml:space="preserve">should you need to add an apparatus entry for a forme work item, the value of </w:t>
      </w:r>
      <w:r>
        <w:rPr>
          <w:rStyle w:val="Codeattribute"/>
        </w:rPr>
        <w:t>@loc</w:t>
      </w:r>
      <w:r>
        <w:t xml:space="preserve"> shall be the number of the forme work item prefixed with the letters </w:t>
      </w:r>
      <w:r>
        <w:rPr>
          <w:noProof/>
        </w:rPr>
        <w:t>“fw”</w:t>
      </w:r>
      <w:r>
        <w:t xml:space="preserve">, e.g. </w:t>
      </w:r>
      <w:r>
        <w:rPr>
          <w:rStyle w:val="Code"/>
        </w:rPr>
        <w:t xml:space="preserve">&lt;app </w:t>
      </w:r>
      <w:r>
        <w:rPr>
          <w:rStyle w:val="Codeattribute"/>
        </w:rPr>
        <w:t>loc</w:t>
      </w:r>
      <w:r>
        <w:rPr>
          <w:rStyle w:val="Code"/>
        </w:rPr>
        <w:t>=</w:t>
      </w:r>
      <w:r>
        <w:rPr>
          <w:rStyle w:val="Codevalue"/>
        </w:rPr>
        <w:t>"fw2r"</w:t>
      </w:r>
      <w:r>
        <w:rPr>
          <w:rStyle w:val="Code"/>
        </w:rPr>
        <w:t>&gt;</w:t>
      </w:r>
      <w:r>
        <w:t xml:space="preserve"> to refer to the forme work element with the number 2r</w:t>
      </w:r>
    </w:p>
    <w:p w14:paraId="41FB1720" w14:textId="50F75D7A">
      <w:pPr>
        <w:pStyle w:val="Lista"/>
      </w:pPr>
      <w:r>
        <w:lastRenderedPageBreak/>
        <w:t xml:space="preserve">the sole exceptions to the uniqueness of line numbers are editions comprised of textpart divisions </w:t>
      </w:r>
      <w:r>
        <w:rPr>
          <w:noProof/>
        </w:rPr>
        <w:t>(</w:t>
      </w:r>
      <w:r>
        <w:t>§</w:t>
      </w:r>
      <w:r>
        <w:fldChar w:fldCharType="begin"/>
      </w:r>
      <w:r>
        <w:instrText xml:space="preserve"> REF _Ref225778181 \r \h </w:instrText>
      </w:r>
      <w:r>
        <w:fldChar w:fldCharType="separate"/>
      </w:r>
      <w:r>
        <w:t>4.2</w:t>
      </w:r>
      <w:r>
        <w:fldChar w:fldCharType="end"/>
      </w:r>
      <w:r>
        <w:t>), where line numbers are restarted in each division</w:t>
      </w:r>
    </w:p>
    <w:p w14:paraId="58B30FD3" w14:textId="77777777">
      <w:pPr>
        <w:pStyle w:val="Lista2"/>
      </w:pPr>
      <w:r>
        <w:t xml:space="preserve">however, since the apparatus division of the document must replicate the textpart divisions of the edition division, </w:t>
      </w:r>
      <w:r>
        <w:rPr>
          <w:rStyle w:val="Codeattribute"/>
        </w:rPr>
        <w:t>@loc</w:t>
      </w:r>
      <w:r>
        <w:t xml:space="preserve"> references in the apparatus still only need to include the </w:t>
      </w:r>
      <w:r>
        <w:rPr>
          <w:rStyle w:val="Codeattribute"/>
        </w:rPr>
        <w:t>@n</w:t>
      </w:r>
      <w:r>
        <w:t xml:space="preserve"> of the target line and will remain unambiguous</w:t>
      </w:r>
    </w:p>
    <w:p w14:paraId="6872EC63" w14:textId="77777777">
      <w:pPr>
        <w:pStyle w:val="Lista"/>
      </w:pPr>
      <w:r>
        <w:t>although some of us may be used to referring to stanza numbers in apparatus entries, we have chosen not to allow this in order to reduce the complexity of referencing</w:t>
      </w:r>
    </w:p>
    <w:p w14:paraId="1BE390E5" w14:textId="77777777">
      <w:pPr>
        <w:pStyle w:val="Lista2"/>
      </w:pPr>
      <w:r>
        <w:t>apparatus entries for lemmas in verse shall be referred to by line number like those in prose</w:t>
      </w:r>
    </w:p>
    <w:p w14:paraId="043A6F7F" w14:textId="2B1E20BF">
      <w:pPr>
        <w:pStyle w:val="Lista2"/>
      </w:pPr>
      <w:r>
        <w:t>notes concerning entire stanzas shall be added to the commentary (§</w:t>
      </w:r>
      <w:r>
        <w:fldChar w:fldCharType="begin"/>
      </w:r>
      <w:r>
        <w:instrText xml:space="preserve"> REF _Ref181352286 \r \h </w:instrText>
      </w:r>
      <w:r>
        <w:fldChar w:fldCharType="separate"/>
      </w:r>
      <w:r>
        <w:t>12</w:t>
      </w:r>
      <w:r>
        <w:fldChar w:fldCharType="end"/>
      </w:r>
      <w:r>
        <w:t>), not to the apparatus</w:t>
      </w:r>
    </w:p>
    <w:p w14:paraId="50D4077E" w14:textId="77777777">
      <w:pPr>
        <w:pStyle w:val="Cmsor2"/>
      </w:pPr>
      <w:bookmarkStart w:id="794" w:name="_h4ndd3ziflyd" w:colFirst="0" w:colLast="0"/>
      <w:bookmarkStart w:id="795" w:name="_Ref61250887"/>
      <w:bookmarkStart w:id="796" w:name="_Toc243922736"/>
      <w:bookmarkEnd w:id="794"/>
      <w:r>
        <w:t>Lemmas</w:t>
      </w:r>
      <w:bookmarkEnd w:id="795"/>
      <w:bookmarkEnd w:id="796"/>
    </w:p>
    <w:p w14:paraId="71305AFE" w14:textId="77777777">
      <w:r>
        <w:t xml:space="preserve">The exact locus </w:t>
      </w:r>
      <w:r>
        <w:rPr>
          <w:noProof/>
        </w:rPr>
        <w:t>(</w:t>
      </w:r>
      <w:r>
        <w:t xml:space="preserve">i.e. segment of text) to which an apparatus entry pertains is specified by a lemma, tagged with the XML element </w:t>
      </w:r>
      <w:r>
        <w:rPr>
          <w:rStyle w:val="Code"/>
        </w:rPr>
        <w:t>&lt;lem&gt;</w:t>
      </w:r>
      <w:r>
        <w:t xml:space="preserve">. </w:t>
      </w:r>
    </w:p>
    <w:p w14:paraId="671FA387" w14:textId="77777777">
      <w:pPr>
        <w:pStyle w:val="Cmsor3"/>
      </w:pPr>
      <w:bookmarkStart w:id="797" w:name="_Ref232168409"/>
      <w:bookmarkStart w:id="798" w:name="_Toc243922737"/>
      <w:r>
        <w:t>The extent of lemma</w:t>
      </w:r>
      <w:bookmarkEnd w:id="797"/>
      <w:r>
        <w:t>s</w:t>
      </w:r>
      <w:bookmarkEnd w:id="798"/>
    </w:p>
    <w:p w14:paraId="43D1698E" w14:textId="77777777">
      <w:r>
        <w:t xml:space="preserve">There are no strict rules for the extent of your lemmas. As with any critical apparatus, lemmas should be large enough to make them unambiguous within the line referred to in the </w:t>
      </w:r>
      <w:r>
        <w:rPr>
          <w:rStyle w:val="Codeattribute"/>
        </w:rPr>
        <w:t>@loc</w:t>
      </w:r>
      <w:r>
        <w:t xml:space="preserve"> attribute and small enough to remain concise.</w:t>
      </w:r>
    </w:p>
    <w:p w14:paraId="53CB3B8F" w14:textId="77777777">
      <w:pPr>
        <w:pStyle w:val="Lista"/>
      </w:pPr>
      <w:r>
        <w:t>lemmas should preferably consist of whole words separated in the edition by an editorial space</w:t>
      </w:r>
    </w:p>
    <w:p w14:paraId="36B8C806" w14:textId="77777777">
      <w:pPr>
        <w:pStyle w:val="Lista2"/>
      </w:pPr>
      <w:r>
        <w:t>deviate from this only when such a lemma is not practicable, for instance because of long compounds, long words merged in vowel sandhi, or because the lemma needs to target a specific fixed morpheme or specific characters</w:t>
      </w:r>
    </w:p>
    <w:p w14:paraId="69DE574F" w14:textId="77777777">
      <w:pPr>
        <w:pStyle w:val="Lista2"/>
      </w:pPr>
      <w:r>
        <w:t>in the latter case, the fact that the lemma is not a whole word shall be indicated with editorial hyphenation (TG §7.3.5) or truncation (TG §7.4) as follows</w:t>
      </w:r>
    </w:p>
    <w:p w14:paraId="11C85655" w14:textId="77777777">
      <w:pPr>
        <w:pStyle w:val="Lista"/>
      </w:pPr>
      <w:r>
        <w:t>if your lemma is only a part of a non-compound word</w:t>
      </w:r>
    </w:p>
    <w:p w14:paraId="4DA4AC2E" w14:textId="77777777">
      <w:pPr>
        <w:pStyle w:val="Lista2"/>
      </w:pPr>
      <w:r>
        <w:t xml:space="preserve">use the character ° </w:t>
      </w:r>
      <w:r>
        <w:rPr>
          <w:noProof/>
        </w:rPr>
        <w:t>to indicate truncation</w:t>
      </w:r>
    </w:p>
    <w:p w14:paraId="416E4E7B" w14:textId="77777777">
      <w:pPr>
        <w:pStyle w:val="Lista2"/>
      </w:pPr>
      <w:r>
        <w:t xml:space="preserve">e.g. text </w:t>
      </w:r>
      <w:r>
        <w:rPr>
          <w:rStyle w:val="Foreign"/>
        </w:rPr>
        <w:t>jāyate</w:t>
      </w:r>
      <w:r>
        <w:t xml:space="preserve">; lemma </w:t>
      </w:r>
      <w:r>
        <w:rPr>
          <w:rStyle w:val="Foreign"/>
        </w:rPr>
        <w:t>°yate</w:t>
      </w:r>
      <w:r>
        <w:t xml:space="preserve"> </w:t>
      </w:r>
    </w:p>
    <w:p w14:paraId="3FC5A27F" w14:textId="77777777">
      <w:pPr>
        <w:pStyle w:val="Lista"/>
      </w:pPr>
      <w:r>
        <w:t>when a boundary between independent words or compound members is obscured by sandhi</w:t>
      </w:r>
    </w:p>
    <w:p w14:paraId="1BF7A580" w14:textId="77777777">
      <w:pPr>
        <w:pStyle w:val="Lista2"/>
      </w:pPr>
      <w:r>
        <w:t>use the character ° to indicate truncation and cite the lemma as in the text (without resolving sandhi)</w:t>
      </w:r>
    </w:p>
    <w:p w14:paraId="0694DE4B" w14:textId="77777777">
      <w:pPr>
        <w:pStyle w:val="Lista2"/>
      </w:pPr>
      <w:r>
        <w:t xml:space="preserve">e.g. text </w:t>
      </w:r>
      <w:r>
        <w:rPr>
          <w:rStyle w:val="Foreign"/>
        </w:rPr>
        <w:t>yathāsmābhiḥ</w:t>
      </w:r>
      <w:r>
        <w:t xml:space="preserve">; lemmas </w:t>
      </w:r>
      <w:r>
        <w:rPr>
          <w:rStyle w:val="Foreign"/>
        </w:rPr>
        <w:t>yathā°</w:t>
      </w:r>
      <w:r>
        <w:t xml:space="preserve"> or </w:t>
      </w:r>
      <w:r>
        <w:rPr>
          <w:rStyle w:val="Foreign"/>
        </w:rPr>
        <w:t>°āsmābhiḥ</w:t>
      </w:r>
      <w:r>
        <w:t xml:space="preserve"> (not </w:t>
      </w:r>
      <w:r>
        <w:rPr>
          <w:rStyle w:val="Foreign"/>
        </w:rPr>
        <w:t>°asmābhiḥ</w:t>
      </w:r>
      <w:r>
        <w:t>)</w:t>
      </w:r>
    </w:p>
    <w:p w14:paraId="18209EF7" w14:textId="77777777">
      <w:pPr>
        <w:pStyle w:val="Lista"/>
      </w:pPr>
      <w:r>
        <w:t>when a boundary between compound members is not obscured by sandhi</w:t>
      </w:r>
    </w:p>
    <w:p w14:paraId="367F3AA7" w14:textId="77777777">
      <w:pPr>
        <w:pStyle w:val="Lista2"/>
      </w:pPr>
      <w:r>
        <w:t>if the compound is not hyphenated in your edition, use the character ° to indicate truncation</w:t>
      </w:r>
    </w:p>
    <w:p w14:paraId="49F9F91A" w14:textId="77777777">
      <w:pPr>
        <w:pStyle w:val="Lista3"/>
      </w:pPr>
      <w:r>
        <w:t xml:space="preserve">e.g. text </w:t>
      </w:r>
      <w:r>
        <w:rPr>
          <w:rStyle w:val="Foreign"/>
        </w:rPr>
        <w:t>śrīpolekeśivallabhasya</w:t>
      </w:r>
      <w:r>
        <w:t xml:space="preserve">; lemmas </w:t>
      </w:r>
      <w:r>
        <w:rPr>
          <w:rStyle w:val="Foreign"/>
        </w:rPr>
        <w:t>śrī°</w:t>
      </w:r>
      <w:r>
        <w:t xml:space="preserve"> or </w:t>
      </w:r>
      <w:r>
        <w:rPr>
          <w:rStyle w:val="Foreign"/>
        </w:rPr>
        <w:t xml:space="preserve">°polekeśi° </w:t>
      </w:r>
      <w:r>
        <w:t xml:space="preserve"> or </w:t>
      </w:r>
      <w:r>
        <w:rPr>
          <w:rStyle w:val="Foreign"/>
        </w:rPr>
        <w:t>°vallabhasya</w:t>
      </w:r>
    </w:p>
    <w:p w14:paraId="15D62B85" w14:textId="77777777">
      <w:pPr>
        <w:pStyle w:val="Lista2"/>
      </w:pPr>
      <w:r>
        <w:t>if the compound is hyphenated in your edition, include the hyphen in your lemma to indicate that it is in compound</w:t>
      </w:r>
    </w:p>
    <w:p w14:paraId="54505552" w14:textId="77777777">
      <w:pPr>
        <w:pStyle w:val="Lista3"/>
      </w:pPr>
      <w:r>
        <w:t xml:space="preserve">e.g. text </w:t>
      </w:r>
      <w:r>
        <w:rPr>
          <w:rStyle w:val="Foreign"/>
        </w:rPr>
        <w:t>śrī-polekeśi-vallabhasya</w:t>
      </w:r>
      <w:r>
        <w:t xml:space="preserve">; lemmas </w:t>
      </w:r>
      <w:r>
        <w:rPr>
          <w:rStyle w:val="Foreign"/>
        </w:rPr>
        <w:t>śrī-</w:t>
      </w:r>
      <w:r>
        <w:t xml:space="preserve"> or </w:t>
      </w:r>
      <w:r>
        <w:rPr>
          <w:rStyle w:val="Foreign"/>
        </w:rPr>
        <w:t>-polekeśi-</w:t>
      </w:r>
      <w:r>
        <w:t xml:space="preserve"> or </w:t>
      </w:r>
      <w:r>
        <w:rPr>
          <w:rStyle w:val="Foreign"/>
        </w:rPr>
        <w:t>-vallabhasya</w:t>
      </w:r>
    </w:p>
    <w:p w14:paraId="28E619FC" w14:textId="17A04C0D">
      <w:pPr>
        <w:pStyle w:val="Lista3"/>
      </w:pPr>
      <w:r>
        <w:t>bear in mind that when a compound boundary coincides with a line break, the editorial hyphen must be placed in the edition at the beginning of the next line (§</w:t>
      </w:r>
      <w:r>
        <w:fldChar w:fldCharType="begin"/>
      </w:r>
      <w:r>
        <w:instrText xml:space="preserve"> REF _Ref232156818 \r \h </w:instrText>
      </w:r>
      <w:r>
        <w:fldChar w:fldCharType="separate"/>
      </w:r>
      <w:r>
        <w:t>7.8.2</w:t>
      </w:r>
      <w:r>
        <w:fldChar w:fldCharType="end"/>
      </w:r>
      <w:r>
        <w:t>)</w:t>
      </w:r>
    </w:p>
    <w:p w14:paraId="1E7FA14E" w14:textId="342AD9E6">
      <w:pPr>
        <w:pStyle w:val="Lista3"/>
      </w:pPr>
      <w:r>
        <w:t>such a hyphen must still be included in your lemma, but this does not necessitate incorporating the encoded line break in the lemma (as you would for lemmas stretching across line breaks, §</w:t>
      </w:r>
      <w:r>
        <w:fldChar w:fldCharType="begin"/>
      </w:r>
      <w:r>
        <w:instrText xml:space="preserve"> REF _Ref43989517 \r \h </w:instrText>
      </w:r>
      <w:r>
        <w:fldChar w:fldCharType="separate"/>
      </w:r>
      <w:r>
        <w:t>10.6</w:t>
      </w:r>
      <w:r>
        <w:fldChar w:fldCharType="end"/>
      </w:r>
      <w:r>
        <w:t>)</w:t>
      </w:r>
    </w:p>
    <w:p w14:paraId="215BEF20" w14:textId="77777777">
      <w:pPr>
        <w:pStyle w:val="Lista"/>
      </w:pPr>
      <w:r>
        <w:t>avoid very long lemmas, if possible, by breaking them up into several smaller ones</w:t>
      </w:r>
    </w:p>
    <w:p w14:paraId="5EF16488" w14:textId="77777777">
      <w:pPr>
        <w:pStyle w:val="Lista"/>
      </w:pPr>
      <w:r>
        <w:t xml:space="preserve">long lemmas that cannot be split up in this way may be abbreviated  by replacing a section of them with </w:t>
      </w:r>
      <w:r>
        <w:rPr>
          <w:rStyle w:val="Code"/>
        </w:rPr>
        <w:t xml:space="preserve">&lt;gap </w:t>
      </w:r>
      <w:r>
        <w:rPr>
          <w:rStyle w:val="Codeattribute"/>
        </w:rPr>
        <w:t>reason</w:t>
      </w:r>
      <w:r>
        <w:rPr>
          <w:rStyle w:val="Code"/>
        </w:rPr>
        <w:t>=</w:t>
      </w:r>
      <w:r>
        <w:rPr>
          <w:rStyle w:val="Codevalue"/>
        </w:rPr>
        <w:t>"ellipsis"</w:t>
      </w:r>
      <w:r>
        <w:rPr>
          <w:rStyle w:val="Code"/>
        </w:rPr>
        <w:t>/&gt;</w:t>
      </w:r>
    </w:p>
    <w:p w14:paraId="6DAAA14D" w14:textId="77777777">
      <w:pPr>
        <w:pStyle w:val="Cmsor3"/>
      </w:pPr>
      <w:bookmarkStart w:id="799" w:name="_Toc243922738"/>
      <w:r>
        <w:t>The content of lemmas</w:t>
      </w:r>
      <w:bookmarkEnd w:id="799"/>
    </w:p>
    <w:p w14:paraId="45FAF664" w14:textId="77777777">
      <w:pPr>
        <w:pStyle w:val="Lista"/>
      </w:pPr>
      <w:r>
        <w:t>the text within your lemma should replicate the text in your edition accurately, including editorial markup</w:t>
      </w:r>
    </w:p>
    <w:p w14:paraId="47CB3810" w14:textId="0070BF43">
      <w:pPr>
        <w:pStyle w:val="Lista2"/>
      </w:pPr>
      <w:r>
        <w:t>see §</w:t>
      </w:r>
      <w:r>
        <w:fldChar w:fldCharType="begin"/>
      </w:r>
      <w:r>
        <w:instrText xml:space="preserve"> REF _Ref43989517 \w \h  \* MERGEFORMAT </w:instrText>
      </w:r>
      <w:r>
        <w:fldChar w:fldCharType="separate"/>
      </w:r>
      <w:r>
        <w:t>10.6</w:t>
      </w:r>
      <w:r>
        <w:fldChar w:fldCharType="end"/>
      </w:r>
      <w:r>
        <w:t xml:space="preserve"> for some concerns pertaining to the use of markup in lemmas</w:t>
      </w:r>
    </w:p>
    <w:p w14:paraId="5A32A091" w14:textId="77777777">
      <w:pPr>
        <w:pStyle w:val="Lista2"/>
      </w:pPr>
      <w:r>
        <w:t>do not add any markup to the lemma that is not present in the edition</w:t>
      </w:r>
    </w:p>
    <w:p w14:paraId="6346C3F3" w14:textId="77777777">
      <w:pPr>
        <w:pStyle w:val="Lista"/>
      </w:pPr>
      <w:r>
        <w:lastRenderedPageBreak/>
        <w:t>when you revise the text of your digital edition, take care to check whether any of the revised text has been cited in the apparatus and revise lemmas accordingly</w:t>
      </w:r>
    </w:p>
    <w:p w14:paraId="2CD822FC" w14:textId="77777777">
      <w:pPr>
        <w:pStyle w:val="Cmsor3"/>
      </w:pPr>
      <w:bookmarkStart w:id="800" w:name="_Ref232167741"/>
      <w:bookmarkStart w:id="801" w:name="_Ref233625530"/>
      <w:bookmarkStart w:id="802" w:name="_Toc243922739"/>
      <w:r>
        <w:t>The source of lemma</w:t>
      </w:r>
      <w:bookmarkEnd w:id="800"/>
      <w:r>
        <w:t>s</w:t>
      </w:r>
      <w:bookmarkEnd w:id="801"/>
      <w:bookmarkEnd w:id="802"/>
    </w:p>
    <w:p w14:paraId="7AC2F1FD" w14:textId="77777777">
      <w:pPr>
        <w:pStyle w:val="Lista"/>
      </w:pPr>
      <w:r>
        <w:rPr>
          <w:rStyle w:val="Code"/>
        </w:rPr>
        <w:t>&lt;lem&gt;</w:t>
      </w:r>
      <w:r>
        <w:t xml:space="preserve"> may take the attribute </w:t>
      </w:r>
      <w:r>
        <w:rPr>
          <w:rStyle w:val="Codeattribute"/>
        </w:rPr>
        <w:t>@source</w:t>
      </w:r>
      <w:r>
        <w:t xml:space="preserve"> to show that a previous edition has a reading identical to that adopted in your edition</w:t>
      </w:r>
    </w:p>
    <w:p w14:paraId="23CA6BF3" w14:textId="6B67282E">
      <w:pPr>
        <w:pStyle w:val="Lista2"/>
      </w:pPr>
      <w:r>
        <w:t>the value of this attribute must be a bibliographic identifier as set out in §</w:t>
      </w:r>
      <w:r>
        <w:fldChar w:fldCharType="begin"/>
      </w:r>
      <w:r>
        <w:instrText xml:space="preserve"> REF _Ref43989551 \w \h  \* MERGEFORMAT </w:instrText>
      </w:r>
      <w:r>
        <w:fldChar w:fldCharType="separate"/>
      </w:r>
      <w:r>
        <w:t>14.6.2</w:t>
      </w:r>
      <w:r>
        <w:fldChar w:fldCharType="end"/>
      </w:r>
    </w:p>
    <w:p w14:paraId="279C18A1" w14:textId="13630260">
      <w:pPr>
        <w:pStyle w:val="Lista3"/>
      </w:pPr>
      <w:r>
        <w:t xml:space="preserve">whenever you use </w:t>
      </w:r>
      <w:r>
        <w:rPr>
          <w:rStyle w:val="Codeattribute"/>
        </w:rPr>
        <w:t>@source</w:t>
      </w:r>
      <w:r>
        <w:t xml:space="preserve"> on a lemma, the bibliographic citation of that publication in your bibliography division must include an encoded siglum for use in the apparatus, as per §</w:t>
      </w:r>
      <w:r>
        <w:fldChar w:fldCharType="begin"/>
      </w:r>
      <w:r>
        <w:instrText xml:space="preserve"> REF _Ref43989610 \w \h  \* MERGEFORMAT </w:instrText>
      </w:r>
      <w:r>
        <w:fldChar w:fldCharType="separate"/>
      </w:r>
      <w:r>
        <w:t>13.3.2</w:t>
      </w:r>
      <w:r>
        <w:fldChar w:fldCharType="end"/>
      </w:r>
    </w:p>
    <w:p w14:paraId="2A6999AD" w14:textId="478BA874">
      <w:pPr>
        <w:pStyle w:val="Lista2"/>
      </w:pPr>
      <w:r>
        <w:t>see §</w:t>
      </w:r>
      <w:r>
        <w:fldChar w:fldCharType="begin"/>
      </w:r>
      <w:r>
        <w:instrText xml:space="preserve"> REF _Ref43989583 \w \h  \* MERGEFORMAT </w:instrText>
      </w:r>
      <w:r>
        <w:fldChar w:fldCharType="separate"/>
      </w:r>
      <w:r>
        <w:t>10.5</w:t>
      </w:r>
      <w:r>
        <w:fldChar w:fldCharType="end"/>
      </w:r>
      <w:r>
        <w:t xml:space="preserve"> below for guidance on the degree of similarity that counts identical</w:t>
      </w:r>
    </w:p>
    <w:p w14:paraId="30395CBD" w14:textId="77777777">
      <w:pPr>
        <w:pStyle w:val="Lista"/>
      </w:pPr>
      <w:r>
        <w:t>if an apparatus entry contains alternative readings, then any previous editors who agree with the lemma (i.e. with your preferred reading) must be credited in this way</w:t>
      </w:r>
    </w:p>
    <w:p w14:paraId="23A77ECD" w14:textId="77777777">
      <w:pPr>
        <w:pStyle w:val="Lista"/>
      </w:pPr>
      <w:r>
        <w:t xml:space="preserve">if an apparatus entry contains only a note, but no alternative readings, then </w:t>
      </w:r>
      <w:r>
        <w:rPr>
          <w:rStyle w:val="Codeattribute"/>
        </w:rPr>
        <w:t>@source</w:t>
      </w:r>
      <w:r>
        <w:t xml:space="preserve"> need not be indicated on the lemma (since in this case you and any previous editors agree on the reading)</w:t>
      </w:r>
    </w:p>
    <w:p w14:paraId="6BB84487" w14:textId="77777777">
      <w:pPr>
        <w:pStyle w:val="Lista2"/>
      </w:pPr>
      <w:r>
        <w:t xml:space="preserve">nonetheless, you may choose to add </w:t>
      </w:r>
      <w:r>
        <w:rPr>
          <w:rStyle w:val="Codeattribute"/>
        </w:rPr>
        <w:t>@source</w:t>
      </w:r>
      <w:r>
        <w:t xml:space="preserve"> in order to credit a particular previous editor for a difficult reading or an ingenious restoration</w:t>
      </w:r>
    </w:p>
    <w:p w14:paraId="1729E8E1" w14:textId="77777777">
      <w:pPr>
        <w:pStyle w:val="Lista"/>
      </w:pPr>
      <w:r>
        <w:t>an apparatus lemma may be created for the sole purpose of crediting a previous editor for a difficult reading or an ingenious restoration</w:t>
      </w:r>
    </w:p>
    <w:p w14:paraId="3DD7C0B4" w14:textId="77777777">
      <w:pPr>
        <w:pStyle w:val="Lista2"/>
      </w:pPr>
      <w:r>
        <w:t xml:space="preserve">in this case the </w:t>
      </w:r>
      <w:r>
        <w:rPr>
          <w:rStyle w:val="Code"/>
        </w:rPr>
        <w:t>&lt;app&gt;</w:t>
      </w:r>
      <w:r>
        <w:t xml:space="preserve"> element need contain neither </w:t>
      </w:r>
      <w:r>
        <w:rPr>
          <w:rStyle w:val="Code"/>
        </w:rPr>
        <w:t>&lt;rdg&gt;</w:t>
      </w:r>
      <w:r>
        <w:t xml:space="preserve"> nor </w:t>
      </w:r>
      <w:r>
        <w:rPr>
          <w:rStyle w:val="Code"/>
        </w:rPr>
        <w:t>&lt;note&gt;</w:t>
      </w:r>
      <w:r>
        <w:t xml:space="preserve">, but </w:t>
      </w:r>
      <w:r>
        <w:rPr>
          <w:rStyle w:val="Codeattribute"/>
        </w:rPr>
        <w:t>@source</w:t>
      </w:r>
      <w:r>
        <w:t xml:space="preserve"> must be present on the lemma</w:t>
      </w:r>
    </w:p>
    <w:p w14:paraId="19087F60" w14:textId="77777777">
      <w:pPr>
        <w:pStyle w:val="Lista2"/>
      </w:pPr>
      <w:r>
        <w:t>such apparatus entries will be rare; only create them if you feel they are necessary</w:t>
      </w:r>
    </w:p>
    <w:p w14:paraId="760B5260" w14:textId="77777777">
      <w:pPr>
        <w:pStyle w:val="Cmsor2"/>
      </w:pPr>
      <w:bookmarkStart w:id="803" w:name="_b7x6ivkmyvqo" w:colFirst="0" w:colLast="0"/>
      <w:bookmarkStart w:id="804" w:name="_Ref43989425"/>
      <w:bookmarkStart w:id="805" w:name="_Toc243922740"/>
      <w:bookmarkEnd w:id="803"/>
      <w:r>
        <w:t>Alternative readings, restorations and emendations</w:t>
      </w:r>
      <w:bookmarkEnd w:id="804"/>
      <w:bookmarkEnd w:id="805"/>
    </w:p>
    <w:p w14:paraId="2B64182D" w14:textId="77777777">
      <w:r>
        <w:t xml:space="preserve">Alternatives to your edited text offered by other editors shall be recorded in </w:t>
      </w:r>
      <w:r>
        <w:rPr>
          <w:rStyle w:val="Code"/>
        </w:rPr>
        <w:t>&lt;rdg&gt;</w:t>
      </w:r>
      <w:r>
        <w:t xml:space="preserve"> elements within an apparatus entry.</w:t>
      </w:r>
    </w:p>
    <w:p w14:paraId="3A002E05" w14:textId="77777777">
      <w:pPr>
        <w:pStyle w:val="Cmsor3"/>
      </w:pPr>
      <w:bookmarkStart w:id="806" w:name="_Ref242886455"/>
      <w:bookmarkStart w:id="807" w:name="_Toc243922741"/>
      <w:r>
        <w:t>The extent of alternative readings</w:t>
      </w:r>
      <w:bookmarkEnd w:id="806"/>
      <w:bookmarkEnd w:id="807"/>
    </w:p>
    <w:p w14:paraId="33F24E15" w14:textId="77777777">
      <w:r>
        <w:t>The text segments cited as alternative readings must always correspond exactly to the extent of the lemma</w:t>
      </w:r>
    </w:p>
    <w:p w14:paraId="71AA546B" w14:textId="13BB2D8C">
      <w:pPr>
        <w:pStyle w:val="Lista"/>
      </w:pPr>
      <w:r>
        <w:t>as described in §</w:t>
      </w:r>
      <w:r>
        <w:fldChar w:fldCharType="begin"/>
      </w:r>
      <w:r>
        <w:instrText xml:space="preserve"> REF _Ref232168409 \r \h </w:instrText>
      </w:r>
      <w:r>
        <w:fldChar w:fldCharType="separate"/>
      </w:r>
      <w:r>
        <w:t>10.3.1</w:t>
      </w:r>
      <w:r>
        <w:fldChar w:fldCharType="end"/>
      </w:r>
      <w:r>
        <w:t xml:space="preserve"> for lemmas, use ° or a hyphen at the beginning or end of a reading if its boundary does not coincide with the boundary of an independent word of the text</w:t>
      </w:r>
    </w:p>
    <w:p w14:paraId="2E757014" w14:textId="77777777">
      <w:pPr>
        <w:pStyle w:val="Lista"/>
      </w:pPr>
      <w:r>
        <w:t xml:space="preserve">if a previous edition shows nothing </w:t>
      </w:r>
      <w:r>
        <w:rPr>
          <w:noProof/>
        </w:rPr>
        <w:t>(</w:t>
      </w:r>
      <w:r>
        <w:t xml:space="preserve">i.e. not even a lacuna) at a locus where your edition has content </w:t>
      </w:r>
      <w:r>
        <w:rPr>
          <w:noProof/>
        </w:rPr>
        <w:t>(</w:t>
      </w:r>
      <w:r>
        <w:t>including a tentative reading or a lacuna), the reading of that edition may be represented by an empty element</w:t>
      </w:r>
    </w:p>
    <w:p w14:paraId="6A59759F" w14:textId="77777777">
      <w:pPr>
        <w:pStyle w:val="Lista2"/>
      </w:pPr>
      <w:r>
        <w:t xml:space="preserve">e.g. </w:t>
      </w:r>
      <w:r>
        <w:rPr>
          <w:rStyle w:val="Code"/>
        </w:rPr>
        <w:t xml:space="preserve">&lt;rdg </w:t>
      </w:r>
      <w:r>
        <w:rPr>
          <w:rStyle w:val="Codeattribute"/>
        </w:rPr>
        <w:t>source</w:t>
      </w:r>
      <w:r>
        <w:rPr>
          <w:rStyle w:val="Code"/>
        </w:rPr>
        <w:t>=</w:t>
      </w:r>
      <w:r>
        <w:rPr>
          <w:rStyle w:val="Codevalue"/>
        </w:rPr>
        <w:t>"bib:VenkatasubbaAyyar1943_01"</w:t>
      </w:r>
      <w:r>
        <w:rPr>
          <w:rStyle w:val="Code"/>
        </w:rPr>
        <w:t>/&gt;</w:t>
      </w:r>
    </w:p>
    <w:p w14:paraId="0502441C" w14:textId="77777777">
      <w:pPr>
        <w:pStyle w:val="Cmsor3"/>
      </w:pPr>
      <w:bookmarkStart w:id="808" w:name="_Ref233988136"/>
      <w:bookmarkStart w:id="809" w:name="_Toc243922742"/>
      <w:r>
        <w:t>The content of alternative readings</w:t>
      </w:r>
      <w:bookmarkEnd w:id="808"/>
      <w:bookmarkEnd w:id="809"/>
    </w:p>
    <w:p w14:paraId="42FB9680" w14:textId="77777777">
      <w:pPr>
        <w:pStyle w:val="Lista"/>
      </w:pPr>
      <w:r>
        <w:t xml:space="preserve">text cited within </w:t>
      </w:r>
      <w:r>
        <w:rPr>
          <w:rStyle w:val="Code"/>
        </w:rPr>
        <w:t>&lt;rdg&gt;</w:t>
      </w:r>
      <w:r>
        <w:t xml:space="preserve"> must be Romanised according to the DHARMA transliteration scheme regardless of what transliteration system or script the cited edition employed</w:t>
      </w:r>
    </w:p>
    <w:p w14:paraId="48C98C68" w14:textId="77777777">
      <w:pPr>
        <w:pStyle w:val="Lista2"/>
      </w:pPr>
      <w:r>
        <w:t xml:space="preserve">if an earlier editor uses </w:t>
      </w:r>
      <w:r>
        <w:rPr>
          <w:rStyle w:val="Foreign"/>
        </w:rPr>
        <w:t>ś</w:t>
      </w:r>
      <w:r>
        <w:t xml:space="preserve"> to transliterate both Grantha </w:t>
      </w:r>
      <w:r>
        <w:rPr>
          <w:rStyle w:val="Foreign"/>
        </w:rPr>
        <w:t>ś</w:t>
      </w:r>
      <w:r>
        <w:t xml:space="preserve"> and Tamil </w:t>
      </w:r>
      <w:r>
        <w:rPr>
          <w:rStyle w:val="Foreign"/>
        </w:rPr>
        <w:t>c</w:t>
      </w:r>
      <w:r>
        <w:t xml:space="preserve">, and you are unable to determine which is meant, choose in </w:t>
      </w:r>
      <w:r>
        <w:rPr>
          <w:rStyle w:val="Code"/>
        </w:rPr>
        <w:t>&lt;lem&gt;</w:t>
      </w:r>
      <w:r>
        <w:t xml:space="preserve"> the interpretation you favour and add a </w:t>
      </w:r>
      <w:r>
        <w:rPr>
          <w:rStyle w:val="Code"/>
        </w:rPr>
        <w:t>&lt;note&gt;</w:t>
      </w:r>
      <w:r>
        <w:t xml:space="preserve"> to the </w:t>
      </w:r>
      <w:r>
        <w:rPr>
          <w:rStyle w:val="Code"/>
        </w:rPr>
        <w:t>&lt;app&gt;</w:t>
      </w:r>
      <w:r>
        <w:t xml:space="preserve">, such as “The original editor’s reading could also be interpreted as …” (specifying the original editor by name if the </w:t>
      </w:r>
      <w:r>
        <w:rPr>
          <w:rStyle w:val="Code"/>
        </w:rPr>
        <w:t>&lt;app&gt;</w:t>
      </w:r>
      <w:r>
        <w:t xml:space="preserve"> contains several </w:t>
      </w:r>
      <w:r>
        <w:rPr>
          <w:rStyle w:val="Code"/>
        </w:rPr>
        <w:t>&lt;rdg&gt;</w:t>
      </w:r>
      <w:r>
        <w:t>)</w:t>
      </w:r>
    </w:p>
    <w:p w14:paraId="771C5ECD" w14:textId="77777777">
      <w:pPr>
        <w:pStyle w:val="Lista2"/>
      </w:pPr>
      <w:r>
        <w:t>if an earlier editor’s transliteration scheme represents certain details of the script less accurately than ours, make reasonable effort to normalise their reading to the more accurate DHARMA system, e.g.</w:t>
      </w:r>
    </w:p>
    <w:p w14:paraId="166DC354" w14:textId="77777777">
      <w:pPr>
        <w:pStyle w:val="Lista3"/>
      </w:pPr>
      <w:r>
        <w:t>in particular, initial vowels and final consonants to the uppercase letters used in our transliteration, even if the earlier editor does not indicate these in any way (e.g. by using = adjacent to non-initial vowels and non-final consonants)</w:t>
      </w:r>
    </w:p>
    <w:p w14:paraId="0BEB33E0" w14:textId="77777777">
      <w:pPr>
        <w:pStyle w:val="Lista3"/>
      </w:pPr>
      <w:r>
        <w:rPr>
          <w:rStyle w:val="Foreign"/>
        </w:rPr>
        <w:t>ḥ</w:t>
      </w:r>
      <w:r>
        <w:t xml:space="preserve"> to </w:t>
      </w:r>
      <w:r>
        <w:rPr>
          <w:rStyle w:val="Foreign"/>
        </w:rPr>
        <w:t>ḫ</w:t>
      </w:r>
      <w:r>
        <w:t xml:space="preserve"> or </w:t>
      </w:r>
      <w:r>
        <w:rPr>
          <w:rStyle w:val="Foreign"/>
        </w:rPr>
        <w:t>ẖ</w:t>
      </w:r>
      <w:r>
        <w:t xml:space="preserve"> as applicable, if an earlier editor does not (consistently) distinguish </w:t>
      </w:r>
      <w:r>
        <w:rPr>
          <w:rStyle w:val="Foreign"/>
        </w:rPr>
        <w:t>upadhmānīya</w:t>
      </w:r>
      <w:r>
        <w:t xml:space="preserve"> and </w:t>
      </w:r>
      <w:r>
        <w:rPr>
          <w:rStyle w:val="Foreign"/>
        </w:rPr>
        <w:t>jihvāmūlīya</w:t>
      </w:r>
      <w:r>
        <w:t xml:space="preserve"> from </w:t>
      </w:r>
      <w:r>
        <w:rPr>
          <w:rStyle w:val="Foreign"/>
        </w:rPr>
        <w:t>visarga</w:t>
      </w:r>
    </w:p>
    <w:p w14:paraId="5931E15B" w14:textId="77777777">
      <w:pPr>
        <w:pStyle w:val="Lista"/>
      </w:pPr>
      <w:r>
        <w:lastRenderedPageBreak/>
        <w:t>text within this element must be marked up with XML tags to clearly indicate what the cited editor deemed unclear, emended or supplied</w:t>
      </w:r>
    </w:p>
    <w:p w14:paraId="699F36C0" w14:textId="77777777">
      <w:pPr>
        <w:pStyle w:val="Lista2"/>
      </w:pPr>
      <w:r>
        <w:t>that is to say, convert the original editor’s markup and/or additional explanation into XML tags endorsed by this guide as best possible</w:t>
      </w:r>
    </w:p>
    <w:p w14:paraId="1C0443A9" w14:textId="77777777">
      <w:pPr>
        <w:pStyle w:val="Lista2"/>
      </w:pPr>
      <w:r>
        <w:t>since the markup found in many printed editions is less expressive and/or less rigorously consistent than our EpiDoc conventions, you may need to interpret the intention of the original editor and mark up alternatives accordingly, for instance by distinguishing correction from normalisation</w:t>
      </w:r>
    </w:p>
    <w:p w14:paraId="6AA4710D" w14:textId="77777777">
      <w:pPr>
        <w:pStyle w:val="Lista"/>
      </w:pPr>
      <w:r>
        <w:t xml:space="preserve">never retain any traditional editorial markup </w:t>
      </w:r>
      <w:r>
        <w:rPr>
          <w:noProof/>
        </w:rPr>
        <w:t>(</w:t>
      </w:r>
      <w:r>
        <w:t>such as brackets or asterisks)</w:t>
      </w:r>
    </w:p>
    <w:p w14:paraId="4191E494" w14:textId="77777777">
      <w:pPr>
        <w:pStyle w:val="Lista2"/>
      </w:pPr>
      <w:r>
        <w:t>if you are unable to interpret the intent of an earlier editor, discuss it in an apparatus note instead of citing it as a reading</w:t>
      </w:r>
    </w:p>
    <w:p w14:paraId="14FAC7FA" w14:textId="36288DA0">
      <w:pPr>
        <w:pStyle w:val="Lista2"/>
      </w:pPr>
      <w:r>
        <w:t>see also §</w:t>
      </w:r>
      <w:r>
        <w:fldChar w:fldCharType="begin"/>
      </w:r>
      <w:r>
        <w:instrText xml:space="preserve"> REF _Ref43989517 \w \h  \* MERGEFORMAT </w:instrText>
      </w:r>
      <w:r>
        <w:fldChar w:fldCharType="separate"/>
      </w:r>
      <w:r>
        <w:t>10.6</w:t>
      </w:r>
      <w:r>
        <w:fldChar w:fldCharType="end"/>
      </w:r>
      <w:r>
        <w:t xml:space="preserve"> for some concerns pertaining to the use of XML tags in readings, in particular about the encoding of line breaks within a reading</w:t>
      </w:r>
    </w:p>
    <w:p w14:paraId="73D67CDC" w14:textId="77777777">
      <w:pPr>
        <w:pStyle w:val="Lista"/>
      </w:pPr>
      <w:r>
        <w:t>feel free to silently correct obvious typographic errors and transliteration inconsistencies when citing an earlier editor’s reading</w:t>
      </w:r>
    </w:p>
    <w:p w14:paraId="06810939" w14:textId="77777777">
      <w:pPr>
        <w:pStyle w:val="Lista2"/>
      </w:pPr>
      <w:r>
        <w:t>but when there is any doubt as to whether you are dealing with a typo or an erroneous reading, it is better to assume the latter</w:t>
      </w:r>
    </w:p>
    <w:p w14:paraId="1F4B8894" w14:textId="77777777">
      <w:pPr>
        <w:pStyle w:val="Lista"/>
      </w:pPr>
      <w:r>
        <w:t xml:space="preserve">keep in mind that all markup within </w:t>
      </w:r>
      <w:r>
        <w:rPr>
          <w:rStyle w:val="Code"/>
        </w:rPr>
        <w:t>&lt;rdg&gt;</w:t>
      </w:r>
      <w:r>
        <w:t xml:space="preserve"> must represent the cited editor’s markup, not your markup pertaining to the cited edition; thus,</w:t>
      </w:r>
    </w:p>
    <w:p w14:paraId="2FC36A70" w14:textId="77777777">
      <w:pPr>
        <w:pStyle w:val="Lista2"/>
      </w:pPr>
      <w:r>
        <w:t>if your copy of the edition is unclear or illegible, this can be indicated in a note, but not with XML markup for unclear text or a lacuna</w:t>
      </w:r>
    </w:p>
    <w:p w14:paraId="76D707E7" w14:textId="143C5ACA">
      <w:pPr>
        <w:pStyle w:val="Lista2"/>
      </w:pPr>
      <w:r>
        <w:t xml:space="preserve">if the previous editor omits some text, this can be indicated by an empty </w:t>
      </w:r>
      <w:r>
        <w:rPr>
          <w:rStyle w:val="Code"/>
        </w:rPr>
        <w:t>&lt;rdg&gt;</w:t>
      </w:r>
      <w:r>
        <w:t xml:space="preserve"> as above (§</w:t>
      </w:r>
      <w:r>
        <w:fldChar w:fldCharType="begin"/>
      </w:r>
      <w:r>
        <w:instrText xml:space="preserve"> REF _Ref242886455 \r \h </w:instrText>
      </w:r>
      <w:r>
        <w:fldChar w:fldCharType="separate"/>
      </w:r>
      <w:r>
        <w:t>10.4.1</w:t>
      </w:r>
      <w:r>
        <w:fldChar w:fldCharType="end"/>
      </w:r>
      <w:r>
        <w:t>), or by choosing a broader lemma that includes some text adjacent to the omission</w:t>
      </w:r>
    </w:p>
    <w:p w14:paraId="3257121E" w14:textId="77777777">
      <w:pPr>
        <w:pStyle w:val="Cmsor3"/>
      </w:pPr>
      <w:bookmarkStart w:id="810" w:name="_Ref233625579"/>
      <w:bookmarkStart w:id="811" w:name="_Toc243922743"/>
      <w:r>
        <w:t>The source of alternative readings</w:t>
      </w:r>
      <w:bookmarkEnd w:id="810"/>
      <w:bookmarkEnd w:id="811"/>
    </w:p>
    <w:p w14:paraId="515EE3A3" w14:textId="77777777">
      <w:pPr>
        <w:pStyle w:val="Lista"/>
      </w:pPr>
      <w:r>
        <w:t>alternative readings must always be credited to the editor</w:t>
      </w:r>
      <w:r>
        <w:rPr>
          <w:noProof/>
        </w:rPr>
        <w:t>(</w:t>
      </w:r>
      <w:r>
        <w:t xml:space="preserve">s) who proposed or endorsed them, using the attribute </w:t>
      </w:r>
      <w:r>
        <w:rPr>
          <w:rStyle w:val="Codeattribute"/>
        </w:rPr>
        <w:t>@source</w:t>
      </w:r>
      <w:r>
        <w:t xml:space="preserve"> on </w:t>
      </w:r>
      <w:r>
        <w:rPr>
          <w:rStyle w:val="Code"/>
        </w:rPr>
        <w:t>&lt;rdg&gt;</w:t>
      </w:r>
    </w:p>
    <w:p w14:paraId="404FBCC8" w14:textId="74853389">
      <w:pPr>
        <w:pStyle w:val="Lista2"/>
      </w:pPr>
      <w:r>
        <w:t>the value of this attribute must be a bibliographic identifier as set out in §</w:t>
      </w:r>
      <w:r>
        <w:fldChar w:fldCharType="begin"/>
      </w:r>
      <w:r>
        <w:instrText xml:space="preserve"> REF _Ref43989551 \w \h  \* MERGEFORMAT </w:instrText>
      </w:r>
      <w:r>
        <w:fldChar w:fldCharType="separate"/>
      </w:r>
      <w:r>
        <w:t>14.6.2</w:t>
      </w:r>
      <w:r>
        <w:fldChar w:fldCharType="end"/>
      </w:r>
    </w:p>
    <w:p w14:paraId="4E0A12F5" w14:textId="50B1B7B0">
      <w:pPr>
        <w:pStyle w:val="Lista2"/>
      </w:pPr>
      <w:r>
        <w:t>the bibliographic citation of the relevant publication in your bibliography division must include an encoded siglum for use in the apparatus, as per §</w:t>
      </w:r>
      <w:r>
        <w:fldChar w:fldCharType="begin"/>
      </w:r>
      <w:r>
        <w:instrText xml:space="preserve"> REF _Ref43989610 \w \h  \* MERGEFORMAT </w:instrText>
      </w:r>
      <w:r>
        <w:fldChar w:fldCharType="separate"/>
      </w:r>
      <w:r>
        <w:t>13.3.2</w:t>
      </w:r>
      <w:r>
        <w:fldChar w:fldCharType="end"/>
      </w:r>
    </w:p>
    <w:p w14:paraId="738613B9" w14:textId="6205B92A">
      <w:pPr>
        <w:pStyle w:val="Lista2"/>
      </w:pPr>
      <w:r>
        <w:t>see §</w:t>
      </w:r>
      <w:r>
        <w:fldChar w:fldCharType="begin"/>
      </w:r>
      <w:r>
        <w:instrText xml:space="preserve"> REF _Ref43989583 \w \h  \* MERGEFORMAT </w:instrText>
      </w:r>
      <w:r>
        <w:fldChar w:fldCharType="separate"/>
      </w:r>
      <w:r>
        <w:t>10.5</w:t>
      </w:r>
      <w:r>
        <w:fldChar w:fldCharType="end"/>
      </w:r>
      <w:r>
        <w:t xml:space="preserve"> below for guidance on deciding when two editors’ readings may be deemed identical</w:t>
      </w:r>
    </w:p>
    <w:p w14:paraId="79AF8E6C" w14:textId="77777777">
      <w:pPr>
        <w:pStyle w:val="Lista"/>
      </w:pPr>
      <w:r>
        <w:t>if your apparatus includes at least one lemma with alternative readings and you have consulted more than one previous editor, then your apparatus entries must always be formulated as a positive apparatus</w:t>
      </w:r>
    </w:p>
    <w:p w14:paraId="5EF7CCEE" w14:textId="77777777">
      <w:pPr>
        <w:pStyle w:val="Lista2"/>
      </w:pPr>
      <w:r>
        <w:t xml:space="preserve">for any lemma with one or more alternative readings, clearly indicate </w:t>
      </w:r>
      <w:r>
        <w:rPr>
          <w:noProof/>
        </w:rPr>
        <w:t>(</w:t>
      </w:r>
      <w:r>
        <w:t>either under the lemma or under one of the alternative readings) what the readings of all previous editors were</w:t>
      </w:r>
    </w:p>
    <w:p w14:paraId="637D9E80" w14:textId="012B9086">
      <w:pPr>
        <w:pStyle w:val="Lista2"/>
      </w:pPr>
      <w:r>
        <w:t xml:space="preserve">however, keep in mind that your apparatus does not have to list every minor divergence from or between previous editions </w:t>
      </w:r>
      <w:r>
        <w:rPr>
          <w:noProof/>
        </w:rPr>
        <w:t>(</w:t>
      </w:r>
      <w:r>
        <w:t>§</w:t>
      </w:r>
      <w:r>
        <w:fldChar w:fldCharType="begin"/>
      </w:r>
      <w:r>
        <w:instrText xml:space="preserve"> REF _Ref43978773 \r \h </w:instrText>
      </w:r>
      <w:r>
        <w:fldChar w:fldCharType="separate"/>
      </w:r>
      <w:r>
        <w:t>10</w:t>
      </w:r>
      <w:r>
        <w:fldChar w:fldCharType="end"/>
      </w:r>
      <w:r>
        <w:t>)</w:t>
      </w:r>
    </w:p>
    <w:p w14:paraId="65367EBF" w14:textId="77777777">
      <w:pPr>
        <w:pStyle w:val="Cmsor2"/>
      </w:pPr>
      <w:bookmarkStart w:id="812" w:name="_wlnr5yx14afg" w:colFirst="0" w:colLast="0"/>
      <w:bookmarkStart w:id="813" w:name="_Ref43989583"/>
      <w:bookmarkStart w:id="814" w:name="_Toc243922744"/>
      <w:bookmarkEnd w:id="812"/>
      <w:r>
        <w:t>Identical lemmas, identical readings</w:t>
      </w:r>
      <w:bookmarkEnd w:id="813"/>
      <w:bookmarkEnd w:id="814"/>
    </w:p>
    <w:p w14:paraId="76A954F4" w14:textId="77777777">
      <w:pPr>
        <w:pStyle w:val="Lista"/>
      </w:pPr>
      <w:r>
        <w:t>in setting up your apparatus, you will need to judge whether two given readings are to be recognised as different or can be treated as identical</w:t>
      </w:r>
    </w:p>
    <w:p w14:paraId="592D003D" w14:textId="77777777">
      <w:pPr>
        <w:pStyle w:val="Lista2"/>
      </w:pPr>
      <w:r>
        <w:t>to decide whether a given previous editor’s reading agrees with yours or must be shown as an alternative reading</w:t>
      </w:r>
    </w:p>
    <w:p w14:paraId="2E6EF7B5" w14:textId="77777777">
      <w:pPr>
        <w:pStyle w:val="Lista2"/>
      </w:pPr>
      <w:r>
        <w:t>to decide whether a given previous editor’s reading agrees with that of another previous editor or must be shown as an additional alternative reading</w:t>
      </w:r>
    </w:p>
    <w:p w14:paraId="7221A288" w14:textId="77777777">
      <w:pPr>
        <w:pStyle w:val="Lista"/>
      </w:pPr>
      <w:r>
        <w:t>in this process, you should primarily consider the actual text shown in each edition, as read by each editor; thus,</w:t>
      </w:r>
    </w:p>
    <w:p w14:paraId="0F653C10" w14:textId="5746B2AE">
      <w:pPr>
        <w:pStyle w:val="Lista2"/>
      </w:pPr>
      <w:r>
        <w:t>ignore differences limited to the transliteration system (see also §</w:t>
      </w:r>
      <w:r>
        <w:fldChar w:fldCharType="begin"/>
      </w:r>
      <w:r>
        <w:instrText xml:space="preserve"> REF _Ref233988136 \r \h </w:instrText>
      </w:r>
      <w:r>
        <w:fldChar w:fldCharType="separate"/>
      </w:r>
      <w:r>
        <w:t>10.4.2</w:t>
      </w:r>
      <w:r>
        <w:fldChar w:fldCharType="end"/>
      </w:r>
      <w:r>
        <w:t xml:space="preserve"> above)</w:t>
      </w:r>
    </w:p>
    <w:p w14:paraId="39BDE0A5" w14:textId="77777777">
      <w:pPr>
        <w:pStyle w:val="Lista3"/>
      </w:pPr>
      <w:r>
        <w:t xml:space="preserve">if an earlier editor does not distinguish initial vowels from dependent ones, or final consonants from those in </w:t>
      </w:r>
      <w:r>
        <w:rPr>
          <w:rStyle w:val="Foreign"/>
        </w:rPr>
        <w:t>akṣara</w:t>
      </w:r>
      <w:r>
        <w:rPr>
          <w:rStyle w:val="Foreign"/>
          <w:i w:val="0"/>
          <w:iCs w:val="0"/>
        </w:rPr>
        <w:t>s</w:t>
      </w:r>
      <w:r>
        <w:t>, you must still consider the readings identical</w:t>
      </w:r>
    </w:p>
    <w:p w14:paraId="445FE193" w14:textId="77777777">
      <w:pPr>
        <w:pStyle w:val="Lista2"/>
      </w:pPr>
      <w:r>
        <w:lastRenderedPageBreak/>
        <w:t>feel free to ignore minor orthographic mistakes that do not affect the meaning and that may well be typographic errors in a previous edition</w:t>
      </w:r>
    </w:p>
    <w:p w14:paraId="2D5D90C1" w14:textId="77777777">
      <w:pPr>
        <w:pStyle w:val="Lista3"/>
      </w:pPr>
      <w:r>
        <w:t>but when there is any doubt as to whether you are dealing with a typo or an erroneous reading, it is better to assume the latter and show it as different from the reading you deem correct</w:t>
      </w:r>
    </w:p>
    <w:p w14:paraId="79871979" w14:textId="77777777">
      <w:pPr>
        <w:pStyle w:val="Lista2"/>
      </w:pPr>
      <w:r>
        <w:t>ignore differences that consist only in the presence or absence of markup for unclear or restored characters</w:t>
      </w:r>
    </w:p>
    <w:p w14:paraId="4EE91D3C" w14:textId="77777777">
      <w:pPr>
        <w:pStyle w:val="Lista3"/>
      </w:pPr>
      <w:r>
        <w:t xml:space="preserve">if one reading is </w:t>
      </w:r>
      <w:r>
        <w:rPr>
          <w:rStyle w:val="Codetext"/>
        </w:rPr>
        <w:t>ya</w:t>
      </w:r>
      <w:r>
        <w:rPr>
          <w:rStyle w:val="Code"/>
        </w:rPr>
        <w:t>&lt;unclear&gt;</w:t>
      </w:r>
      <w:r>
        <w:rPr>
          <w:rStyle w:val="Codetext"/>
        </w:rPr>
        <w:t>thā</w:t>
      </w:r>
      <w:r>
        <w:rPr>
          <w:rStyle w:val="Code"/>
        </w:rPr>
        <w:t>&lt;/unclear&gt;</w:t>
      </w:r>
      <w:r>
        <w:rPr>
          <w:rStyle w:val="Codetext"/>
        </w:rPr>
        <w:t>smābhiḥ</w:t>
      </w:r>
      <w:r>
        <w:t xml:space="preserve"> and another is </w:t>
      </w:r>
      <w:r>
        <w:rPr>
          <w:rStyle w:val="Codetext"/>
        </w:rPr>
        <w:t>yathāsmābhiḥ</w:t>
      </w:r>
      <w:r>
        <w:t xml:space="preserve"> without any markup, then the two readings shall be deemed identical</w:t>
      </w:r>
    </w:p>
    <w:p w14:paraId="60135E63" w14:textId="77777777">
      <w:pPr>
        <w:pStyle w:val="Lista3"/>
      </w:pPr>
      <w:r>
        <w:t xml:space="preserve">if one reading is </w:t>
      </w:r>
      <w:r>
        <w:rPr>
          <w:rStyle w:val="Codetext"/>
        </w:rPr>
        <w:t>yathā</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smābhiḥ</w:t>
      </w:r>
      <w:r>
        <w:rPr>
          <w:rStyle w:val="Code"/>
        </w:rPr>
        <w:t>&lt;/supplied&gt;</w:t>
      </w:r>
      <w:r>
        <w:t xml:space="preserve"> and another is </w:t>
      </w:r>
      <w:r>
        <w:rPr>
          <w:rStyle w:val="Codetext"/>
        </w:rPr>
        <w:t>yathāsmābhiḥ</w:t>
      </w:r>
      <w:r>
        <w:t xml:space="preserve"> without any markup, then the two readings may be deemed identical unless you consider it important to show that part of the text was apparently visible to one editor but lost when the document was studied by another</w:t>
      </w:r>
    </w:p>
    <w:p w14:paraId="6218E2C4" w14:textId="77777777">
      <w:pPr>
        <w:pStyle w:val="Lista2"/>
      </w:pPr>
      <w:r>
        <w:t>ignore the presence or absence of spaces, which are usually not indicated in printed editions</w:t>
      </w:r>
    </w:p>
    <w:p w14:paraId="6FC05B22" w14:textId="77777777">
      <w:pPr>
        <w:pStyle w:val="Lista2"/>
      </w:pPr>
      <w:r>
        <w:t>ignore previous editors’ emendations or normalisations if they do not affect the interpretation of the text</w:t>
      </w:r>
    </w:p>
    <w:p w14:paraId="417510B3" w14:textId="77777777">
      <w:pPr>
        <w:pStyle w:val="Lista3"/>
      </w:pPr>
      <w:r>
        <w:t xml:space="preserve">thus, if you </w:t>
      </w:r>
      <w:r>
        <w:rPr>
          <w:noProof/>
        </w:rPr>
        <w:t>(</w:t>
      </w:r>
      <w:r>
        <w:t>or another editor) have chosen only to flag a phenomenon as erroneous or non-standard, or chosen to ignore one, whereas a previous editor reads the same received text but emends or normalises it, then the readings are still to be deemed as identical</w:t>
      </w:r>
    </w:p>
    <w:p w14:paraId="430E8BDA" w14:textId="77777777">
      <w:pPr>
        <w:pStyle w:val="Lista3"/>
      </w:pPr>
      <w:r>
        <w:t>meaningful or text-critically significant differences in emendation (or lack thereof) must, however, be recorded in the apparatus</w:t>
      </w:r>
    </w:p>
    <w:p w14:paraId="20180875" w14:textId="77777777">
      <w:pPr>
        <w:pStyle w:val="Lista2"/>
      </w:pPr>
      <w:r>
        <w:t>ignore differences in the strategy (or inconsistency) of editorial spacing and hyphenation unless they affect the interpretation of the text</w:t>
      </w:r>
    </w:p>
    <w:p w14:paraId="5509374F" w14:textId="77777777">
      <w:pPr>
        <w:pStyle w:val="Lista3"/>
      </w:pPr>
      <w:r>
        <w:t>thus, if a previous edition hyphenates a suffix, prints a clitic without a space between it and the adjacent word, this is not a reason to recognise their reading as different</w:t>
      </w:r>
    </w:p>
    <w:p w14:paraId="5D9BC47D" w14:textId="77777777">
      <w:pPr>
        <w:pStyle w:val="Lista3"/>
      </w:pPr>
      <w:r>
        <w:t>meaningful differences (e.g. treating a word as in compound or free-standing) must, however, be recorded in the apparatus</w:t>
      </w:r>
    </w:p>
    <w:p w14:paraId="3BCDD3BD" w14:textId="77777777">
      <w:pPr>
        <w:pStyle w:val="Lista"/>
      </w:pPr>
      <w:r>
        <w:t>in all of the above cases, the recommendation of ignoring minor differences may be overridden for highly problematic spots of text, where you may find it best to faithfully reproduce each previous editor’s reading down to the last detail</w:t>
      </w:r>
    </w:p>
    <w:p w14:paraId="6240DBD0" w14:textId="45411FE9">
      <w:pPr>
        <w:pStyle w:val="Lista"/>
      </w:pPr>
      <w:r>
        <w:t>keep in mind that whenever multiple editions are cited as sources for a lemma, their citations must be listed within a single</w:t>
      </w:r>
      <w:r>
        <w:rPr>
          <w:b/>
          <w:bCs/>
        </w:rPr>
        <w:t xml:space="preserve"> </w:t>
      </w:r>
      <w:r>
        <w:rPr>
          <w:rStyle w:val="Codeattribute"/>
        </w:rPr>
        <w:t>@source</w:t>
      </w:r>
      <w:r>
        <w:t xml:space="preserve"> attribute in chronological order </w:t>
      </w:r>
      <w:r>
        <w:rPr>
          <w:noProof/>
        </w:rPr>
        <w:t>(§</w:t>
      </w:r>
      <w:r>
        <w:rPr>
          <w:noProof/>
        </w:rPr>
        <w:fldChar w:fldCharType="begin"/>
      </w:r>
      <w:r>
        <w:rPr>
          <w:noProof/>
        </w:rPr>
        <w:instrText xml:space="preserve"> REF _Ref44490119 \r \h </w:instrText>
      </w:r>
      <w:r>
        <w:rPr>
          <w:noProof/>
        </w:rPr>
      </w:r>
      <w:r>
        <w:rPr>
          <w:noProof/>
        </w:rPr>
        <w:fldChar w:fldCharType="separate"/>
      </w:r>
      <w:r>
        <w:rPr>
          <w:noProof/>
        </w:rPr>
        <w:t>14.6.2</w:t>
      </w:r>
      <w:r>
        <w:rPr>
          <w:noProof/>
        </w:rPr>
        <w:fldChar w:fldCharType="end"/>
      </w:r>
      <w:r>
        <w:t>)</w:t>
      </w:r>
    </w:p>
    <w:p w14:paraId="6D3DB8D0" w14:textId="77777777">
      <w:pPr>
        <w:pStyle w:val="Lista"/>
      </w:pPr>
      <w:r>
        <w:t>when more than one previous editor supports a reading, but the readings of these editors differ from one another in minor details you ignore as per the above guidelines, by preference show the reading as featured in the first of the cited editions</w:t>
      </w:r>
    </w:p>
    <w:p w14:paraId="73E8063C" w14:textId="77777777">
      <w:pPr>
        <w:pStyle w:val="Cmsor2"/>
      </w:pPr>
      <w:bookmarkStart w:id="815" w:name="_qb0qotwuz8be" w:colFirst="0" w:colLast="0"/>
      <w:bookmarkStart w:id="816" w:name="_Ref43989517"/>
      <w:bookmarkStart w:id="817" w:name="_Ref233640654"/>
      <w:bookmarkStart w:id="818" w:name="_Toc243922745"/>
      <w:bookmarkEnd w:id="815"/>
      <w:r>
        <w:t>XML markup within lemmas</w:t>
      </w:r>
      <w:bookmarkEnd w:id="816"/>
      <w:r>
        <w:t xml:space="preserve"> and readings</w:t>
      </w:r>
      <w:bookmarkEnd w:id="817"/>
      <w:bookmarkEnd w:id="818"/>
    </w:p>
    <w:p w14:paraId="2744239C" w14:textId="77777777">
      <w:r>
        <w:t>When creating lemmas by copying and pasting text from your edition, you must make sure that encoding pertaining to these text snippets is correctly preserved. For readings cited from printed editions, applicable XML encoding must be created by you on the basis of the text-based markup in the editions.</w:t>
      </w:r>
    </w:p>
    <w:p w14:paraId="7C16DC3A" w14:textId="29FD160B">
      <w:pPr>
        <w:pStyle w:val="Lista"/>
      </w:pPr>
      <w:r>
        <w:t xml:space="preserve">tags of block-level containers for intrinsic structure </w:t>
      </w:r>
      <w:r>
        <w:rPr>
          <w:noProof/>
        </w:rPr>
        <w:t>(§</w:t>
      </w:r>
      <w:r>
        <w:rPr>
          <w:noProof/>
        </w:rPr>
        <w:fldChar w:fldCharType="begin"/>
      </w:r>
      <w:r>
        <w:rPr>
          <w:noProof/>
        </w:rPr>
        <w:instrText xml:space="preserve"> REF _Ref225500627 \r \h </w:instrText>
      </w:r>
      <w:r>
        <w:rPr>
          <w:noProof/>
        </w:rPr>
      </w:r>
      <w:r>
        <w:rPr>
          <w:noProof/>
        </w:rPr>
        <w:fldChar w:fldCharType="separate"/>
      </w:r>
      <w:r>
        <w:rPr>
          <w:noProof/>
        </w:rPr>
        <w:t>3.2</w:t>
      </w:r>
      <w:r>
        <w:rPr>
          <w:noProof/>
        </w:rPr>
        <w:fldChar w:fldCharType="end"/>
      </w:r>
      <w:r>
        <w:t>) must never be included in lemmas or readings</w:t>
      </w:r>
    </w:p>
    <w:p w14:paraId="140BA4FE" w14:textId="77777777">
      <w:pPr>
        <w:pStyle w:val="Lista2"/>
      </w:pPr>
      <w:r>
        <w:t>for a problematic locus extending across a boundary between such containers, preferably create separate lemmas</w:t>
      </w:r>
    </w:p>
    <w:p w14:paraId="1DC56AEF" w14:textId="77777777">
      <w:pPr>
        <w:pStyle w:val="Lista2"/>
      </w:pPr>
      <w:r>
        <w:t xml:space="preserve">if separate lemmas do not seem appropriate, then simply delete from your lemma the </w:t>
      </w:r>
      <w:r>
        <w:rPr>
          <w:noProof/>
        </w:rPr>
        <w:t>(</w:t>
      </w:r>
      <w:r>
        <w:t>start and end) tags belonging to such an element, i.e. cite the text as if the boundary of intrinsic structure were not present</w:t>
      </w:r>
    </w:p>
    <w:p w14:paraId="39A41151" w14:textId="513F4C6A">
      <w:pPr>
        <w:pStyle w:val="Lista"/>
      </w:pPr>
      <w:r>
        <w:t xml:space="preserve">milestone elements for extrinsic structure </w:t>
      </w:r>
      <w:r>
        <w:rPr>
          <w:noProof/>
        </w:rPr>
        <w:t>(§</w:t>
      </w:r>
      <w:r>
        <w:rPr>
          <w:noProof/>
        </w:rPr>
        <w:fldChar w:fldCharType="begin"/>
      </w:r>
      <w:r>
        <w:rPr>
          <w:noProof/>
        </w:rPr>
        <w:instrText xml:space="preserve"> REF _Ref225327729 \r \h </w:instrText>
      </w:r>
      <w:r>
        <w:rPr>
          <w:noProof/>
        </w:rPr>
      </w:r>
      <w:r>
        <w:rPr>
          <w:noProof/>
        </w:rPr>
        <w:fldChar w:fldCharType="separate"/>
      </w:r>
      <w:r>
        <w:rPr>
          <w:noProof/>
        </w:rPr>
        <w:t>4.3</w:t>
      </w:r>
      <w:r>
        <w:rPr>
          <w:noProof/>
        </w:rPr>
        <w:fldChar w:fldCharType="end"/>
      </w:r>
      <w:r>
        <w:rPr>
          <w:noProof/>
        </w:rPr>
        <w:t>; including line and page breaks</w:t>
      </w:r>
      <w:r>
        <w:t>) shall, however, be included in both lemmas and readings</w:t>
      </w:r>
    </w:p>
    <w:p w14:paraId="663916A2" w14:textId="77777777">
      <w:pPr>
        <w:pStyle w:val="Lista2"/>
      </w:pPr>
      <w:r>
        <w:t xml:space="preserve">the purpose of this is primarily to show the fact that such a transition is present </w:t>
      </w:r>
      <w:r>
        <w:rPr>
          <w:noProof/>
        </w:rPr>
        <w:t>(</w:t>
      </w:r>
      <w:r>
        <w:t>or was indicated as present, not necessarily always in the right place, by a previous edition)</w:t>
      </w:r>
    </w:p>
    <w:p w14:paraId="37262642" w14:textId="77777777">
      <w:pPr>
        <w:pStyle w:val="Lista2"/>
      </w:pPr>
      <w:r>
        <w:t>attributes of these elements present in the edition must be retained in the lemma</w:t>
      </w:r>
    </w:p>
    <w:p w14:paraId="4D9690E9" w14:textId="77777777">
      <w:pPr>
        <w:pStyle w:val="Lista2"/>
      </w:pPr>
      <w:r>
        <w:lastRenderedPageBreak/>
        <w:t xml:space="preserve">remember that when a lemma extends across a line boundary, the </w:t>
      </w:r>
      <w:r>
        <w:rPr>
          <w:rStyle w:val="Codeattribute"/>
        </w:rPr>
        <w:t>@loc</w:t>
      </w:r>
      <w:r>
        <w:t xml:space="preserve"> of the apparatus entry must be the number of the line where the lemma begins</w:t>
      </w:r>
    </w:p>
    <w:p w14:paraId="244219CE" w14:textId="7235A085">
      <w:pPr>
        <w:pStyle w:val="Lista"/>
      </w:pPr>
      <w:r>
        <w:t>forme work (§</w:t>
      </w:r>
      <w:r>
        <w:fldChar w:fldCharType="begin"/>
      </w:r>
      <w:r>
        <w:instrText xml:space="preserve"> REF _Ref43984607 \r \h </w:instrText>
      </w:r>
      <w:r>
        <w:fldChar w:fldCharType="separate"/>
      </w:r>
      <w:r>
        <w:t>4.7.2</w:t>
      </w:r>
      <w:r>
        <w:fldChar w:fldCharType="end"/>
      </w:r>
      <w:r>
        <w:t>) must not be included in lemmas</w:t>
      </w:r>
    </w:p>
    <w:p w14:paraId="16E4C18A" w14:textId="77777777">
      <w:pPr>
        <w:pStyle w:val="Lista2"/>
      </w:pPr>
      <w:r>
        <w:t xml:space="preserve">if an </w:t>
      </w:r>
      <w:r>
        <w:rPr>
          <w:rStyle w:val="Code"/>
        </w:rPr>
        <w:t>&lt;fw&gt;</w:t>
      </w:r>
      <w:r>
        <w:t xml:space="preserve"> element is present after a page break that intervenes in your lemma, then delete it (along with its contents) from the contents of the lemma pasted from your edition</w:t>
      </w:r>
    </w:p>
    <w:p w14:paraId="60E18C78" w14:textId="794D3C99">
      <w:pPr>
        <w:pStyle w:val="Lista2"/>
      </w:pPr>
      <w:r>
        <w:t xml:space="preserve">for lemmas </w:t>
      </w:r>
      <w:r>
        <w:rPr>
          <w:i/>
          <w:iCs/>
        </w:rPr>
        <w:t>within</w:t>
      </w:r>
      <w:r>
        <w:t xml:space="preserve"> forme work, see §</w:t>
      </w:r>
      <w:r>
        <w:fldChar w:fldCharType="begin"/>
      </w:r>
      <w:r>
        <w:instrText xml:space="preserve"> REF _Ref43978538 \r \h </w:instrText>
      </w:r>
      <w:r>
        <w:fldChar w:fldCharType="separate"/>
      </w:r>
      <w:r>
        <w:t>10.1.1</w:t>
      </w:r>
      <w:r>
        <w:fldChar w:fldCharType="end"/>
      </w:r>
    </w:p>
    <w:p w14:paraId="47D6C06B" w14:textId="263C0763">
      <w:pPr>
        <w:pStyle w:val="Lista"/>
      </w:pPr>
      <w:r>
        <w:t>philological markup (§</w:t>
      </w:r>
      <w:r>
        <w:fldChar w:fldCharType="begin"/>
      </w:r>
      <w:r>
        <w:instrText xml:space="preserve"> REF _Ref232171176 \r \h </w:instrText>
      </w:r>
      <w:r>
        <w:fldChar w:fldCharType="separate"/>
      </w:r>
      <w:r>
        <w:t>5</w:t>
      </w:r>
      <w:r>
        <w:fldChar w:fldCharType="end"/>
      </w:r>
      <w:r>
        <w:t xml:space="preserve"> to §</w:t>
      </w:r>
      <w:r>
        <w:fldChar w:fldCharType="begin"/>
      </w:r>
      <w:r>
        <w:instrText xml:space="preserve"> REF _Ref43978565 \r \h </w:instrText>
      </w:r>
      <w:r>
        <w:fldChar w:fldCharType="separate"/>
      </w:r>
      <w:r>
        <w:t>7</w:t>
      </w:r>
      <w:r>
        <w:fldChar w:fldCharType="end"/>
      </w:r>
      <w:r>
        <w:t>) must, as a rule, be retained in lemmas as it appears in your edition, and created in readings to represent the intent of the editor cited as far as possible</w:t>
      </w:r>
    </w:p>
    <w:p w14:paraId="14A0A722" w14:textId="77777777">
      <w:pPr>
        <w:pStyle w:val="Lista2"/>
      </w:pPr>
      <w:r>
        <w:t>the start-tag or end-tag of such an element may be outside the range of your locus copied and pasted from your edition, but must be present in the lemma, so take care to</w:t>
      </w:r>
    </w:p>
    <w:p w14:paraId="72388A28" w14:textId="77777777">
      <w:pPr>
        <w:pStyle w:val="Lista3"/>
      </w:pPr>
      <w:r>
        <w:t>add the start-tag for markup commencing before and ending inside your lemma</w:t>
      </w:r>
    </w:p>
    <w:p w14:paraId="7E191351" w14:textId="77777777">
      <w:pPr>
        <w:pStyle w:val="Lista3"/>
      </w:pPr>
      <w:r>
        <w:t>add the end-tag for markup commencing inside your lemma and ending after it</w:t>
      </w:r>
    </w:p>
    <w:p w14:paraId="2307151F" w14:textId="77777777">
      <w:pPr>
        <w:pStyle w:val="Lista3"/>
      </w:pPr>
      <w:r>
        <w:t>add start and end-tags for a lemma snipped from within a longer stretch of phrase-level markup</w:t>
      </w:r>
    </w:p>
    <w:p w14:paraId="61C20221" w14:textId="54A843BE">
      <w:pPr>
        <w:pStyle w:val="Lista"/>
      </w:pPr>
      <w:r>
        <w:t>phrase-level markup that encodes additional information (§</w:t>
      </w:r>
      <w:r>
        <w:fldChar w:fldCharType="begin"/>
      </w:r>
      <w:r>
        <w:instrText xml:space="preserve"> REF _Ref122447347 \r \h </w:instrText>
      </w:r>
      <w:r>
        <w:fldChar w:fldCharType="separate"/>
      </w:r>
      <w:r>
        <w:t>14.2.4</w:t>
      </w:r>
      <w:r>
        <w:fldChar w:fldCharType="end"/>
      </w:r>
      <w:r>
        <w:t xml:space="preserve"> and §</w:t>
      </w:r>
      <w:r>
        <w:fldChar w:fldCharType="begin"/>
      </w:r>
      <w:r>
        <w:instrText xml:space="preserve"> REF _Ref232002354 \r \h </w:instrText>
      </w:r>
      <w:r>
        <w:fldChar w:fldCharType="separate"/>
      </w:r>
      <w:r>
        <w:t>9</w:t>
      </w:r>
      <w:r>
        <w:fldChar w:fldCharType="end"/>
      </w:r>
      <w:r>
        <w:t>) is indifferent for the purposes of the apparatus; thus:</w:t>
      </w:r>
    </w:p>
    <w:p w14:paraId="6AD88AD8" w14:textId="77777777">
      <w:pPr>
        <w:pStyle w:val="Lista2"/>
      </w:pPr>
      <w:r>
        <w:t>it is recommended that you delete any such markup from your lemma in order to reduce code clutter</w:t>
      </w:r>
    </w:p>
    <w:p w14:paraId="10537F07" w14:textId="77777777">
      <w:pPr>
        <w:pStyle w:val="Lista2"/>
      </w:pPr>
      <w:r>
        <w:t>but feel free to leave such markup in a copied and pasted lemma if this is more convenient for you, provided that you pay attention to start-tags and end-tags as above</w:t>
      </w:r>
    </w:p>
    <w:p w14:paraId="6E3CDB13" w14:textId="77777777">
      <w:pPr>
        <w:pStyle w:val="Cmsor2"/>
      </w:pPr>
      <w:bookmarkStart w:id="819" w:name="_1khg88862vrq" w:colFirst="0" w:colLast="0"/>
      <w:bookmarkStart w:id="820" w:name="_Ref43988104"/>
      <w:bookmarkStart w:id="821" w:name="_Toc243922746"/>
      <w:bookmarkEnd w:id="819"/>
      <w:r>
        <w:t>Freeform apparatus notes</w:t>
      </w:r>
      <w:bookmarkEnd w:id="820"/>
      <w:bookmarkEnd w:id="821"/>
    </w:p>
    <w:p w14:paraId="2FAD5633" w14:textId="77777777">
      <w:pPr>
        <w:pStyle w:val="Lista"/>
      </w:pPr>
      <w:r>
        <w:t xml:space="preserve">if you find the encoding within </w:t>
      </w:r>
      <w:r>
        <w:rPr>
          <w:rStyle w:val="Code"/>
        </w:rPr>
        <w:t>&lt;lem&gt;</w:t>
      </w:r>
      <w:r>
        <w:t xml:space="preserve"> and/or </w:t>
      </w:r>
      <w:r>
        <w:rPr>
          <w:rStyle w:val="Code"/>
        </w:rPr>
        <w:t>&lt;rdg&gt;</w:t>
      </w:r>
      <w:r>
        <w:t xml:space="preserve"> insufficient for recording certain details about your base reading or a cited alternative, add a </w:t>
      </w:r>
      <w:r>
        <w:rPr>
          <w:rStyle w:val="Code"/>
        </w:rPr>
        <w:t>&lt;note&gt;</w:t>
      </w:r>
      <w:r>
        <w:t xml:space="preserve"> element as the last child element of the relevant </w:t>
      </w:r>
      <w:r>
        <w:rPr>
          <w:rStyle w:val="Code"/>
        </w:rPr>
        <w:t>&lt;app&gt;</w:t>
      </w:r>
      <w:r>
        <w:t xml:space="preserve"> entry</w:t>
      </w:r>
    </w:p>
    <w:p w14:paraId="27D0A464" w14:textId="4AB6AC08">
      <w:pPr>
        <w:pStyle w:val="Lista2"/>
      </w:pPr>
      <w:r>
        <w:t>see §</w:t>
      </w:r>
      <w:r>
        <w:fldChar w:fldCharType="begin"/>
      </w:r>
      <w:r>
        <w:instrText xml:space="preserve"> REF _Ref43989684 \w \h  \* MERGEFORMAT </w:instrText>
      </w:r>
      <w:r>
        <w:fldChar w:fldCharType="separate"/>
      </w:r>
      <w:r>
        <w:t>14.5</w:t>
      </w:r>
      <w:r>
        <w:fldChar w:fldCharType="end"/>
      </w:r>
      <w:r>
        <w:t xml:space="preserve"> for general guidance on notes</w:t>
      </w:r>
    </w:p>
    <w:p w14:paraId="0A3F5D35" w14:textId="77777777">
      <w:pPr>
        <w:pStyle w:val="Lista"/>
      </w:pPr>
      <w:r>
        <w:t>editorial notes concerning a segment of text that cannot be conveniently identified by a line number and lemma should be placed in the commentary, not the apparatus</w:t>
      </w:r>
    </w:p>
    <w:p w14:paraId="3BE77BAB" w14:textId="77777777">
      <w:pPr>
        <w:pStyle w:val="Lista"/>
      </w:pPr>
      <w:r>
        <w:t>if you feel the need to create more than one note to a single apparatus entry, you may do so, but</w:t>
      </w:r>
    </w:p>
    <w:p w14:paraId="3A80188D" w14:textId="77777777">
      <w:pPr>
        <w:pStyle w:val="Lista2"/>
      </w:pPr>
      <w:r>
        <w:t>all notes must be at the end of the apparatus entry</w:t>
      </w:r>
    </w:p>
    <w:p w14:paraId="5F3AB35C" w14:textId="77777777">
      <w:pPr>
        <w:pStyle w:val="Lista2"/>
      </w:pPr>
      <w:r>
        <w:t>a note cannot be nested within another note</w:t>
      </w:r>
    </w:p>
    <w:p w14:paraId="69FFBDF7" w14:textId="77777777">
      <w:pPr>
        <w:pStyle w:val="Cmsor1"/>
      </w:pPr>
      <w:bookmarkStart w:id="822" w:name="_1vsssow7ypzu" w:colFirst="0" w:colLast="0"/>
      <w:bookmarkStart w:id="823" w:name="_pn0gltowrfhw" w:colFirst="0" w:colLast="0"/>
      <w:bookmarkStart w:id="824" w:name="_95bkq7g4grjl" w:colFirst="0" w:colLast="0"/>
      <w:bookmarkStart w:id="825" w:name="_Ref43978780"/>
      <w:bookmarkStart w:id="826" w:name="_Toc243922747"/>
      <w:bookmarkEnd w:id="822"/>
      <w:bookmarkEnd w:id="823"/>
      <w:bookmarkEnd w:id="824"/>
      <w:r>
        <w:lastRenderedPageBreak/>
        <w:t>The translation</w:t>
      </w:r>
      <w:bookmarkEnd w:id="825"/>
      <w:bookmarkEnd w:id="826"/>
    </w:p>
    <w:p w14:paraId="13279C01" w14:textId="62C4D2E8">
      <w:bookmarkStart w:id="827" w:name="_pvxrutfvtymm" w:colFirst="0" w:colLast="0"/>
      <w:bookmarkEnd w:id="827"/>
      <w:r>
        <w:t>Whenever possible, a translation should be included in your XML document along with your edition. Ideally, texts (re-)edited for DHARMA should be accompanied by a fresh translation; however, previously published translations may be optionally encoded in your file as per §</w:t>
      </w:r>
      <w:r>
        <w:fldChar w:fldCharType="begin"/>
      </w:r>
      <w:r>
        <w:instrText xml:space="preserve"> REF _Ref43990725 \r \h </w:instrText>
      </w:r>
      <w:r>
        <w:fldChar w:fldCharType="separate"/>
      </w:r>
      <w:r>
        <w:t>11.5</w:t>
      </w:r>
      <w:r>
        <w:fldChar w:fldCharType="end"/>
      </w:r>
      <w:r>
        <w:t>. Previous translations may be included in addition to a new translation, when such a translation is of particular interest for some reason (e.g. because of its relevance to the history of the scholarly understanding of the text), or used instead of a new translation, when your edition is not a substantive revision of an earlier edition accompanied by a satisfactory published translation.</w:t>
      </w:r>
    </w:p>
    <w:p w14:paraId="71987BB9" w14:textId="77777777">
      <w:pPr>
        <w:pStyle w:val="Normlbehzs"/>
      </w:pPr>
      <w:r>
        <w:t>A new translation created for DHARMA should be a convenient representation of the intent of the original. Translate as literally as seems useful, but as freely as seems appropriate. Your translation must reflect the text as you have edited it, including restorations and emendations. Feel free to ignore the original’s superficial irregularities/oddities of punctuation and spelling and in particular, normalise the spelling of original personal names, toponyms and terms.</w:t>
      </w:r>
    </w:p>
    <w:p w14:paraId="01CF4C3E" w14:textId="77777777">
      <w:pPr>
        <w:pStyle w:val="Cmsor2"/>
      </w:pPr>
      <w:bookmarkStart w:id="828" w:name="_Ref233722818"/>
      <w:bookmarkStart w:id="829" w:name="_Toc243922748"/>
      <w:r>
        <w:t>Encoding the translation</w:t>
      </w:r>
      <w:bookmarkEnd w:id="828"/>
      <w:bookmarkEnd w:id="829"/>
    </w:p>
    <w:p w14:paraId="08AC8686" w14:textId="77777777">
      <w:pPr>
        <w:pStyle w:val="Lista"/>
      </w:pPr>
      <w:r>
        <w:t xml:space="preserve">the translation must be wrapped in </w:t>
      </w:r>
      <w:r>
        <w:rPr>
          <w:rStyle w:val="Code"/>
        </w:rPr>
        <w:t xml:space="preserve">&lt;div </w:t>
      </w:r>
      <w:r>
        <w:rPr>
          <w:rStyle w:val="Codeattribute"/>
        </w:rPr>
        <w:t>type</w:t>
      </w:r>
      <w:r>
        <w:rPr>
          <w:rStyle w:val="Code"/>
        </w:rPr>
        <w:t>=</w:t>
      </w:r>
      <w:r>
        <w:rPr>
          <w:rStyle w:val="Codevalue"/>
        </w:rPr>
        <w:t>"translation"</w:t>
      </w:r>
      <w:r>
        <w:rPr>
          <w:rStyle w:val="Code"/>
        </w:rPr>
        <w:t>&gt;</w:t>
      </w:r>
      <w:r>
        <w:t>, with the following attributes</w:t>
      </w:r>
    </w:p>
    <w:p w14:paraId="5DB1654C" w14:textId="181C8B26">
      <w:pPr>
        <w:pStyle w:val="Lista2"/>
      </w:pPr>
      <w:r>
        <w:t xml:space="preserve">as applicable, </w:t>
      </w:r>
      <w:r>
        <w:rPr>
          <w:rStyle w:val="Codeattribute"/>
        </w:rPr>
        <w:t>@xml:lang</w:t>
      </w:r>
      <w:r>
        <w:t xml:space="preserve"> (as per §</w:t>
      </w:r>
      <w:r>
        <w:fldChar w:fldCharType="begin"/>
      </w:r>
      <w:r>
        <w:instrText xml:space="preserve"> REF _Ref233727317 \r \h </w:instrText>
      </w:r>
      <w:r>
        <w:fldChar w:fldCharType="separate"/>
      </w:r>
      <w:r>
        <w:t>14.4.1</w:t>
      </w:r>
      <w:r>
        <w:fldChar w:fldCharType="end"/>
      </w:r>
      <w:r>
        <w:t>) to encode the target language of translations into a language other than English</w:t>
      </w:r>
    </w:p>
    <w:p w14:paraId="7988024B" w14:textId="77777777">
      <w:pPr>
        <w:pStyle w:val="Lista3"/>
      </w:pPr>
      <w:r>
        <w:t xml:space="preserve">translations into English do not need and should not carry this attribute, since they by default inherit the English language from the </w:t>
      </w:r>
      <w:r>
        <w:rPr>
          <w:rStyle w:val="Codevalue"/>
        </w:rPr>
        <w:t>&lt;TEI&gt;</w:t>
      </w:r>
      <w:r>
        <w:t xml:space="preserve"> root element</w:t>
      </w:r>
    </w:p>
    <w:p w14:paraId="71CCE52A" w14:textId="64F9EB3A">
      <w:pPr>
        <w:pStyle w:val="Lista2"/>
      </w:pPr>
      <w:r>
        <w:t xml:space="preserve">mandatorily, either </w:t>
      </w:r>
      <w:r>
        <w:rPr>
          <w:rStyle w:val="Codeattribute"/>
        </w:rPr>
        <w:t>@source</w:t>
      </w:r>
      <w:r>
        <w:t xml:space="preserve"> </w:t>
      </w:r>
      <w:r>
        <w:rPr>
          <w:noProof/>
        </w:rPr>
        <w:t xml:space="preserve">or </w:t>
      </w:r>
      <w:r>
        <w:rPr>
          <w:rStyle w:val="Codeattribute"/>
        </w:rPr>
        <w:t>@resp</w:t>
      </w:r>
      <w:r>
        <w:t xml:space="preserve"> to encode the author of the translation as per §</w:t>
      </w:r>
      <w:r>
        <w:fldChar w:fldCharType="begin"/>
      </w:r>
      <w:r>
        <w:instrText xml:space="preserve"> REF _Ref233276652 \r \h </w:instrText>
      </w:r>
      <w:r>
        <w:fldChar w:fldCharType="separate"/>
      </w:r>
      <w:r>
        <w:t>11.1.2</w:t>
      </w:r>
      <w:r>
        <w:fldChar w:fldCharType="end"/>
      </w:r>
    </w:p>
    <w:p w14:paraId="5C806814" w14:textId="77777777">
      <w:pPr>
        <w:pStyle w:val="Lista"/>
      </w:pPr>
      <w:r>
        <w:t>this division follows the edition division and the apparatus division and is already present in our template for editions</w:t>
      </w:r>
    </w:p>
    <w:p w14:paraId="4525AFCA" w14:textId="5A7A222F">
      <w:pPr>
        <w:pStyle w:val="Lista2"/>
      </w:pPr>
      <w:r>
        <w:t>if your edition division includes boxlike partitions (§</w:t>
      </w:r>
      <w:r>
        <w:fldChar w:fldCharType="begin"/>
      </w:r>
      <w:r>
        <w:instrText xml:space="preserve"> REF _Ref225778181 \r \h </w:instrText>
      </w:r>
      <w:r>
        <w:fldChar w:fldCharType="separate"/>
      </w:r>
      <w:r>
        <w:t>4.2</w:t>
      </w:r>
      <w:r>
        <w:fldChar w:fldCharType="end"/>
      </w:r>
      <w:r>
        <w:t xml:space="preserve">), then all corresponding textpart divisions must be replicated within the </w:t>
      </w:r>
      <w:r>
        <w:rPr>
          <w:rStyle w:val="Code"/>
        </w:rPr>
        <w:t xml:space="preserve">&lt;div </w:t>
      </w:r>
      <w:r>
        <w:rPr>
          <w:rStyle w:val="Codeattribute"/>
        </w:rPr>
        <w:t>type</w:t>
      </w:r>
      <w:r>
        <w:rPr>
          <w:rStyle w:val="Code"/>
        </w:rPr>
        <w:t>=</w:t>
      </w:r>
      <w:r>
        <w:rPr>
          <w:rStyle w:val="Codevalue"/>
        </w:rPr>
        <w:t>"translation"</w:t>
      </w:r>
      <w:r>
        <w:rPr>
          <w:rStyle w:val="Code"/>
        </w:rPr>
        <w:t>&gt;</w:t>
      </w:r>
      <w:r>
        <w:t xml:space="preserve"> as described in §</w:t>
      </w:r>
      <w:r>
        <w:fldChar w:fldCharType="begin"/>
      </w:r>
      <w:r>
        <w:instrText xml:space="preserve"> REF _Ref233277694 \r \h </w:instrText>
      </w:r>
      <w:r>
        <w:fldChar w:fldCharType="separate"/>
      </w:r>
      <w:r>
        <w:t>11.1.1</w:t>
      </w:r>
      <w:r>
        <w:fldChar w:fldCharType="end"/>
      </w:r>
    </w:p>
    <w:p w14:paraId="51D5C122" w14:textId="7843488C">
      <w:pPr>
        <w:pStyle w:val="Lista2"/>
      </w:pPr>
      <w:r>
        <w:t>unlike the other content divisions in our files, the translation division may be iterated several times (one after the other) to accommodate multiple translations as per §</w:t>
      </w:r>
      <w:r>
        <w:fldChar w:fldCharType="begin"/>
      </w:r>
      <w:r>
        <w:instrText xml:space="preserve"> REF _Ref233297230 \r \h </w:instrText>
      </w:r>
      <w:r>
        <w:fldChar w:fldCharType="separate"/>
      </w:r>
      <w:r>
        <w:t>11.1.3</w:t>
      </w:r>
      <w:r>
        <w:fldChar w:fldCharType="end"/>
      </w:r>
    </w:p>
    <w:p w14:paraId="105F0CA5" w14:textId="77777777">
      <w:pPr>
        <w:pStyle w:val="Lista"/>
      </w:pPr>
      <w:r>
        <w:t xml:space="preserve">the translation division (or its textpart divisions when applicable) normally contains one or more </w:t>
      </w:r>
      <w:r>
        <w:rPr>
          <w:rStyle w:val="Code"/>
        </w:rPr>
        <w:t>&lt;p&gt;</w:t>
      </w:r>
      <w:r>
        <w:t xml:space="preserve"> elements, which in turn contain the text of the translation</w:t>
      </w:r>
    </w:p>
    <w:p w14:paraId="2974E0DF" w14:textId="6BCE1A18">
      <w:pPr>
        <w:pStyle w:val="Lista2"/>
      </w:pPr>
      <w:r>
        <w:t>see §</w:t>
      </w:r>
      <w:r>
        <w:fldChar w:fldCharType="begin"/>
      </w:r>
      <w:r>
        <w:instrText xml:space="preserve"> REF _Ref233278822 \r \h </w:instrText>
      </w:r>
      <w:r>
        <w:fldChar w:fldCharType="separate"/>
      </w:r>
      <w:r>
        <w:t>11.1.3</w:t>
      </w:r>
      <w:r>
        <w:fldChar w:fldCharType="end"/>
      </w:r>
      <w:r>
        <w:t xml:space="preserve"> for further instructions on structuring the content</w:t>
      </w:r>
    </w:p>
    <w:p w14:paraId="03E39711" w14:textId="77777777">
      <w:pPr>
        <w:pStyle w:val="Cmsor3"/>
      </w:pPr>
      <w:bookmarkStart w:id="830" w:name="_Ref233277694"/>
      <w:bookmarkStart w:id="831" w:name="_Toc243922749"/>
      <w:r>
        <w:t>Textpart divisions in the translation</w:t>
      </w:r>
      <w:bookmarkEnd w:id="830"/>
      <w:bookmarkEnd w:id="831"/>
    </w:p>
    <w:p w14:paraId="4D2728AA" w14:textId="1847EE74">
      <w:pPr>
        <w:pStyle w:val="Lista"/>
      </w:pPr>
      <w:r>
        <w:t xml:space="preserve">if your edition includes boxlike partitions </w:t>
      </w:r>
      <w:r>
        <w:rPr>
          <w:noProof/>
        </w:rPr>
        <w:t>(</w:t>
      </w:r>
      <w:r>
        <w:t>§</w:t>
      </w:r>
      <w:r>
        <w:fldChar w:fldCharType="begin"/>
      </w:r>
      <w:r>
        <w:instrText xml:space="preserve"> REF _Ref225778181 \r \h </w:instrText>
      </w:r>
      <w:r>
        <w:fldChar w:fldCharType="separate"/>
      </w:r>
      <w:r>
        <w:t>4.2</w:t>
      </w:r>
      <w:r>
        <w:fldChar w:fldCharType="end"/>
      </w:r>
      <w:r>
        <w:t>), then all corresponding textpart divisions must be replicated within the translation</w:t>
      </w:r>
    </w:p>
    <w:p w14:paraId="724FD227" w14:textId="77777777">
      <w:pPr>
        <w:pStyle w:val="Lista"/>
      </w:pPr>
      <w:r>
        <w:t xml:space="preserve">inside </w:t>
      </w:r>
      <w:r>
        <w:rPr>
          <w:rStyle w:val="Code"/>
        </w:rPr>
        <w:t xml:space="preserve">&lt;div </w:t>
      </w:r>
      <w:r>
        <w:rPr>
          <w:rStyle w:val="Codeattribute"/>
        </w:rPr>
        <w:t>type</w:t>
      </w:r>
      <w:r>
        <w:rPr>
          <w:rStyle w:val="Code"/>
        </w:rPr>
        <w:t>=</w:t>
      </w:r>
      <w:r>
        <w:rPr>
          <w:rStyle w:val="Codevalue"/>
        </w:rPr>
        <w:t>"translation"</w:t>
      </w:r>
      <w:r>
        <w:rPr>
          <w:rStyle w:val="Code"/>
        </w:rPr>
        <w:t>&gt;</w:t>
      </w:r>
      <w:r>
        <w:t xml:space="preserve">, create as many </w:t>
      </w:r>
      <w:r>
        <w:rPr>
          <w:rStyle w:val="Code"/>
        </w:rPr>
        <w:t xml:space="preserve">&lt;div </w:t>
      </w:r>
      <w:r>
        <w:rPr>
          <w:rStyle w:val="Codeattribute"/>
        </w:rPr>
        <w:t>type</w:t>
      </w:r>
      <w:r>
        <w:rPr>
          <w:rStyle w:val="Code"/>
        </w:rPr>
        <w:t>=</w:t>
      </w:r>
      <w:r>
        <w:rPr>
          <w:rStyle w:val="Codevalue"/>
        </w:rPr>
        <w:t>"textpart"</w:t>
      </w:r>
      <w:r>
        <w:rPr>
          <w:rStyle w:val="Code"/>
        </w:rPr>
        <w:t>&gt;</w:t>
      </w:r>
      <w:r>
        <w:t xml:space="preserve"> elements as there are in the </w:t>
      </w:r>
      <w:r>
        <w:rPr>
          <w:rStyle w:val="Code"/>
        </w:rPr>
        <w:t xml:space="preserve">&lt;div </w:t>
      </w:r>
      <w:r>
        <w:rPr>
          <w:rStyle w:val="Codeattribute"/>
        </w:rPr>
        <w:t>type</w:t>
      </w:r>
      <w:r>
        <w:rPr>
          <w:rStyle w:val="Code"/>
        </w:rPr>
        <w:t>=</w:t>
      </w:r>
      <w:r>
        <w:rPr>
          <w:rStyle w:val="Codevalue"/>
        </w:rPr>
        <w:t>"edition"</w:t>
      </w:r>
      <w:r>
        <w:rPr>
          <w:rStyle w:val="Code"/>
        </w:rPr>
        <w:t>&gt;</w:t>
      </w:r>
    </w:p>
    <w:p w14:paraId="7B3E1E8C" w14:textId="77777777">
      <w:pPr>
        <w:pStyle w:val="Lista2"/>
      </w:pPr>
      <w:r>
        <w:t xml:space="preserve">in the start-tag of these replicated divisions, include the same attributes </w:t>
      </w:r>
      <w:r>
        <w:rPr>
          <w:noProof/>
        </w:rPr>
        <w:t>(</w:t>
      </w:r>
      <w:r>
        <w:rPr>
          <w:rStyle w:val="Codeattribute"/>
        </w:rPr>
        <w:t>@subtype</w:t>
      </w:r>
      <w:r>
        <w:t xml:space="preserve"> and </w:t>
      </w:r>
      <w:r>
        <w:rPr>
          <w:rStyle w:val="Codeattribute"/>
        </w:rPr>
        <w:t>@n</w:t>
      </w:r>
      <w:r>
        <w:t xml:space="preserve"> as applicable) with the same value that they have in the edition division</w:t>
      </w:r>
    </w:p>
    <w:p w14:paraId="1926CEC8" w14:textId="77777777">
      <w:pPr>
        <w:pStyle w:val="Lista2"/>
      </w:pPr>
      <w:r>
        <w:t xml:space="preserve">if your edition’s textpart divisions have </w:t>
      </w:r>
      <w:r>
        <w:rPr>
          <w:rStyle w:val="Code"/>
        </w:rPr>
        <w:t>&lt;head&gt;</w:t>
      </w:r>
      <w:r>
        <w:t xml:space="preserve"> elements, likewise replicate these in the translation, immediately after the start-tag of each textpart division</w:t>
      </w:r>
    </w:p>
    <w:p w14:paraId="00D7941E" w14:textId="77777777">
      <w:pPr>
        <w:pStyle w:val="Lista3"/>
      </w:pPr>
      <w:r>
        <w:t xml:space="preserve">the </w:t>
      </w:r>
      <w:r>
        <w:rPr>
          <w:rStyle w:val="Codeattribute"/>
        </w:rPr>
        <w:t>@xml:lang</w:t>
      </w:r>
      <w:r>
        <w:t xml:space="preserve"> attribute of the </w:t>
      </w:r>
      <w:r>
        <w:rPr>
          <w:rStyle w:val="Code"/>
        </w:rPr>
        <w:t>&lt;head&gt;</w:t>
      </w:r>
      <w:r>
        <w:t xml:space="preserve"> element is not necessary within a translation into English (because division’s children inherit the English language from the translation division), but copy-pasting the head and retaining the attribute does no harm</w:t>
      </w:r>
    </w:p>
    <w:p w14:paraId="695A04FC" w14:textId="77777777">
      <w:pPr>
        <w:pStyle w:val="Lista3"/>
      </w:pPr>
      <w:r>
        <w:t xml:space="preserve">for translations into another language, either add </w:t>
      </w:r>
      <w:r>
        <w:rPr>
          <w:rStyle w:val="Codeattribute"/>
        </w:rPr>
        <w:t>@xml:lang</w:t>
      </w:r>
      <w:r>
        <w:rPr>
          <w:rStyle w:val="Code"/>
        </w:rPr>
        <w:t>=</w:t>
      </w:r>
      <w:r>
        <w:rPr>
          <w:rStyle w:val="Codevalue"/>
        </w:rPr>
        <w:t>"eng"</w:t>
      </w:r>
      <w:r>
        <w:t xml:space="preserve"> to the </w:t>
      </w:r>
      <w:r>
        <w:rPr>
          <w:rStyle w:val="Code"/>
        </w:rPr>
        <w:t>&lt;head&gt;</w:t>
      </w:r>
      <w:r>
        <w:t xml:space="preserve"> elements or translate their contents to the target language</w:t>
      </w:r>
    </w:p>
    <w:p w14:paraId="3D7E1954" w14:textId="77777777">
      <w:pPr>
        <w:pStyle w:val="Lista"/>
      </w:pPr>
      <w:r>
        <w:t xml:space="preserve">if one or more textparts of the source are not translated, then the textpart division </w:t>
      </w:r>
      <w:r>
        <w:rPr>
          <w:noProof/>
        </w:rPr>
        <w:t>(</w:t>
      </w:r>
      <w:r>
        <w:t xml:space="preserve">with attributes) must still be created for these in the translation division, but such textparts shall not contain anything </w:t>
      </w:r>
      <w:r>
        <w:rPr>
          <w:noProof/>
        </w:rPr>
        <w:t>(</w:t>
      </w:r>
      <w:r>
        <w:t xml:space="preserve">except, if applicable, </w:t>
      </w:r>
      <w:r>
        <w:rPr>
          <w:rStyle w:val="Code"/>
        </w:rPr>
        <w:t>&lt;head&gt;</w:t>
      </w:r>
      <w:r>
        <w:t xml:space="preserve">) </w:t>
      </w:r>
    </w:p>
    <w:p w14:paraId="299E9265" w14:textId="77777777">
      <w:pPr>
        <w:pStyle w:val="Cmsor3"/>
      </w:pPr>
      <w:bookmarkStart w:id="832" w:name="_Ref233276652"/>
      <w:bookmarkStart w:id="833" w:name="_Toc243922750"/>
      <w:r>
        <w:lastRenderedPageBreak/>
        <w:t>Crediting the author of the translation</w:t>
      </w:r>
      <w:bookmarkEnd w:id="832"/>
      <w:bookmarkEnd w:id="833"/>
    </w:p>
    <w:p w14:paraId="4362EF3A" w14:textId="77777777">
      <w:pPr>
        <w:pStyle w:val="Lista"/>
        <w:rPr>
          <w:lang w:eastAsia="en-US" w:bidi="ar-SA"/>
        </w:rPr>
      </w:pPr>
      <w:r>
        <w:rPr>
          <w:lang w:eastAsia="en-US" w:bidi="ar-SA"/>
        </w:rPr>
        <w:t>the author of the translation must be indicated in the encoding using one of the following methods</w:t>
      </w:r>
    </w:p>
    <w:p w14:paraId="4580694C" w14:textId="2AB60EAF">
      <w:pPr>
        <w:pStyle w:val="Lista2"/>
      </w:pPr>
      <w:r>
        <w:rPr>
          <w:rStyle w:val="Codeattribute"/>
        </w:rPr>
        <w:t>@resp</w:t>
      </w:r>
      <w:r>
        <w:t xml:space="preserve"> </w:t>
      </w:r>
      <w:r>
        <w:rPr>
          <w:noProof/>
        </w:rPr>
        <w:t>(</w:t>
      </w:r>
      <w:r>
        <w:t>§</w:t>
      </w:r>
      <w:r>
        <w:fldChar w:fldCharType="begin"/>
      </w:r>
      <w:r>
        <w:instrText xml:space="preserve"> REF _Ref43989765 \w \h  \* MERGEFORMAT </w:instrText>
      </w:r>
      <w:r>
        <w:fldChar w:fldCharType="separate"/>
      </w:r>
      <w:r>
        <w:t>14.6.5</w:t>
      </w:r>
      <w:r>
        <w:fldChar w:fldCharType="end"/>
      </w:r>
      <w:r>
        <w:t>) on the translation division, if the translation was at least in part made by you and/or another project member</w:t>
      </w:r>
    </w:p>
    <w:p w14:paraId="6A5471A8" w14:textId="7D695824">
      <w:pPr>
        <w:pStyle w:val="Lista2"/>
      </w:pPr>
      <w:r>
        <w:rPr>
          <w:rStyle w:val="Codeattribute"/>
        </w:rPr>
        <w:t>@source</w:t>
      </w:r>
      <w:r>
        <w:t xml:space="preserve"> </w:t>
      </w:r>
      <w:r>
        <w:rPr>
          <w:noProof/>
        </w:rPr>
        <w:t>(</w:t>
      </w:r>
      <w:r>
        <w:t>§</w:t>
      </w:r>
      <w:r>
        <w:fldChar w:fldCharType="begin"/>
      </w:r>
      <w:r>
        <w:instrText xml:space="preserve"> REF _Ref43989551 \w \h  \* MERGEFORMAT </w:instrText>
      </w:r>
      <w:r>
        <w:fldChar w:fldCharType="separate"/>
      </w:r>
      <w:r>
        <w:t>14.6.2</w:t>
      </w:r>
      <w:r>
        <w:fldChar w:fldCharType="end"/>
      </w:r>
      <w:r>
        <w:t>) on the translation division, if a published translation is adopted verbatim as per §</w:t>
      </w:r>
      <w:r>
        <w:fldChar w:fldCharType="begin"/>
      </w:r>
      <w:r>
        <w:instrText xml:space="preserve"> REF _Ref43990725 \r \h </w:instrText>
      </w:r>
      <w:r>
        <w:fldChar w:fldCharType="separate"/>
      </w:r>
      <w:r>
        <w:t>11.5</w:t>
      </w:r>
      <w:r>
        <w:fldChar w:fldCharType="end"/>
      </w:r>
    </w:p>
    <w:p w14:paraId="44992D32" w14:textId="77777777">
      <w:pPr>
        <w:pStyle w:val="Cmsor4"/>
      </w:pPr>
      <w:bookmarkStart w:id="834" w:name="_Ref242888161"/>
      <w:r>
        <w:t>Credit notes</w:t>
      </w:r>
      <w:bookmarkEnd w:id="834"/>
    </w:p>
    <w:p w14:paraId="4367B7F9" w14:textId="77777777">
      <w:r>
        <w:t xml:space="preserve">When you feel that credit for a translation cannot be allocated correctly or fairly by using </w:t>
      </w:r>
      <w:r>
        <w:rPr>
          <w:rStyle w:val="Codeattribute"/>
        </w:rPr>
        <w:t>@source</w:t>
      </w:r>
      <w:r>
        <w:t xml:space="preserve"> and </w:t>
      </w:r>
      <w:r>
        <w:rPr>
          <w:rStyle w:val="Codeattribute"/>
        </w:rPr>
        <w:t>@resp</w:t>
      </w:r>
      <w:r>
        <w:t xml:space="preserve"> as above, you may clarify the situation by adding a credit note at the beginning of a translation.</w:t>
      </w:r>
    </w:p>
    <w:p w14:paraId="7D099901" w14:textId="77777777">
      <w:pPr>
        <w:pStyle w:val="Lista"/>
      </w:pPr>
      <w:r>
        <w:t xml:space="preserve">create the element </w:t>
      </w:r>
      <w:r>
        <w:rPr>
          <w:rStyle w:val="Code"/>
        </w:rPr>
        <w:t xml:space="preserve">&lt;note </w:t>
      </w:r>
      <w:r>
        <w:rPr>
          <w:rStyle w:val="Codeattribute"/>
        </w:rPr>
        <w:t>type</w:t>
      </w:r>
      <w:r>
        <w:rPr>
          <w:rStyle w:val="Codetext"/>
        </w:rPr>
        <w:t>=</w:t>
      </w:r>
      <w:r>
        <w:rPr>
          <w:rStyle w:val="Codevalue"/>
        </w:rPr>
        <w:t>"credit"</w:t>
      </w:r>
      <w:r>
        <w:rPr>
          <w:rStyle w:val="Code"/>
        </w:rPr>
        <w:t>&gt;</w:t>
      </w:r>
      <w:r>
        <w:t xml:space="preserve"> as the first item within </w:t>
      </w:r>
      <w:r>
        <w:rPr>
          <w:rStyle w:val="Code"/>
        </w:rPr>
        <w:t xml:space="preserve">&lt;div </w:t>
      </w:r>
      <w:r>
        <w:rPr>
          <w:rStyle w:val="Codeattribute"/>
        </w:rPr>
        <w:t>type</w:t>
      </w:r>
      <w:r>
        <w:rPr>
          <w:rStyle w:val="Codetext"/>
        </w:rPr>
        <w:t>=</w:t>
      </w:r>
      <w:r>
        <w:rPr>
          <w:rStyle w:val="Codevalue"/>
        </w:rPr>
        <w:t>"translation"</w:t>
      </w:r>
      <w:r>
        <w:rPr>
          <w:rStyle w:val="Code"/>
        </w:rPr>
        <w:t>&gt;</w:t>
      </w:r>
      <w:r>
        <w:t>, before any textpart divisions, if such are present</w:t>
      </w:r>
    </w:p>
    <w:p w14:paraId="743FBB7D" w14:textId="1169C538">
      <w:pPr>
        <w:pStyle w:val="Lista2"/>
      </w:pPr>
      <w:r>
        <w:t xml:space="preserve">or as the second item, immediately after the custom </w:t>
      </w:r>
      <w:r>
        <w:rPr>
          <w:rStyle w:val="Code"/>
        </w:rPr>
        <w:t>&lt;head&gt;</w:t>
      </w:r>
      <w:r>
        <w:t xml:space="preserve"> if one is used as per §</w:t>
      </w:r>
      <w:r>
        <w:fldChar w:fldCharType="begin"/>
      </w:r>
      <w:r>
        <w:instrText xml:space="preserve"> REF _Ref43989787 \r \h </w:instrText>
      </w:r>
      <w:r>
        <w:fldChar w:fldCharType="separate"/>
      </w:r>
      <w:r>
        <w:t>11.2.3</w:t>
      </w:r>
      <w:r>
        <w:fldChar w:fldCharType="end"/>
      </w:r>
      <w:r>
        <w:t xml:space="preserve"> </w:t>
      </w:r>
    </w:p>
    <w:p w14:paraId="4C089BA0" w14:textId="77777777">
      <w:pPr>
        <w:pStyle w:val="Lista"/>
      </w:pPr>
      <w:r>
        <w:t xml:space="preserve">this </w:t>
      </w:r>
      <w:r>
        <w:rPr>
          <w:rStyle w:val="Codeattribute"/>
        </w:rPr>
        <w:t>@type</w:t>
      </w:r>
      <w:r>
        <w:t xml:space="preserve"> of </w:t>
      </w:r>
      <w:r>
        <w:rPr>
          <w:rStyle w:val="Code"/>
        </w:rPr>
        <w:t>&lt;note&gt;</w:t>
      </w:r>
      <w:r>
        <w:t xml:space="preserve"> will only be used in the translation division, for this particular purpose</w:t>
      </w:r>
    </w:p>
    <w:p w14:paraId="014734A7" w14:textId="77777777">
      <w:pPr>
        <w:pStyle w:val="Lista"/>
      </w:pPr>
      <w:r>
        <w:t>the contents of a credit note shall be free text consisting of one or more complete sentences (with a capital initial and final punctuation), clarifying the authorship of the translation in situations such as</w:t>
      </w:r>
    </w:p>
    <w:p w14:paraId="23BB90E2" w14:textId="77777777">
      <w:pPr>
        <w:pStyle w:val="Lista2"/>
      </w:pPr>
      <w:r>
        <w:t>collaborative translation involving people outside DHARMA</w:t>
      </w:r>
    </w:p>
    <w:p w14:paraId="6DB1FA01" w14:textId="77777777">
      <w:pPr>
        <w:pStyle w:val="Lista2"/>
      </w:pPr>
      <w:r>
        <w:t>the partial revision of a previously published translation by you or other DHARMA members</w:t>
      </w:r>
    </w:p>
    <w:p w14:paraId="5FD0DDC7" w14:textId="52855D66">
      <w:pPr>
        <w:pStyle w:val="Lista3"/>
      </w:pPr>
      <w:r>
        <w:t>the revised previous translation should in this case be properly cited (§</w:t>
      </w:r>
      <w:r>
        <w:fldChar w:fldCharType="begin"/>
      </w:r>
      <w:r>
        <w:instrText xml:space="preserve"> REF _Ref233877601 \r \h </w:instrText>
      </w:r>
      <w:r>
        <w:fldChar w:fldCharType="separate"/>
      </w:r>
      <w:r>
        <w:t>14.6.1</w:t>
      </w:r>
      <w:r>
        <w:fldChar w:fldCharType="end"/>
      </w:r>
      <w:r>
        <w:t>) in the credit note</w:t>
      </w:r>
    </w:p>
    <w:p w14:paraId="6AD9029E" w14:textId="77777777">
      <w:pPr>
        <w:pStyle w:val="Lista3"/>
      </w:pPr>
      <w:r>
        <w:t>note that if you create a new translation that does not differ in any essential contents from an earlier translation, this is still to be considered as your own new translation (and not a revision of the previous one), unless the majority of your translation is in fact verbatim identical to the previous translation</w:t>
      </w:r>
    </w:p>
    <w:p w14:paraId="224653BF" w14:textId="77777777">
      <w:pPr>
        <w:pStyle w:val="Lista2"/>
      </w:pPr>
      <w:r>
        <w:t>the use of an unpublished translation by a person outside DHARMA</w:t>
      </w:r>
    </w:p>
    <w:p w14:paraId="7F079309" w14:textId="77777777">
      <w:pPr>
        <w:pStyle w:val="Lista"/>
      </w:pPr>
      <w:r>
        <w:t xml:space="preserve">when a credit note is present, the translation division shall normally be credited to you, the editor, using </w:t>
      </w:r>
      <w:r>
        <w:rPr>
          <w:rStyle w:val="Codeattribute"/>
        </w:rPr>
        <w:t>@resp</w:t>
      </w:r>
      <w:r>
        <w:t xml:space="preserve">, but depending on the situation, you may instead choose to use </w:t>
      </w:r>
      <w:r>
        <w:rPr>
          <w:rStyle w:val="Codeattribute"/>
        </w:rPr>
        <w:t>@source</w:t>
      </w:r>
      <w:r>
        <w:t xml:space="preserve"> on the translation division, or to use neither of these attributes</w:t>
      </w:r>
    </w:p>
    <w:p w14:paraId="60A0B980" w14:textId="77777777">
      <w:pPr>
        <w:pStyle w:val="Cmsor3"/>
      </w:pPr>
      <w:bookmarkStart w:id="835" w:name="_l9hrq46lm8f5" w:colFirst="0" w:colLast="0"/>
      <w:bookmarkStart w:id="836" w:name="_jki9tbn1nzqo" w:colFirst="0" w:colLast="0"/>
      <w:bookmarkStart w:id="837" w:name="_ikyv2ushnpo2" w:colFirst="0" w:colLast="0"/>
      <w:bookmarkStart w:id="838" w:name="_8oa8esure61" w:colFirst="0" w:colLast="0"/>
      <w:bookmarkStart w:id="839" w:name="_Ref233297230"/>
      <w:bookmarkStart w:id="840" w:name="_Ref233278822"/>
      <w:bookmarkStart w:id="841" w:name="_Toc243922751"/>
      <w:bookmarkEnd w:id="835"/>
      <w:bookmarkEnd w:id="836"/>
      <w:bookmarkEnd w:id="837"/>
      <w:bookmarkEnd w:id="838"/>
      <w:r>
        <w:t>Attaching multiple translations</w:t>
      </w:r>
      <w:bookmarkEnd w:id="839"/>
      <w:bookmarkEnd w:id="841"/>
    </w:p>
    <w:p w14:paraId="10F95FCF" w14:textId="3C4973D7">
      <w:pPr>
        <w:pStyle w:val="Lista"/>
      </w:pPr>
      <w:r>
        <w:t xml:space="preserve">if you wish to include more than one translation (e.g. by different persons or to different languages), simply iterate </w:t>
      </w:r>
      <w:r>
        <w:rPr>
          <w:rStyle w:val="Code"/>
        </w:rPr>
        <w:t xml:space="preserve">&lt;div </w:t>
      </w:r>
      <w:r>
        <w:rPr>
          <w:rStyle w:val="Codeattribute"/>
        </w:rPr>
        <w:t>type</w:t>
      </w:r>
      <w:r>
        <w:rPr>
          <w:rStyle w:val="Code"/>
        </w:rPr>
        <w:t>=</w:t>
      </w:r>
      <w:r>
        <w:rPr>
          <w:rStyle w:val="Codevalue"/>
        </w:rPr>
        <w:t>"translation"</w:t>
      </w:r>
      <w:r>
        <w:rPr>
          <w:rStyle w:val="Code"/>
        </w:rPr>
        <w:t>&gt;</w:t>
      </w:r>
      <w:r>
        <w:t xml:space="preserve"> for each of them as in </w:t>
      </w:r>
      <w:r>
        <w:fldChar w:fldCharType="begin"/>
      </w:r>
      <w:r>
        <w:instrText xml:space="preserve"> REF _Ref233297421 \h </w:instrText>
      </w:r>
      <w:r>
        <w:fldChar w:fldCharType="separate"/>
      </w:r>
      <w:r>
        <w:t xml:space="preserve">Exhibit </w:t>
      </w:r>
      <w:r>
        <w:rPr>
          <w:noProof/>
        </w:rPr>
        <w:t>11.1</w:t>
      </w:r>
      <w:r>
        <w:t>.</w:t>
      </w:r>
      <w:r>
        <w:rPr>
          <w:noProof/>
        </w:rPr>
        <w:t>A</w:t>
      </w:r>
      <w:r>
        <w:fldChar w:fldCharType="end"/>
      </w:r>
    </w:p>
    <w:p w14:paraId="49DD48CA" w14:textId="77777777">
      <w:pPr>
        <w:pStyle w:val="Lista"/>
      </w:pPr>
      <w:r>
        <w:t>there is no requirement to include multiple translations just because they are available</w:t>
      </w:r>
    </w:p>
    <w:p w14:paraId="72CC8392" w14:textId="5023B2B8">
      <w:pPr>
        <w:pStyle w:val="Lista"/>
      </w:pPr>
      <w:r>
        <w:t>when you include more than one translation in your XML document, these should be presented in an order of decreasing usefulness, prioritising those which are more recent, more accurate, and in more widely spoken languages</w:t>
      </w:r>
    </w:p>
    <w:tbl>
      <w:tblPr>
        <w:tblStyle w:val="CodeSampleTable"/>
        <w:tblW w:w="5000" w:type="pct"/>
        <w:tblLook w:val="04A0" w:firstRow="1" w:lastRow="0" w:firstColumn="1" w:lastColumn="0" w:noHBand="0" w:noVBand="1"/>
      </w:tblPr>
      <w:tblGrid>
        <w:gridCol w:w="9628"/>
      </w:tblGrid>
      <w:tr w14:paraId="7D07DB9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AE06177" w14:textId="4306E843">
            <w:pPr>
              <w:pStyle w:val="Kpalrs"/>
            </w:pPr>
            <w:bookmarkStart w:id="842" w:name="_Ref233297421"/>
            <w:r>
              <w:lastRenderedPageBreak/>
              <w:t xml:space="preserve">Exhibit </w:t>
            </w:r>
            <w:fldSimple w:instr=" STYLEREF 2 \s ">
              <w:r>
                <w:rPr>
                  <w:noProof/>
                </w:rPr>
                <w:t>11.1</w:t>
              </w:r>
            </w:fldSimple>
            <w:r>
              <w:t>.</w:t>
            </w:r>
            <w:fldSimple w:instr=" SEQ Exhibit \* ALPHABETIC \s 2 ">
              <w:r>
                <w:rPr>
                  <w:noProof/>
                </w:rPr>
                <w:t>A</w:t>
              </w:r>
            </w:fldSimple>
            <w:bookmarkEnd w:id="842"/>
            <w:r>
              <w:t>: multiple translations</w:t>
            </w:r>
          </w:p>
        </w:tc>
      </w:tr>
      <w:tr w14:paraId="0D09BB16" w14:textId="77777777">
        <w:tc>
          <w:tcPr>
            <w:tcW w:w="5000" w:type="pct"/>
          </w:tcPr>
          <w:p w14:paraId="317FDCAA" w14:textId="77777777">
            <w:pPr>
              <w:pStyle w:val="CodeParagraph"/>
              <w:keepNext/>
              <w:rPr>
                <w:rStyle w:val="Codetext"/>
              </w:rPr>
            </w:pPr>
            <w:r>
              <w:rPr>
                <w:rStyle w:val="Code"/>
              </w:rPr>
              <w:t xml:space="preserve">&lt;div </w:t>
            </w:r>
            <w:r>
              <w:rPr>
                <w:rStyle w:val="Codeattribute"/>
              </w:rPr>
              <w:t>type</w:t>
            </w:r>
            <w:r>
              <w:rPr>
                <w:rStyle w:val="Code"/>
              </w:rPr>
              <w:t>=</w:t>
            </w:r>
            <w:r>
              <w:rPr>
                <w:rStyle w:val="Codevalue"/>
              </w:rPr>
              <w:t>"edition"</w:t>
            </w:r>
            <w:r>
              <w:rPr>
                <w:rStyle w:val="Code"/>
              </w:rPr>
              <w:t xml:space="preserve"> </w:t>
            </w:r>
            <w:r>
              <w:rPr>
                <w:rStyle w:val="Codeattribute"/>
              </w:rPr>
              <w:t>xml:lang</w:t>
            </w:r>
            <w:r>
              <w:rPr>
                <w:rStyle w:val="Code"/>
              </w:rPr>
              <w:t>=</w:t>
            </w:r>
            <w:r>
              <w:rPr>
                <w:rStyle w:val="Codevalue"/>
              </w:rPr>
              <w:t>"ocm-Latn"</w:t>
            </w:r>
            <w:r>
              <w:rPr>
                <w:rStyle w:val="Code"/>
              </w:rPr>
              <w:t>&gt;</w:t>
            </w:r>
            <w:r>
              <w:rPr>
                <w:rStyle w:val="Codetext"/>
              </w:rPr>
              <w:br/>
              <w:t xml:space="preserve">  ...</w:t>
            </w:r>
            <w:r>
              <w:rPr>
                <w:rStyle w:val="Codetext"/>
              </w:rPr>
              <w:br/>
              <w:t xml:space="preserve">  </w:t>
            </w:r>
            <w:r>
              <w:rPr>
                <w:rStyle w:val="Code"/>
              </w:rPr>
              <w:t>&lt;ab&gt;</w:t>
            </w:r>
            <w:r>
              <w:rPr>
                <w:rStyle w:val="Codetext"/>
              </w:rPr>
              <w:t>pu vyā</w:t>
            </w:r>
            <w:r>
              <w:rPr>
                <w:rStyle w:val="Code"/>
              </w:rPr>
              <w:t>&lt;/ab&gt;</w:t>
            </w:r>
            <w:r>
              <w:rPr>
                <w:rStyle w:val="Codetext"/>
              </w:rPr>
              <w:br/>
              <w:t xml:space="preserve">  ...</w:t>
            </w:r>
            <w:r>
              <w:rPr>
                <w:rStyle w:val="Codetext"/>
              </w:rPr>
              <w:br/>
            </w:r>
            <w:r>
              <w:rPr>
                <w:rStyle w:val="Code"/>
              </w:rPr>
              <w:t>&lt;/div&gt;</w:t>
            </w:r>
            <w:r>
              <w:rPr>
                <w:rStyle w:val="Codetext"/>
              </w:rPr>
              <w:br/>
              <w:t>...</w:t>
            </w:r>
            <w:r>
              <w:rPr>
                <w:rStyle w:val="Codetext"/>
              </w:rPr>
              <w:br/>
            </w:r>
            <w:r>
              <w:rPr>
                <w:rStyle w:val="Code"/>
              </w:rPr>
              <w:t xml:space="preserve">&lt;div </w:t>
            </w:r>
            <w:r>
              <w:rPr>
                <w:rStyle w:val="Codeattribute"/>
              </w:rPr>
              <w:t>type</w:t>
            </w:r>
            <w:r>
              <w:rPr>
                <w:rStyle w:val="Code"/>
              </w:rPr>
              <w:t>=</w:t>
            </w:r>
            <w:r>
              <w:rPr>
                <w:rStyle w:val="Codevalue"/>
              </w:rPr>
              <w:t>"translation"</w:t>
            </w:r>
            <w:r>
              <w:rPr>
                <w:rStyle w:val="Code"/>
              </w:rPr>
              <w:t>&gt;</w:t>
            </w:r>
            <w:r>
              <w:rPr>
                <w:rStyle w:val="Codetext"/>
              </w:rPr>
              <w:br/>
              <w:t xml:space="preserve">  ...</w:t>
            </w:r>
          </w:p>
          <w:p w14:paraId="11413137" w14:textId="77777777">
            <w:pPr>
              <w:pStyle w:val="CodeParagraph"/>
              <w:keepNext/>
            </w:pPr>
            <w:r>
              <w:rPr>
                <w:rStyle w:val="Codetext"/>
              </w:rPr>
              <w:t xml:space="preserve">  </w:t>
            </w:r>
            <w:r>
              <w:rPr>
                <w:rStyle w:val="Code"/>
              </w:rPr>
              <w:t>&lt;p&gt;</w:t>
            </w:r>
            <w:r>
              <w:rPr>
                <w:rStyle w:val="Codetext"/>
              </w:rPr>
              <w:t>Her majesty the queen</w:t>
            </w:r>
            <w:r>
              <w:rPr>
                <w:rStyle w:val="Code"/>
              </w:rPr>
              <w:t>&lt;/p&gt;</w:t>
            </w:r>
            <w:r>
              <w:rPr>
                <w:rStyle w:val="Codetext"/>
              </w:rPr>
              <w:br/>
              <w:t xml:space="preserve">  ...</w:t>
            </w:r>
            <w:r>
              <w:rPr>
                <w:rStyle w:val="Codetext"/>
              </w:rPr>
              <w:br/>
            </w:r>
            <w:r>
              <w:rPr>
                <w:rStyle w:val="Code"/>
              </w:rPr>
              <w:t>&lt;/div&gt;</w:t>
            </w:r>
            <w:r>
              <w:rPr>
                <w:rStyle w:val="Codetext"/>
              </w:rPr>
              <w:br/>
            </w:r>
            <w:r>
              <w:rPr>
                <w:rStyle w:val="Code"/>
              </w:rPr>
              <w:t xml:space="preserve">&lt;div </w:t>
            </w:r>
            <w:r>
              <w:rPr>
                <w:rStyle w:val="Codeattribute"/>
              </w:rPr>
              <w:t>type</w:t>
            </w:r>
            <w:r>
              <w:rPr>
                <w:rStyle w:val="Code"/>
              </w:rPr>
              <w:t>=</w:t>
            </w:r>
            <w:r>
              <w:rPr>
                <w:rStyle w:val="Codevalue"/>
              </w:rPr>
              <w:t>"translation"</w:t>
            </w:r>
            <w:r>
              <w:rPr>
                <w:rStyle w:val="Code"/>
              </w:rPr>
              <w:t xml:space="preserve"> </w:t>
            </w:r>
            <w:r>
              <w:rPr>
                <w:rStyle w:val="Codeattribute"/>
              </w:rPr>
              <w:t>xml:lang</w:t>
            </w:r>
            <w:r>
              <w:rPr>
                <w:rStyle w:val="Code"/>
              </w:rPr>
              <w:t>=</w:t>
            </w:r>
            <w:r>
              <w:rPr>
                <w:rStyle w:val="Codevalue"/>
              </w:rPr>
              <w:t>"fra"</w:t>
            </w:r>
            <w:r>
              <w:rPr>
                <w:rStyle w:val="Code"/>
              </w:rPr>
              <w:t>&gt;</w:t>
            </w:r>
            <w:r>
              <w:rPr>
                <w:rStyle w:val="Codetext"/>
              </w:rPr>
              <w:br/>
              <w:t xml:space="preserve">  ...</w:t>
            </w:r>
            <w:r>
              <w:rPr>
                <w:rStyle w:val="Codetext"/>
              </w:rPr>
              <w:br/>
              <w:t xml:space="preserve">  </w:t>
            </w:r>
            <w:r>
              <w:rPr>
                <w:rStyle w:val="Code"/>
              </w:rPr>
              <w:t>&lt;p&gt;</w:t>
            </w:r>
            <w:r>
              <w:rPr>
                <w:rStyle w:val="Codetext"/>
              </w:rPr>
              <w:t>Sa majesté la reine</w:t>
            </w:r>
            <w:r>
              <w:rPr>
                <w:rStyle w:val="Code"/>
              </w:rPr>
              <w:t>&lt;/p&gt;</w:t>
            </w:r>
            <w:r>
              <w:rPr>
                <w:rStyle w:val="Codetext"/>
              </w:rPr>
              <w:br/>
              <w:t xml:space="preserve">  ...</w:t>
            </w:r>
            <w:r>
              <w:rPr>
                <w:rStyle w:val="Codetext"/>
              </w:rPr>
              <w:br/>
            </w:r>
            <w:r>
              <w:rPr>
                <w:rStyle w:val="Code"/>
              </w:rPr>
              <w:t>&lt;/div&gt;</w:t>
            </w:r>
          </w:p>
        </w:tc>
      </w:tr>
      <w:tr w14:paraId="4401DAA8" w14:textId="77777777">
        <w:tc>
          <w:tcPr>
            <w:tcW w:w="5000" w:type="pct"/>
          </w:tcPr>
          <w:p w14:paraId="495B05FF" w14:textId="05192B13">
            <w:pPr>
              <w:pStyle w:val="TableNote"/>
              <w:rPr>
                <w:rStyle w:val="Code"/>
              </w:rPr>
            </w:pPr>
            <w:r>
              <w:t>the framework illustrated here must be completed with attributes indicating the author of each translation as per §</w:t>
            </w:r>
            <w:r>
              <w:fldChar w:fldCharType="begin"/>
            </w:r>
            <w:r>
              <w:instrText xml:space="preserve"> REF _Ref233276652 \r \h </w:instrText>
            </w:r>
            <w:r>
              <w:fldChar w:fldCharType="separate"/>
            </w:r>
            <w:r>
              <w:t>11.1.2</w:t>
            </w:r>
            <w:r>
              <w:fldChar w:fldCharType="end"/>
            </w:r>
          </w:p>
        </w:tc>
      </w:tr>
    </w:tbl>
    <w:p w14:paraId="162E42C4" w14:textId="77777777">
      <w:pPr>
        <w:pStyle w:val="Cmsor2"/>
      </w:pPr>
      <w:bookmarkStart w:id="843" w:name="_Toc243922752"/>
      <w:r>
        <w:t>Structuring the translation</w:t>
      </w:r>
      <w:bookmarkEnd w:id="840"/>
      <w:bookmarkEnd w:id="843"/>
    </w:p>
    <w:p w14:paraId="07C4039E" w14:textId="6405058A">
      <w:r>
        <w:t>The overall structure of a translation should, as far as practicable, imitate the intrinsic structure (§</w:t>
      </w:r>
      <w:r>
        <w:fldChar w:fldCharType="begin"/>
      </w:r>
      <w:r>
        <w:instrText xml:space="preserve"> REF _Ref43978632 \r \h </w:instrText>
      </w:r>
      <w:r>
        <w:fldChar w:fldCharType="separate"/>
      </w:r>
      <w:r>
        <w:t>3</w:t>
      </w:r>
      <w:r>
        <w:fldChar w:fldCharType="end"/>
      </w:r>
      <w:r>
        <w:t>) of the original document, as clarified in the following subsections. When the edition contains textpart divisions, these must always be replicated in the translation as per §</w:t>
      </w:r>
      <w:r>
        <w:fldChar w:fldCharType="begin"/>
      </w:r>
      <w:r>
        <w:instrText xml:space="preserve"> REF _Ref233277694 \r \h </w:instrText>
      </w:r>
      <w:r>
        <w:fldChar w:fldCharType="separate"/>
      </w:r>
      <w:r>
        <w:t>11.1.1</w:t>
      </w:r>
      <w:r>
        <w:fldChar w:fldCharType="end"/>
      </w:r>
      <w:r>
        <w:t>.</w:t>
      </w:r>
    </w:p>
    <w:p w14:paraId="05CB7089" w14:textId="77777777">
      <w:pPr>
        <w:pStyle w:val="Cmsor3"/>
      </w:pPr>
      <w:bookmarkStart w:id="844" w:name="_Ref233279561"/>
      <w:bookmarkStart w:id="845" w:name="_Toc243922753"/>
      <w:r>
        <w:t>Reflecting extrinsic structure in the translation</w:t>
      </w:r>
      <w:bookmarkEnd w:id="844"/>
      <w:bookmarkEnd w:id="845"/>
    </w:p>
    <w:p w14:paraId="68A8EAB8" w14:textId="3756C4EE">
      <w:pPr>
        <w:rPr>
          <w:lang w:eastAsia="en-US" w:bidi="ar-SA"/>
        </w:rPr>
      </w:pPr>
      <w:r>
        <w:rPr>
          <w:lang w:eastAsia="en-US" w:bidi="ar-SA"/>
        </w:rPr>
        <w:t>The extrinsic structure (§</w:t>
      </w:r>
      <w:r>
        <w:rPr>
          <w:lang w:eastAsia="en-US" w:bidi="ar-SA"/>
        </w:rPr>
        <w:fldChar w:fldCharType="begin"/>
      </w:r>
      <w:r>
        <w:rPr>
          <w:lang w:eastAsia="en-US" w:bidi="ar-SA"/>
        </w:rPr>
        <w:instrText xml:space="preserve"> REF _Ref225261475 \r \h </w:instrText>
      </w:r>
      <w:r>
        <w:rPr>
          <w:lang w:eastAsia="en-US" w:bidi="ar-SA"/>
        </w:rPr>
      </w:r>
      <w:r>
        <w:rPr>
          <w:lang w:eastAsia="en-US" w:bidi="ar-SA"/>
        </w:rPr>
        <w:fldChar w:fldCharType="separate"/>
      </w:r>
      <w:r>
        <w:rPr>
          <w:lang w:eastAsia="en-US" w:bidi="ar-SA"/>
        </w:rPr>
        <w:t>4</w:t>
      </w:r>
      <w:r>
        <w:rPr>
          <w:lang w:eastAsia="en-US" w:bidi="ar-SA"/>
        </w:rPr>
        <w:fldChar w:fldCharType="end"/>
      </w:r>
      <w:r>
        <w:rPr>
          <w:lang w:eastAsia="en-US" w:bidi="ar-SA"/>
        </w:rPr>
        <w:t xml:space="preserve">) of the original document should generally not be reflected in the translation, except that </w:t>
      </w:r>
      <w:r>
        <w:t>textpart divisions must be replicated as per §</w:t>
      </w:r>
      <w:r>
        <w:fldChar w:fldCharType="begin"/>
      </w:r>
      <w:r>
        <w:instrText xml:space="preserve"> REF _Ref233277694 \r \h </w:instrText>
      </w:r>
      <w:r>
        <w:fldChar w:fldCharType="separate"/>
      </w:r>
      <w:r>
        <w:t>11.1.1</w:t>
      </w:r>
      <w:r>
        <w:fldChar w:fldCharType="end"/>
      </w:r>
      <w:r>
        <w:t xml:space="preserve"> and </w:t>
      </w:r>
      <w:r>
        <w:rPr>
          <w:lang w:eastAsia="en-US" w:bidi="ar-SA"/>
        </w:rPr>
        <w:t>the correspondence of translation passages to source line numbers should generally be encoded as per §</w:t>
      </w:r>
      <w:r>
        <w:rPr>
          <w:lang w:eastAsia="en-US" w:bidi="ar-SA"/>
        </w:rPr>
        <w:fldChar w:fldCharType="begin"/>
      </w:r>
      <w:r>
        <w:rPr>
          <w:lang w:eastAsia="en-US" w:bidi="ar-SA"/>
        </w:rPr>
        <w:instrText xml:space="preserve"> REF _Ref182309743 \r \h </w:instrText>
      </w:r>
      <w:r>
        <w:rPr>
          <w:lang w:eastAsia="en-US" w:bidi="ar-SA"/>
        </w:rPr>
      </w:r>
      <w:r>
        <w:rPr>
          <w:lang w:eastAsia="en-US" w:bidi="ar-SA"/>
        </w:rPr>
        <w:fldChar w:fldCharType="separate"/>
      </w:r>
      <w:r>
        <w:rPr>
          <w:lang w:eastAsia="en-US" w:bidi="ar-SA"/>
        </w:rPr>
        <w:t>11.3</w:t>
      </w:r>
      <w:r>
        <w:rPr>
          <w:lang w:eastAsia="en-US" w:bidi="ar-SA"/>
        </w:rPr>
        <w:fldChar w:fldCharType="end"/>
      </w:r>
      <w:r>
        <w:rPr>
          <w:lang w:eastAsia="en-US" w:bidi="ar-SA"/>
        </w:rPr>
        <w:t>. Should you find it necessary to do so, other transition points in extrinsic structure can be optionally indicated in the translation as follows.</w:t>
      </w:r>
    </w:p>
    <w:p w14:paraId="33418277" w14:textId="6C7A9B46">
      <w:pPr>
        <w:pStyle w:val="Lista"/>
      </w:pPr>
      <w:r>
        <w:t xml:space="preserve">pagelike partitions </w:t>
      </w:r>
      <w:r>
        <w:rPr>
          <w:noProof/>
        </w:rPr>
        <w:t>(</w:t>
      </w:r>
      <w:r>
        <w:t>§</w:t>
      </w:r>
      <w:r>
        <w:fldChar w:fldCharType="begin"/>
      </w:r>
      <w:r>
        <w:instrText xml:space="preserve"> REF _Ref233982406 \r \h </w:instrText>
      </w:r>
      <w:r>
        <w:fldChar w:fldCharType="separate"/>
      </w:r>
      <w:r>
        <w:t>4.4</w:t>
      </w:r>
      <w:r>
        <w:fldChar w:fldCharType="end"/>
      </w:r>
      <w:r>
        <w:t>) may be replicated by using the same milestone element with the same attributes as that used in your edition</w:t>
      </w:r>
    </w:p>
    <w:p w14:paraId="7336DF1A" w14:textId="77777777">
      <w:pPr>
        <w:pStyle w:val="Lista2"/>
      </w:pPr>
      <w:r>
        <w:t xml:space="preserve">if </w:t>
      </w:r>
      <w:r>
        <w:rPr>
          <w:rStyle w:val="Code"/>
        </w:rPr>
        <w:t>&lt;label&gt;</w:t>
      </w:r>
      <w:r>
        <w:t xml:space="preserve"> elements are present in the edition, replicate these along with the milestones</w:t>
      </w:r>
    </w:p>
    <w:p w14:paraId="1B19DA6A" w14:textId="77777777">
      <w:pPr>
        <w:pStyle w:val="Lista3"/>
      </w:pPr>
      <w:r>
        <w:t xml:space="preserve">if the label is in the same language as that of the translation as a whole, then the </w:t>
      </w:r>
      <w:r>
        <w:rPr>
          <w:rStyle w:val="Codeattribute"/>
        </w:rPr>
        <w:t>@xml:lang</w:t>
      </w:r>
      <w:r>
        <w:t xml:space="preserve"> attribute of the </w:t>
      </w:r>
      <w:r>
        <w:rPr>
          <w:rStyle w:val="Code"/>
        </w:rPr>
        <w:t>&lt;label&gt;</w:t>
      </w:r>
      <w:r>
        <w:t xml:space="preserve"> element does not need to be present (but does no harm)</w:t>
      </w:r>
    </w:p>
    <w:p w14:paraId="49DCD2A0" w14:textId="77777777">
      <w:pPr>
        <w:pStyle w:val="Lista3"/>
      </w:pPr>
      <w:r>
        <w:t xml:space="preserve">if the translation is into a different language than the label, then either use </w:t>
      </w:r>
      <w:r>
        <w:rPr>
          <w:rStyle w:val="Codeattribute"/>
        </w:rPr>
        <w:t>@xml:lang</w:t>
      </w:r>
      <w:r>
        <w:t xml:space="preserve"> on the label or translate it</w:t>
      </w:r>
    </w:p>
    <w:p w14:paraId="37890DDB" w14:textId="77777777">
      <w:pPr>
        <w:pStyle w:val="Lista"/>
      </w:pPr>
      <w:r>
        <w:t>never replicate the following details of the source’s extrinsic structure:</w:t>
      </w:r>
    </w:p>
    <w:p w14:paraId="1FE55A36" w14:textId="410E814A">
      <w:pPr>
        <w:pStyle w:val="Lista2"/>
      </w:pPr>
      <w:r>
        <w:t xml:space="preserve">gridlike partitions </w:t>
      </w:r>
      <w:r>
        <w:rPr>
          <w:noProof/>
        </w:rPr>
        <w:t>(</w:t>
      </w:r>
      <w:r>
        <w:t>§</w:t>
      </w:r>
      <w:r>
        <w:fldChar w:fldCharType="begin"/>
      </w:r>
      <w:r>
        <w:instrText xml:space="preserve"> REF _Ref43984651 \w \h  \* MERGEFORMAT </w:instrText>
      </w:r>
      <w:r>
        <w:fldChar w:fldCharType="separate"/>
      </w:r>
      <w:r>
        <w:t>4.6</w:t>
      </w:r>
      <w:r>
        <w:fldChar w:fldCharType="end"/>
      </w:r>
      <w:r>
        <w:t xml:space="preserve">) </w:t>
      </w:r>
    </w:p>
    <w:p w14:paraId="3CC28051" w14:textId="0B798898">
      <w:pPr>
        <w:pStyle w:val="Lista2"/>
      </w:pPr>
      <w:r>
        <w:t>offset opening and closing lines (§</w:t>
      </w:r>
      <w:r>
        <w:fldChar w:fldCharType="begin"/>
      </w:r>
      <w:r>
        <w:instrText xml:space="preserve"> REF _Ref225779703 \r \h </w:instrText>
      </w:r>
      <w:r>
        <w:fldChar w:fldCharType="separate"/>
      </w:r>
      <w:r>
        <w:t>4.7.1</w:t>
      </w:r>
      <w:r>
        <w:fldChar w:fldCharType="end"/>
      </w:r>
      <w:r>
        <w:t>)</w:t>
      </w:r>
    </w:p>
    <w:p w14:paraId="0CC16DD5" w14:textId="70D4E2FF">
      <w:pPr>
        <w:pStyle w:val="Lista2"/>
      </w:pPr>
      <w:r>
        <w:t xml:space="preserve">forme work </w:t>
      </w:r>
      <w:r>
        <w:rPr>
          <w:noProof/>
        </w:rPr>
        <w:t>(</w:t>
      </w:r>
      <w:r>
        <w:t>§</w:t>
      </w:r>
      <w:r>
        <w:fldChar w:fldCharType="begin"/>
      </w:r>
      <w:r>
        <w:instrText xml:space="preserve"> REF _Ref43984607 \w \h  \* MERGEFORMAT </w:instrText>
      </w:r>
      <w:r>
        <w:fldChar w:fldCharType="separate"/>
      </w:r>
      <w:r>
        <w:t>4.7.2</w:t>
      </w:r>
      <w:r>
        <w:fldChar w:fldCharType="end"/>
      </w:r>
      <w:r>
        <w:t>)</w:t>
      </w:r>
    </w:p>
    <w:p w14:paraId="739F4603" w14:textId="728F6AAE">
      <w:pPr>
        <w:pStyle w:val="Lista2"/>
      </w:pPr>
      <w:r>
        <w:t>line beginnings (correspondence to which can be encoded as per §</w:t>
      </w:r>
      <w:r>
        <w:rPr>
          <w:lang w:eastAsia="en-US" w:bidi="ar-SA"/>
        </w:rPr>
        <w:fldChar w:fldCharType="begin"/>
      </w:r>
      <w:r>
        <w:rPr>
          <w:lang w:eastAsia="en-US" w:bidi="ar-SA"/>
        </w:rPr>
        <w:instrText xml:space="preserve"> REF _Ref182309743 \r \h </w:instrText>
      </w:r>
      <w:r>
        <w:rPr>
          <w:lang w:eastAsia="en-US" w:bidi="ar-SA"/>
        </w:rPr>
      </w:r>
      <w:r>
        <w:rPr>
          <w:lang w:eastAsia="en-US" w:bidi="ar-SA"/>
        </w:rPr>
        <w:fldChar w:fldCharType="separate"/>
      </w:r>
      <w:r>
        <w:rPr>
          <w:lang w:eastAsia="en-US" w:bidi="ar-SA"/>
        </w:rPr>
        <w:t>11.3</w:t>
      </w:r>
      <w:r>
        <w:rPr>
          <w:lang w:eastAsia="en-US" w:bidi="ar-SA"/>
        </w:rPr>
        <w:fldChar w:fldCharType="end"/>
      </w:r>
      <w:r>
        <w:rPr>
          <w:lang w:eastAsia="en-US" w:bidi="ar-SA"/>
        </w:rPr>
        <w:t>)</w:t>
      </w:r>
    </w:p>
    <w:p w14:paraId="404DE5CA" w14:textId="77777777">
      <w:pPr>
        <w:pStyle w:val="Cmsor3"/>
      </w:pPr>
      <w:bookmarkStart w:id="846" w:name="_Ref233792737"/>
      <w:bookmarkStart w:id="847" w:name="_Toc243922754"/>
      <w:r>
        <w:t>Reflecting intrinsic structure in the translation</w:t>
      </w:r>
      <w:bookmarkEnd w:id="846"/>
      <w:bookmarkEnd w:id="847"/>
    </w:p>
    <w:p w14:paraId="0775443D" w14:textId="77777777">
      <w:pPr>
        <w:rPr>
          <w:lang w:eastAsia="en-US" w:bidi="ar-SA"/>
        </w:rPr>
      </w:pPr>
      <w:r>
        <w:rPr>
          <w:lang w:eastAsia="en-US" w:bidi="ar-SA"/>
        </w:rPr>
        <w:t>The translation should be structured by block-level containers in a manner resembling the intrinsic structure of the source as far as feasible.</w:t>
      </w:r>
    </w:p>
    <w:p w14:paraId="38C78112" w14:textId="77777777">
      <w:pPr>
        <w:pStyle w:val="Lista"/>
      </w:pPr>
      <w:r>
        <w:t>the basic block-level container for translated text is the paragraph (</w:t>
      </w:r>
      <w:r>
        <w:rPr>
          <w:rStyle w:val="Code"/>
        </w:rPr>
        <w:t>&lt;p&gt;</w:t>
      </w:r>
      <w:r>
        <w:t xml:space="preserve"> element) </w:t>
      </w:r>
    </w:p>
    <w:p w14:paraId="58AF701F" w14:textId="77777777">
      <w:pPr>
        <w:pStyle w:val="Lista2"/>
      </w:pPr>
      <w:r>
        <w:t xml:space="preserve">other block-level containers in the edition (viz. </w:t>
      </w:r>
      <w:r>
        <w:rPr>
          <w:rStyle w:val="Code"/>
        </w:rPr>
        <w:t>&lt;ab&gt;</w:t>
      </w:r>
      <w:r>
        <w:t xml:space="preserve"> and </w:t>
      </w:r>
      <w:r>
        <w:rPr>
          <w:rStyle w:val="Code"/>
        </w:rPr>
        <w:t>&lt;lg&gt;</w:t>
      </w:r>
      <w:r>
        <w:t xml:space="preserve">) shall be rendered as </w:t>
      </w:r>
      <w:r>
        <w:rPr>
          <w:rStyle w:val="Code"/>
        </w:rPr>
        <w:t>&lt;p&gt;</w:t>
      </w:r>
      <w:r>
        <w:t xml:space="preserve"> elements in the translation</w:t>
      </w:r>
    </w:p>
    <w:p w14:paraId="5D6D3445" w14:textId="77777777">
      <w:pPr>
        <w:pStyle w:val="Lista2"/>
      </w:pPr>
      <w:r>
        <w:t xml:space="preserve">for paragraphs translating verse, add the attribute </w:t>
      </w:r>
      <w:r>
        <w:rPr>
          <w:rStyle w:val="Codeattribute"/>
        </w:rPr>
        <w:t>@rend</w:t>
      </w:r>
      <w:r>
        <w:t xml:space="preserve"> with the value </w:t>
      </w:r>
      <w:r>
        <w:rPr>
          <w:rStyle w:val="Codevalue"/>
        </w:rPr>
        <w:t>"stanza"</w:t>
      </w:r>
      <w:r>
        <w:t xml:space="preserve"> to the </w:t>
      </w:r>
      <w:r>
        <w:rPr>
          <w:rStyle w:val="Code"/>
        </w:rPr>
        <w:t>&lt;p&gt;</w:t>
      </w:r>
      <w:r>
        <w:t xml:space="preserve"> element</w:t>
      </w:r>
    </w:p>
    <w:p w14:paraId="417B2132" w14:textId="77777777">
      <w:pPr>
        <w:pStyle w:val="Lista"/>
      </w:pPr>
      <w:r>
        <w:t xml:space="preserve">normally, each and every block-level container of the edition (i.e. </w:t>
      </w:r>
      <w:r>
        <w:rPr>
          <w:rStyle w:val="Code"/>
        </w:rPr>
        <w:t>&lt;p&gt;</w:t>
      </w:r>
      <w:r>
        <w:t xml:space="preserve">, </w:t>
      </w:r>
      <w:r>
        <w:rPr>
          <w:rStyle w:val="Code"/>
        </w:rPr>
        <w:t>&lt;ab&gt;</w:t>
      </w:r>
      <w:r>
        <w:t xml:space="preserve"> and </w:t>
      </w:r>
      <w:r>
        <w:rPr>
          <w:rStyle w:val="Code"/>
        </w:rPr>
        <w:t>&lt;lg&gt;</w:t>
      </w:r>
      <w:r>
        <w:t xml:space="preserve">) should have exactly one corresponding </w:t>
      </w:r>
      <w:r>
        <w:rPr>
          <w:rStyle w:val="Code"/>
        </w:rPr>
        <w:t>&lt;p&gt;</w:t>
      </w:r>
      <w:r>
        <w:t xml:space="preserve"> element in the translation</w:t>
      </w:r>
    </w:p>
    <w:p w14:paraId="2BB544BF" w14:textId="77777777">
      <w:pPr>
        <w:pStyle w:val="Lista2"/>
      </w:pPr>
      <w:r>
        <w:lastRenderedPageBreak/>
        <w:t>however, feel free to use more or fewer containers at your discretion</w:t>
      </w:r>
    </w:p>
    <w:p w14:paraId="641B1519" w14:textId="77777777">
      <w:pPr>
        <w:pStyle w:val="Lista2"/>
      </w:pPr>
      <w:r>
        <w:t>should the intelligibility of the translation demand it, feel free to translate items in a different order than that in which they appear in the original</w:t>
      </w:r>
    </w:p>
    <w:p w14:paraId="7E054562" w14:textId="77777777">
      <w:pPr>
        <w:pStyle w:val="Lista"/>
      </w:pPr>
      <w:r>
        <w:t>finer structural divisions may be encoded in the translation as follows</w:t>
      </w:r>
    </w:p>
    <w:p w14:paraId="2B43B09F" w14:textId="2E1F7F4A">
      <w:pPr>
        <w:pStyle w:val="Lista2"/>
      </w:pPr>
      <w:r>
        <w:t xml:space="preserve">if you translate verse line by line, optionally wrap each translated line in an </w:t>
      </w:r>
      <w:r>
        <w:rPr>
          <w:rStyle w:val="Code"/>
        </w:rPr>
        <w:t>&lt;l&gt;</w:t>
      </w:r>
      <w:r>
        <w:t xml:space="preserve"> element within the </w:t>
      </w:r>
      <w:r>
        <w:rPr>
          <w:rStyle w:val="Code"/>
        </w:rPr>
        <w:t>&lt;p&gt;</w:t>
      </w:r>
      <w:r>
        <w:t xml:space="preserve"> element corresponding to a stanza as per §</w:t>
      </w:r>
      <w:r>
        <w:fldChar w:fldCharType="begin"/>
      </w:r>
      <w:r>
        <w:instrText xml:space="preserve"> REF _Ref233988137 \r \h </w:instrText>
      </w:r>
      <w:r>
        <w:fldChar w:fldCharType="separate"/>
      </w:r>
      <w:r>
        <w:t>14.3.2.2</w:t>
      </w:r>
      <w:r>
        <w:fldChar w:fldCharType="end"/>
      </w:r>
      <w:r>
        <w:t xml:space="preserve"> </w:t>
      </w:r>
    </w:p>
    <w:p w14:paraId="5EDB8C84" w14:textId="18A6F5D2">
      <w:pPr>
        <w:pStyle w:val="Lista2"/>
      </w:pPr>
      <w:r>
        <w:t xml:space="preserve">if a paragraph of the original text is, or contains, a list (such as a list of donees or boundaries), optionally use a </w:t>
      </w:r>
      <w:r>
        <w:rPr>
          <w:rStyle w:val="Code"/>
        </w:rPr>
        <w:t>&lt;list&gt;</w:t>
      </w:r>
      <w:r>
        <w:t xml:space="preserve"> element with </w:t>
      </w:r>
      <w:r>
        <w:rPr>
          <w:rStyle w:val="Code"/>
        </w:rPr>
        <w:t>&lt;item&gt;</w:t>
      </w:r>
      <w:r>
        <w:t xml:space="preserve">s within the corresponding </w:t>
      </w:r>
      <w:r>
        <w:rPr>
          <w:rStyle w:val="Code"/>
        </w:rPr>
        <w:t>&lt;p&gt;</w:t>
      </w:r>
      <w:r>
        <w:t xml:space="preserve"> element of your translation as described in §</w:t>
      </w:r>
      <w:r>
        <w:fldChar w:fldCharType="begin"/>
      </w:r>
      <w:r>
        <w:instrText xml:space="preserve"> REF _Ref56419954 \r \h </w:instrText>
      </w:r>
      <w:r>
        <w:fldChar w:fldCharType="separate"/>
      </w:r>
      <w:r>
        <w:t>14.2.4</w:t>
      </w:r>
      <w:r>
        <w:fldChar w:fldCharType="end"/>
      </w:r>
    </w:p>
    <w:p w14:paraId="27AA8C1B" w14:textId="77777777">
      <w:pPr>
        <w:pStyle w:val="Lista3"/>
      </w:pPr>
      <w:r>
        <w:t>you may encode a list in the translation even if a corresponding list is not encoded in the edition and you may choose to translate a list encoded in the edition with running prose</w:t>
      </w:r>
    </w:p>
    <w:p w14:paraId="54CDADB7" w14:textId="77777777">
      <w:pPr>
        <w:pStyle w:val="Cmsor3"/>
      </w:pPr>
      <w:bookmarkStart w:id="848" w:name="_tofxidp3cso" w:colFirst="0" w:colLast="0"/>
      <w:bookmarkStart w:id="849" w:name="_Ref43989787"/>
      <w:bookmarkStart w:id="850" w:name="_Ref151372539"/>
      <w:bookmarkStart w:id="851" w:name="_Ref43990179"/>
      <w:bookmarkStart w:id="852" w:name="_Toc243922755"/>
      <w:bookmarkEnd w:id="848"/>
      <w:r>
        <w:t>Headings in translation</w:t>
      </w:r>
      <w:bookmarkEnd w:id="849"/>
      <w:r>
        <w:t>s</w:t>
      </w:r>
      <w:bookmarkEnd w:id="850"/>
      <w:bookmarkEnd w:id="852"/>
    </w:p>
    <w:p w14:paraId="718E3160" w14:textId="77777777">
      <w:pPr>
        <w:pStyle w:val="Lista"/>
      </w:pPr>
      <w:r>
        <w:t xml:space="preserve">headings for translations as a whole will be generated automatically on the basis of the </w:t>
      </w:r>
      <w:r>
        <w:rPr>
          <w:rStyle w:val="Codeattribute"/>
        </w:rPr>
        <w:t>@xml:lang</w:t>
      </w:r>
      <w:r>
        <w:t xml:space="preserve"> and </w:t>
      </w:r>
      <w:r>
        <w:rPr>
          <w:rStyle w:val="Codeattribute"/>
        </w:rPr>
        <w:t>@source</w:t>
      </w:r>
      <w:r>
        <w:t xml:space="preserve"> or </w:t>
      </w:r>
      <w:r>
        <w:rPr>
          <w:rStyle w:val="Codeattribute"/>
        </w:rPr>
        <w:t>@resp</w:t>
      </w:r>
      <w:r>
        <w:t xml:space="preserve"> attributes of the translation division</w:t>
      </w:r>
    </w:p>
    <w:p w14:paraId="77091F4A" w14:textId="77777777">
      <w:pPr>
        <w:pStyle w:val="Lista2"/>
      </w:pPr>
      <w:r>
        <w:t>containing the language of the translation if it is encoded</w:t>
      </w:r>
    </w:p>
    <w:p w14:paraId="34025DFC" w14:textId="713BD09F">
      <w:pPr>
        <w:pStyle w:val="Lista2"/>
      </w:pPr>
      <w:r>
        <w:t>containing the author of the translation unless it is identical to the creator of the edition (§</w:t>
      </w:r>
      <w:r>
        <w:fldChar w:fldCharType="begin"/>
      </w:r>
      <w:r>
        <w:instrText xml:space="preserve"> REF _Ref239687105 \r \h </w:instrText>
      </w:r>
      <w:r>
        <w:fldChar w:fldCharType="separate"/>
      </w:r>
      <w:r>
        <w:t>15.1.2.1</w:t>
      </w:r>
      <w:r>
        <w:fldChar w:fldCharType="end"/>
      </w:r>
      <w:r>
        <w:t>)</w:t>
      </w:r>
    </w:p>
    <w:p w14:paraId="59DC4903" w14:textId="77777777">
      <w:pPr>
        <w:pStyle w:val="Lista"/>
      </w:pPr>
      <w:r>
        <w:t>if this basic header is insufficient, you may optionally create a custom heading for the translation as a hole</w:t>
      </w:r>
    </w:p>
    <w:p w14:paraId="72E9E854" w14:textId="77777777">
      <w:pPr>
        <w:pStyle w:val="Lista2"/>
      </w:pPr>
      <w:r>
        <w:t xml:space="preserve">to do so, include the element </w:t>
      </w:r>
      <w:r>
        <w:rPr>
          <w:rStyle w:val="Code"/>
        </w:rPr>
        <w:t>&lt;head&gt;</w:t>
      </w:r>
      <w:r>
        <w:t xml:space="preserve"> as the first item within </w:t>
      </w:r>
      <w:r>
        <w:rPr>
          <w:rStyle w:val="Code"/>
        </w:rPr>
        <w:t xml:space="preserve">&lt;div </w:t>
      </w:r>
      <w:r>
        <w:rPr>
          <w:rStyle w:val="Codeattribute"/>
        </w:rPr>
        <w:t>type</w:t>
      </w:r>
      <w:r>
        <w:rPr>
          <w:rStyle w:val="Code"/>
        </w:rPr>
        <w:t>=</w:t>
      </w:r>
      <w:r>
        <w:rPr>
          <w:rStyle w:val="Codevalue"/>
        </w:rPr>
        <w:t>"translation"</w:t>
      </w:r>
      <w:r>
        <w:rPr>
          <w:rStyle w:val="Code"/>
        </w:rPr>
        <w:t>&gt;</w:t>
      </w:r>
    </w:p>
    <w:p w14:paraId="1282E278" w14:textId="77777777">
      <w:pPr>
        <w:pStyle w:val="Lista3"/>
      </w:pPr>
      <w:r>
        <w:t>containing free text that is to be displayed as a heading above the translation</w:t>
      </w:r>
    </w:p>
    <w:p w14:paraId="4236C420" w14:textId="77777777">
      <w:pPr>
        <w:pStyle w:val="Lista2"/>
      </w:pPr>
      <w:r>
        <w:t>such headings, if present, will replace the auto-generated heading, so it is recommended that you include the word “Translation” and a specification of the target language</w:t>
      </w:r>
    </w:p>
    <w:p w14:paraId="4A0ED1BF" w14:textId="1D64C22C">
      <w:pPr>
        <w:pStyle w:val="Lista"/>
      </w:pPr>
      <w:r>
        <w:t>when textparts (§</w:t>
      </w:r>
      <w:r>
        <w:fldChar w:fldCharType="begin"/>
      </w:r>
      <w:r>
        <w:instrText xml:space="preserve"> REF _Ref233277694 \r \h </w:instrText>
      </w:r>
      <w:r>
        <w:fldChar w:fldCharType="separate"/>
      </w:r>
      <w:r>
        <w:t>11.1.1</w:t>
      </w:r>
      <w:r>
        <w:fldChar w:fldCharType="end"/>
      </w:r>
      <w:r>
        <w:t>) or elements representing extrinsic structure (§</w:t>
      </w:r>
      <w:r>
        <w:fldChar w:fldCharType="begin"/>
      </w:r>
      <w:r>
        <w:instrText xml:space="preserve"> REF _Ref233279561 \r \h </w:instrText>
      </w:r>
      <w:r>
        <w:fldChar w:fldCharType="separate"/>
      </w:r>
      <w:r>
        <w:t>11.2.1</w:t>
      </w:r>
      <w:r>
        <w:fldChar w:fldCharType="end"/>
      </w:r>
      <w:r>
        <w:t xml:space="preserve">) are encoded in the translation, headings will be automatically generated from their attribute values or their </w:t>
      </w:r>
      <w:r>
        <w:rPr>
          <w:rStyle w:val="Code"/>
        </w:rPr>
        <w:t>&lt;head&gt;</w:t>
      </w:r>
      <w:r>
        <w:t xml:space="preserve"> or </w:t>
      </w:r>
      <w:r>
        <w:rPr>
          <w:rStyle w:val="Code"/>
        </w:rPr>
        <w:t>&lt;label&gt;</w:t>
      </w:r>
      <w:r>
        <w:t xml:space="preserve"> elements as in the edition</w:t>
      </w:r>
    </w:p>
    <w:p w14:paraId="35916939" w14:textId="77777777">
      <w:pPr>
        <w:pStyle w:val="Lista"/>
      </w:pPr>
      <w:r>
        <w:t xml:space="preserve">to add secondary headings to segments of a translation that do not correspond to a structural part of the edition, you may use the </w:t>
      </w:r>
      <w:r>
        <w:rPr>
          <w:rStyle w:val="Code"/>
        </w:rPr>
        <w:t>&lt;label&gt;</w:t>
      </w:r>
      <w:r>
        <w:t xml:space="preserve"> element at any arbitrary point between two </w:t>
      </w:r>
      <w:r>
        <w:rPr>
          <w:rStyle w:val="Code"/>
        </w:rPr>
        <w:t>&lt;p&gt;</w:t>
      </w:r>
      <w:r>
        <w:t xml:space="preserve"> elements</w:t>
      </w:r>
    </w:p>
    <w:p w14:paraId="267E8B92" w14:textId="77777777">
      <w:pPr>
        <w:pStyle w:val="Lista2"/>
      </w:pPr>
      <w:r>
        <w:t>these will be displayed as headings</w:t>
      </w:r>
    </w:p>
    <w:p w14:paraId="5FBD2E0A" w14:textId="77777777">
      <w:pPr>
        <w:pStyle w:val="Lista2"/>
      </w:pPr>
      <w:r>
        <w:t xml:space="preserve">the attribute </w:t>
      </w:r>
      <w:r>
        <w:rPr>
          <w:rStyle w:val="Codeattribute"/>
        </w:rPr>
        <w:t>@xml:lang</w:t>
      </w:r>
      <w:r>
        <w:t xml:space="preserve"> should only be added to this </w:t>
      </w:r>
      <w:r>
        <w:rPr>
          <w:rStyle w:val="Code"/>
        </w:rPr>
        <w:t>&lt;label&gt;</w:t>
      </w:r>
      <w:r>
        <w:t xml:space="preserve"> element if the label is in a different language than that of translation as a whole</w:t>
      </w:r>
    </w:p>
    <w:p w14:paraId="779C12D7" w14:textId="77777777">
      <w:pPr>
        <w:pStyle w:val="Cmsor2"/>
      </w:pPr>
      <w:bookmarkStart w:id="853" w:name="_Ref182309743"/>
      <w:bookmarkStart w:id="854" w:name="_Toc243922756"/>
      <w:r>
        <w:t xml:space="preserve">Indicating correspondence to the </w:t>
      </w:r>
      <w:bookmarkEnd w:id="851"/>
      <w:bookmarkEnd w:id="853"/>
      <w:r>
        <w:t>source</w:t>
      </w:r>
      <w:bookmarkEnd w:id="854"/>
    </w:p>
    <w:p w14:paraId="398BC0CF" w14:textId="77777777">
      <w:pPr>
        <w:rPr>
          <w:lang w:eastAsia="en-US" w:bidi="ar-SA"/>
        </w:rPr>
      </w:pPr>
      <w:r>
        <w:rPr>
          <w:lang w:eastAsia="en-US" w:bidi="ar-SA"/>
        </w:rPr>
        <w:t xml:space="preserve">Correspondence of segments of the translation to the source document shall normally be indicated in a loose, human-readable manner using the </w:t>
      </w:r>
      <w:r>
        <w:t xml:space="preserve">attribute </w:t>
      </w:r>
      <w:r>
        <w:rPr>
          <w:rStyle w:val="Codeattribute"/>
        </w:rPr>
        <w:t>@n</w:t>
      </w:r>
      <w:r>
        <w:t xml:space="preserve"> </w:t>
      </w:r>
      <w:r>
        <w:rPr>
          <w:lang w:eastAsia="en-US" w:bidi="ar-SA"/>
        </w:rPr>
        <w:t xml:space="preserve">on the </w:t>
      </w:r>
      <w:r>
        <w:rPr>
          <w:rStyle w:val="Code"/>
        </w:rPr>
        <w:t>&lt;p&gt;</w:t>
      </w:r>
      <w:r>
        <w:t xml:space="preserve"> elements of the translation as follows</w:t>
      </w:r>
      <w:r>
        <w:rPr>
          <w:lang w:eastAsia="en-US" w:bidi="ar-SA"/>
        </w:rPr>
        <w:t>.</w:t>
      </w:r>
    </w:p>
    <w:p w14:paraId="4170A508" w14:textId="77777777">
      <w:pPr>
        <w:pStyle w:val="Lista"/>
      </w:pPr>
      <w:r>
        <w:t>in short texts best translated as a single paragraph of prose, you may choose at your discretion to omit numbering</w:t>
      </w:r>
    </w:p>
    <w:p w14:paraId="197809F6" w14:textId="77777777">
      <w:pPr>
        <w:pStyle w:val="Lista"/>
      </w:pPr>
      <w:r>
        <w:t xml:space="preserve">for </w:t>
      </w:r>
      <w:r>
        <w:rPr>
          <w:rStyle w:val="Code"/>
        </w:rPr>
        <w:t>&lt;p&gt;</w:t>
      </w:r>
      <w:r>
        <w:t xml:space="preserve"> elements translating prose (i.e. corresponding to </w:t>
      </w:r>
      <w:r>
        <w:rPr>
          <w:rStyle w:val="Code"/>
        </w:rPr>
        <w:t>&lt;p&gt;</w:t>
      </w:r>
      <w:r>
        <w:t xml:space="preserve"> or </w:t>
      </w:r>
      <w:r>
        <w:rPr>
          <w:rStyle w:val="Code"/>
        </w:rPr>
        <w:t>&lt;ab&gt;</w:t>
      </w:r>
      <w:r>
        <w:t xml:space="preserve"> elements in the source), the value of </w:t>
      </w:r>
      <w:r>
        <w:rPr>
          <w:rStyle w:val="Codeattribute"/>
        </w:rPr>
        <w:t>@n</w:t>
      </w:r>
      <w:r>
        <w:t xml:space="preserve"> shall indicate line numbers, i.e. reflect the value(s) of </w:t>
      </w:r>
      <w:r>
        <w:rPr>
          <w:rStyle w:val="Codeattribute"/>
        </w:rPr>
        <w:t>@n</w:t>
      </w:r>
      <w:r>
        <w:t xml:space="preserve"> on the </w:t>
      </w:r>
      <w:r>
        <w:rPr>
          <w:rStyle w:val="Code"/>
        </w:rPr>
        <w:t>&lt;lb/&gt;</w:t>
      </w:r>
      <w:r>
        <w:t xml:space="preserve"> element(s) of the corresponding line(s) in the original </w:t>
      </w:r>
    </w:p>
    <w:p w14:paraId="2D22E4FB" w14:textId="77777777">
      <w:pPr>
        <w:pStyle w:val="Lista2"/>
      </w:pPr>
      <w:r>
        <w:t>these numbers will be displayed as inline labels in the translation</w:t>
      </w:r>
    </w:p>
    <w:p w14:paraId="2EB73705" w14:textId="77777777">
      <w:pPr>
        <w:pStyle w:val="Lista"/>
      </w:pPr>
      <w:r>
        <w:t xml:space="preserve">for </w:t>
      </w:r>
      <w:r>
        <w:rPr>
          <w:rStyle w:val="Code"/>
        </w:rPr>
        <w:t>&lt;p&gt;</w:t>
      </w:r>
      <w:r>
        <w:t xml:space="preserve"> elements translating verse (i.e. corresponding to </w:t>
      </w:r>
      <w:r>
        <w:rPr>
          <w:rStyle w:val="Code"/>
        </w:rPr>
        <w:t>&lt;lg&gt;</w:t>
      </w:r>
      <w:r>
        <w:t xml:space="preserve"> elements in the source), the value of </w:t>
      </w:r>
      <w:r>
        <w:rPr>
          <w:rStyle w:val="Codeattribute"/>
        </w:rPr>
        <w:t>@n</w:t>
      </w:r>
      <w:r>
        <w:t xml:space="preserve"> shall indicate stanza numbers, i.e. reflect the value(s) of </w:t>
      </w:r>
      <w:r>
        <w:rPr>
          <w:rStyle w:val="Codeattribute"/>
        </w:rPr>
        <w:t>@n</w:t>
      </w:r>
      <w:r>
        <w:t xml:space="preserve"> on the </w:t>
      </w:r>
      <w:r>
        <w:rPr>
          <w:rStyle w:val="Code"/>
        </w:rPr>
        <w:t>&lt;lg/&gt;</w:t>
      </w:r>
      <w:r>
        <w:t xml:space="preserve"> element(s) of the corresponding stanza(s) in the original</w:t>
      </w:r>
    </w:p>
    <w:p w14:paraId="45C67962" w14:textId="77777777">
      <w:pPr>
        <w:pStyle w:val="Lista2"/>
      </w:pPr>
      <w:r>
        <w:t xml:space="preserve">these numbers, distinguishable to the processing algorithm by the presence of </w:t>
      </w:r>
      <w:r>
        <w:rPr>
          <w:rStyle w:val="Codeattribute"/>
        </w:rPr>
        <w:t>@rend</w:t>
      </w:r>
      <w:r>
        <w:rPr>
          <w:rStyle w:val="Codetext"/>
        </w:rPr>
        <w:t>=</w:t>
      </w:r>
      <w:r>
        <w:rPr>
          <w:rStyle w:val="Codevalue"/>
        </w:rPr>
        <w:t>"stanza"</w:t>
      </w:r>
      <w:r>
        <w:t xml:space="preserve"> on the </w:t>
      </w:r>
      <w:r>
        <w:rPr>
          <w:rStyle w:val="Code"/>
        </w:rPr>
        <w:t>&lt;p&gt;</w:t>
      </w:r>
      <w:r>
        <w:t xml:space="preserve"> elements, will be shown in display as a heading for a numbered stanza</w:t>
      </w:r>
    </w:p>
    <w:p w14:paraId="6A2B71C7" w14:textId="46FB0E1D">
      <w:pPr>
        <w:pStyle w:val="Lista"/>
      </w:pPr>
      <w:r>
        <w:t xml:space="preserve">the acceptable values of </w:t>
      </w:r>
      <w:r>
        <w:rPr>
          <w:rStyle w:val="Codeattribute"/>
        </w:rPr>
        <w:t>@n</w:t>
      </w:r>
      <w:r>
        <w:t xml:space="preserve"> for both of the above are detailed in §</w:t>
      </w:r>
      <w:r>
        <w:fldChar w:fldCharType="begin"/>
      </w:r>
      <w:r>
        <w:instrText xml:space="preserve"> REF _Ref233620814 \r \h </w:instrText>
      </w:r>
      <w:r>
        <w:fldChar w:fldCharType="separate"/>
      </w:r>
      <w:r>
        <w:t>11.3.1</w:t>
      </w:r>
      <w:r>
        <w:fldChar w:fldCharType="end"/>
      </w:r>
      <w:r>
        <w:t xml:space="preserve"> and illustrated in </w:t>
      </w:r>
      <w:r>
        <w:fldChar w:fldCharType="begin"/>
      </w:r>
      <w:r>
        <w:instrText xml:space="preserve"> REF _Ref233282157 \h </w:instrText>
      </w:r>
      <w:r>
        <w:fldChar w:fldCharType="separate"/>
      </w:r>
      <w:r>
        <w:t xml:space="preserve">Exhibit </w:t>
      </w:r>
      <w:r>
        <w:rPr>
          <w:noProof/>
        </w:rPr>
        <w:t>11.3</w:t>
      </w:r>
      <w:r>
        <w:t>.</w:t>
      </w:r>
      <w:r>
        <w:rPr>
          <w:noProof/>
        </w:rPr>
        <w:t>A</w:t>
      </w:r>
      <w:r>
        <w:fldChar w:fldCharType="end"/>
      </w:r>
    </w:p>
    <w:p w14:paraId="1FB8BC95" w14:textId="77777777">
      <w:pPr>
        <w:pStyle w:val="Cmsor3"/>
      </w:pPr>
      <w:bookmarkStart w:id="855" w:name="_Ref233620814"/>
      <w:bookmarkStart w:id="856" w:name="_Toc243922757"/>
      <w:r>
        <w:lastRenderedPageBreak/>
        <w:t>Referring to lines and stanzas of the source</w:t>
      </w:r>
      <w:bookmarkEnd w:id="855"/>
      <w:bookmarkEnd w:id="856"/>
    </w:p>
    <w:p w14:paraId="0D275914" w14:textId="77777777">
      <w:pPr>
        <w:rPr>
          <w:lang w:eastAsia="en-US" w:bidi="ar-SA"/>
        </w:rPr>
      </w:pPr>
      <w:r>
        <w:rPr>
          <w:lang w:eastAsia="en-US" w:bidi="ar-SA"/>
        </w:rPr>
        <w:t xml:space="preserve">When using </w:t>
      </w:r>
      <w:r>
        <w:rPr>
          <w:rStyle w:val="Codeattribute"/>
        </w:rPr>
        <w:t>@n</w:t>
      </w:r>
      <w:r>
        <w:t xml:space="preserve"> </w:t>
      </w:r>
      <w:r>
        <w:rPr>
          <w:lang w:eastAsia="en-US" w:bidi="ar-SA"/>
        </w:rPr>
        <w:t xml:space="preserve">on the </w:t>
      </w:r>
      <w:r>
        <w:rPr>
          <w:rStyle w:val="Code"/>
        </w:rPr>
        <w:t>&lt;p&gt;</w:t>
      </w:r>
      <w:r>
        <w:t xml:space="preserve"> elements of the translation to refer to line or stanza numbers of the source, all of the following variations are permitted.</w:t>
      </w:r>
    </w:p>
    <w:p w14:paraId="3991098A" w14:textId="77777777">
      <w:pPr>
        <w:pStyle w:val="Lista"/>
      </w:pPr>
      <w:r>
        <w:t>single values, for a translation paragraph coterminous with or smaller than an epigraphic line or stanza of the source, e.g.</w:t>
      </w:r>
    </w:p>
    <w:p w14:paraId="0C27D298" w14:textId="77777777">
      <w:pPr>
        <w:pStyle w:val="Lista2"/>
      </w:pPr>
      <w:r>
        <w:rPr>
          <w:rStyle w:val="Code"/>
        </w:rPr>
        <w:t xml:space="preserve">&lt;p </w:t>
      </w:r>
      <w:r>
        <w:rPr>
          <w:rStyle w:val="Codeattribute"/>
        </w:rPr>
        <w:t>n</w:t>
      </w:r>
      <w:r>
        <w:rPr>
          <w:rStyle w:val="Codetext"/>
        </w:rPr>
        <w:t>=</w:t>
      </w:r>
      <w:r>
        <w:rPr>
          <w:rStyle w:val="Codevalue"/>
        </w:rPr>
        <w:t>"1"</w:t>
      </w:r>
      <w:r>
        <w:rPr>
          <w:rStyle w:val="Code"/>
        </w:rPr>
        <w:t>&gt;</w:t>
      </w:r>
      <w:r>
        <w:t xml:space="preserve"> a paragraph translating prose that begins and ends within line 1 (without necessarily taking up all of line 1)</w:t>
      </w:r>
    </w:p>
    <w:p w14:paraId="6EC6D46D" w14:textId="77777777">
      <w:pPr>
        <w:pStyle w:val="Lista2"/>
      </w:pPr>
      <w:r>
        <w:rPr>
          <w:rStyle w:val="Code"/>
        </w:rPr>
        <w:t xml:space="preserve">&lt;p </w:t>
      </w:r>
      <w:r>
        <w:rPr>
          <w:rStyle w:val="Codeattribute"/>
        </w:rPr>
        <w:t>rend</w:t>
      </w:r>
      <w:r>
        <w:rPr>
          <w:rStyle w:val="Codetext"/>
        </w:rPr>
        <w:t>=</w:t>
      </w:r>
      <w:r>
        <w:rPr>
          <w:rStyle w:val="Codevalue"/>
        </w:rPr>
        <w:t>"stanza"</w:t>
      </w:r>
      <w:r>
        <w:rPr>
          <w:rStyle w:val="Code"/>
        </w:rPr>
        <w:t xml:space="preserve"> </w:t>
      </w:r>
      <w:r>
        <w:rPr>
          <w:rStyle w:val="Codeattribute"/>
        </w:rPr>
        <w:t>n</w:t>
      </w:r>
      <w:r>
        <w:rPr>
          <w:rStyle w:val="Codetext"/>
        </w:rPr>
        <w:t>=</w:t>
      </w:r>
      <w:r>
        <w:rPr>
          <w:rStyle w:val="Codevalue"/>
        </w:rPr>
        <w:t>"6"</w:t>
      </w:r>
      <w:r>
        <w:rPr>
          <w:rStyle w:val="Code"/>
        </w:rPr>
        <w:t>&gt;</w:t>
      </w:r>
      <w:r>
        <w:t xml:space="preserve"> a paragraph translating verse that begins and ends within stanza 6 (usually, but not necessarily, taking up all of stanza 6)</w:t>
      </w:r>
    </w:p>
    <w:p w14:paraId="5CD0572D" w14:textId="77777777">
      <w:pPr>
        <w:pStyle w:val="Lista"/>
      </w:pPr>
      <w:r>
        <w:t>a range of values separated by a hyphen, for a translation paragraph corresponding to text that begins in one line or stanza and ends in a different, subsequent line or stanza, e.g.</w:t>
      </w:r>
    </w:p>
    <w:p w14:paraId="3FAD43AC" w14:textId="77777777">
      <w:pPr>
        <w:pStyle w:val="Lista2"/>
      </w:pPr>
      <w:r>
        <w:rPr>
          <w:rStyle w:val="Code"/>
        </w:rPr>
        <w:t xml:space="preserve">&lt;p </w:t>
      </w:r>
      <w:r>
        <w:rPr>
          <w:rStyle w:val="Codeattribute"/>
        </w:rPr>
        <w:t>n</w:t>
      </w:r>
      <w:r>
        <w:rPr>
          <w:rStyle w:val="Codetext"/>
        </w:rPr>
        <w:t>=</w:t>
      </w:r>
      <w:r>
        <w:rPr>
          <w:rStyle w:val="Codevalue"/>
        </w:rPr>
        <w:t>"1-3"</w:t>
      </w:r>
      <w:r>
        <w:rPr>
          <w:rStyle w:val="Code"/>
        </w:rPr>
        <w:t>&gt;</w:t>
      </w:r>
      <w:r>
        <w:t xml:space="preserve"> a paragraph translating prose located in lines 1 to 3 (not necessarily from the beginning of line 1 to the end of line 3)</w:t>
      </w:r>
    </w:p>
    <w:p w14:paraId="7509EDA8" w14:textId="77777777">
      <w:pPr>
        <w:pStyle w:val="Lista2"/>
      </w:pPr>
      <w:r>
        <w:rPr>
          <w:rStyle w:val="Code"/>
        </w:rPr>
        <w:t xml:space="preserve">&lt;p </w:t>
      </w:r>
      <w:r>
        <w:rPr>
          <w:rStyle w:val="Codeattribute"/>
        </w:rPr>
        <w:t>rend</w:t>
      </w:r>
      <w:r>
        <w:rPr>
          <w:rStyle w:val="Codetext"/>
        </w:rPr>
        <w:t>=</w:t>
      </w:r>
      <w:r>
        <w:rPr>
          <w:rStyle w:val="Codevalue"/>
        </w:rPr>
        <w:t>"stanza"</w:t>
      </w:r>
      <w:r>
        <w:rPr>
          <w:rStyle w:val="Code"/>
        </w:rPr>
        <w:t xml:space="preserve"> </w:t>
      </w:r>
      <w:r>
        <w:rPr>
          <w:rStyle w:val="Codeattribute"/>
        </w:rPr>
        <w:t>n</w:t>
      </w:r>
      <w:r>
        <w:rPr>
          <w:rStyle w:val="Codetext"/>
        </w:rPr>
        <w:t>=</w:t>
      </w:r>
      <w:r>
        <w:rPr>
          <w:rStyle w:val="Codevalue"/>
        </w:rPr>
        <w:t>"8-9"</w:t>
      </w:r>
      <w:r>
        <w:rPr>
          <w:rStyle w:val="Code"/>
        </w:rPr>
        <w:t>&gt;</w:t>
      </w:r>
      <w:r>
        <w:t xml:space="preserve"> a single paragraph translating verse that begins in stanza 8 and ends in stanza 9 (usually, but not necessarily, corresponding to the full text of both stanzas)</w:t>
      </w:r>
    </w:p>
    <w:p w14:paraId="18EF2D83" w14:textId="77777777">
      <w:pPr>
        <w:pStyle w:val="Lista"/>
      </w:pPr>
      <w:r>
        <w:t>a set of values delimited by commas and spaces, for a translation paragraph corresponding to text found in two or more non-contiguous lines or stanzas of the source, e.g.</w:t>
      </w:r>
    </w:p>
    <w:p w14:paraId="2AB1A839" w14:textId="77777777">
      <w:pPr>
        <w:pStyle w:val="Lista2"/>
      </w:pPr>
      <w:r>
        <w:rPr>
          <w:rStyle w:val="Code"/>
        </w:rPr>
        <w:t xml:space="preserve">&lt;p </w:t>
      </w:r>
      <w:r>
        <w:rPr>
          <w:rStyle w:val="Codeattribute"/>
        </w:rPr>
        <w:t>n</w:t>
      </w:r>
      <w:r>
        <w:rPr>
          <w:rStyle w:val="Codetext"/>
        </w:rPr>
        <w:t>=</w:t>
      </w:r>
      <w:r>
        <w:rPr>
          <w:rStyle w:val="Codevalue"/>
        </w:rPr>
        <w:t>"1, 3"</w:t>
      </w:r>
      <w:r>
        <w:rPr>
          <w:rStyle w:val="Code"/>
        </w:rPr>
        <w:t>&gt;</w:t>
      </w:r>
      <w:r>
        <w:t xml:space="preserve"> a paragraph translating prose from lines 1 and 3 </w:t>
      </w:r>
      <w:r>
        <w:rPr>
          <w:noProof/>
        </w:rPr>
        <w:t>(</w:t>
      </w:r>
      <w:r>
        <w:t>but not 2)</w:t>
      </w:r>
    </w:p>
    <w:p w14:paraId="7C8F5DEF" w14:textId="77777777">
      <w:pPr>
        <w:pStyle w:val="Lista2"/>
      </w:pPr>
      <w:r>
        <w:rPr>
          <w:rStyle w:val="Code"/>
        </w:rPr>
        <w:t xml:space="preserve">&lt;p </w:t>
      </w:r>
      <w:r>
        <w:rPr>
          <w:rStyle w:val="Codeattribute"/>
        </w:rPr>
        <w:t>rend</w:t>
      </w:r>
      <w:r>
        <w:rPr>
          <w:rStyle w:val="Codetext"/>
        </w:rPr>
        <w:t>=</w:t>
      </w:r>
      <w:r>
        <w:rPr>
          <w:rStyle w:val="Codevalue"/>
        </w:rPr>
        <w:t>"stanza"</w:t>
      </w:r>
      <w:r>
        <w:rPr>
          <w:rStyle w:val="Code"/>
        </w:rPr>
        <w:t xml:space="preserve"> </w:t>
      </w:r>
      <w:r>
        <w:rPr>
          <w:rStyle w:val="Codeattribute"/>
        </w:rPr>
        <w:t>n</w:t>
      </w:r>
      <w:r>
        <w:rPr>
          <w:rStyle w:val="Codetext"/>
        </w:rPr>
        <w:t>=</w:t>
      </w:r>
      <w:r>
        <w:rPr>
          <w:rStyle w:val="Codevalue"/>
        </w:rPr>
        <w:t>"8, 10"</w:t>
      </w:r>
      <w:r>
        <w:rPr>
          <w:rStyle w:val="Code"/>
        </w:rPr>
        <w:t>&gt;</w:t>
      </w:r>
      <w:r>
        <w:t xml:space="preserve"> a paragraph translating </w:t>
      </w:r>
      <w:r>
        <w:rPr>
          <w:noProof/>
        </w:rPr>
        <w:t>(</w:t>
      </w:r>
      <w:r>
        <w:t>parts of) stanzas 8 and 10 together</w:t>
      </w:r>
    </w:p>
    <w:p w14:paraId="231381C0" w14:textId="77777777">
      <w:pPr>
        <w:pStyle w:val="Lista"/>
      </w:pPr>
      <w:r>
        <w:t>all of these references are for human readers and are not meant to be machine-actionable, therefore</w:t>
      </w:r>
    </w:p>
    <w:p w14:paraId="3E657A31" w14:textId="77777777">
      <w:pPr>
        <w:pStyle w:val="Lista2"/>
      </w:pPr>
      <w:r>
        <w:t>feel free to refer to larger ranges of lines or to several stanzas for passages best translated in larger chunks</w:t>
      </w:r>
    </w:p>
    <w:p w14:paraId="5F5A9DEE" w14:textId="7E3018B3">
      <w:pPr>
        <w:pStyle w:val="Lista2"/>
      </w:pPr>
      <w:r>
        <w:t>feel free to refer to the same line or stanza number in several translation elements, each of which includes parts of a single line or stanza of the original</w:t>
      </w:r>
    </w:p>
    <w:tbl>
      <w:tblPr>
        <w:tblStyle w:val="CodeSampleTable"/>
        <w:tblW w:w="5000" w:type="pct"/>
        <w:tblLook w:val="04A0" w:firstRow="1" w:lastRow="0" w:firstColumn="1" w:lastColumn="0" w:noHBand="0" w:noVBand="1"/>
      </w:tblPr>
      <w:tblGrid>
        <w:gridCol w:w="9628"/>
      </w:tblGrid>
      <w:tr w14:paraId="1894DB2C"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2699C10" w14:textId="58399111">
            <w:pPr>
              <w:pStyle w:val="Kpalrs"/>
            </w:pPr>
            <w:bookmarkStart w:id="857" w:name="_Ref233282157"/>
            <w:bookmarkStart w:id="858" w:name="_Ref233282153"/>
            <w:r>
              <w:t xml:space="preserve">Exhibit </w:t>
            </w:r>
            <w:fldSimple w:instr=" STYLEREF 2 \s ">
              <w:r>
                <w:rPr>
                  <w:noProof/>
                </w:rPr>
                <w:t>11.3</w:t>
              </w:r>
            </w:fldSimple>
            <w:r>
              <w:t>.</w:t>
            </w:r>
            <w:fldSimple w:instr=" SEQ Exhibit \* ALPHABETIC \s 2 ">
              <w:r>
                <w:rPr>
                  <w:noProof/>
                </w:rPr>
                <w:t>A</w:t>
              </w:r>
            </w:fldSimple>
            <w:bookmarkEnd w:id="857"/>
            <w:r>
              <w:t>: numbering in translation to indicate correspondence to the original</w:t>
            </w:r>
            <w:bookmarkEnd w:id="858"/>
          </w:p>
        </w:tc>
      </w:tr>
      <w:tr w14:paraId="64D1DE0C" w14:textId="77777777">
        <w:tc>
          <w:tcPr>
            <w:tcW w:w="5000" w:type="pct"/>
          </w:tcPr>
          <w:p w14:paraId="21A8D3CB" w14:textId="77777777">
            <w:pPr>
              <w:pStyle w:val="CodeParagraph"/>
            </w:pPr>
            <w:r>
              <w:rPr>
                <w:rStyle w:val="Code"/>
              </w:rPr>
              <w:t xml:space="preserve">&lt;div </w:t>
            </w:r>
            <w:r>
              <w:rPr>
                <w:rStyle w:val="Codeattribute"/>
              </w:rPr>
              <w:t>type</w:t>
            </w:r>
            <w:r>
              <w:rPr>
                <w:rStyle w:val="Code"/>
              </w:rPr>
              <w:t>=</w:t>
            </w:r>
            <w:r>
              <w:rPr>
                <w:rStyle w:val="Codevalue"/>
              </w:rPr>
              <w:t>"translation"</w:t>
            </w:r>
            <w:r>
              <w:rPr>
                <w:rStyle w:val="Code"/>
              </w:rPr>
              <w:t>&gt;</w:t>
            </w:r>
            <w:r>
              <w:rPr>
                <w:rStyle w:val="Codetext"/>
              </w:rPr>
              <w:br/>
              <w:t xml:space="preserve">  </w:t>
            </w:r>
            <w:r>
              <w:rPr>
                <w:rStyle w:val="Code"/>
              </w:rPr>
              <w:t xml:space="preserve">&lt;p </w:t>
            </w:r>
            <w:r>
              <w:rPr>
                <w:rStyle w:val="Codeattribute"/>
              </w:rPr>
              <w:t>n</w:t>
            </w:r>
            <w:r>
              <w:rPr>
                <w:rStyle w:val="Code"/>
              </w:rPr>
              <w:t>=</w:t>
            </w:r>
            <w:r>
              <w:rPr>
                <w:rStyle w:val="Codevalue"/>
              </w:rPr>
              <w:t>"1-9"</w:t>
            </w:r>
            <w:r>
              <w:rPr>
                <w:rStyle w:val="Code"/>
              </w:rPr>
              <w:t>&gt;</w:t>
            </w:r>
            <w:r>
              <w:rPr>
                <w:rStyle w:val="Codetext"/>
              </w:rPr>
              <w:t xml:space="preserve">Hail! From the victorious [...] </w:t>
            </w:r>
            <w:r>
              <w:rPr>
                <w:rStyle w:val="Code"/>
              </w:rPr>
              <w:t>&lt;/p&gt;</w:t>
            </w:r>
            <w:r>
              <w:rPr>
                <w:rStyle w:val="Codetext"/>
              </w:rPr>
              <w:br/>
              <w:t xml:space="preserve">  </w:t>
            </w:r>
            <w:r>
              <w:rPr>
                <w:rStyle w:val="Code"/>
              </w:rPr>
              <w:t xml:space="preserve">&lt;p </w:t>
            </w:r>
            <w:r>
              <w:rPr>
                <w:rStyle w:val="Codeattribute"/>
              </w:rPr>
              <w:t>n</w:t>
            </w:r>
            <w:r>
              <w:rPr>
                <w:rStyle w:val="Code"/>
              </w:rPr>
              <w:t>=</w:t>
            </w:r>
            <w:r>
              <w:rPr>
                <w:rStyle w:val="Codevalue"/>
              </w:rPr>
              <w:t>"9-15"</w:t>
            </w:r>
            <w:r>
              <w:rPr>
                <w:rStyle w:val="Code"/>
              </w:rPr>
              <w:t>&gt;</w:t>
            </w:r>
            <w:r>
              <w:rPr>
                <w:rStyle w:val="Codetext"/>
              </w:rPr>
              <w:t xml:space="preserve">There is this village [...] </w:t>
            </w:r>
            <w:r>
              <w:rPr>
                <w:rStyle w:val="Code"/>
              </w:rPr>
              <w:t>&lt;/p&gt;</w:t>
            </w:r>
            <w:r>
              <w:rPr>
                <w:rStyle w:val="Codetext"/>
              </w:rPr>
              <w:br/>
              <w:t xml:space="preserve">  </w:t>
            </w:r>
            <w:r>
              <w:rPr>
                <w:rStyle w:val="Code"/>
              </w:rPr>
              <w:t xml:space="preserve">&lt;p </w:t>
            </w:r>
            <w:r>
              <w:rPr>
                <w:rStyle w:val="Codeattribute"/>
              </w:rPr>
              <w:t>n</w:t>
            </w:r>
            <w:r>
              <w:rPr>
                <w:rStyle w:val="Code"/>
              </w:rPr>
              <w:t>=</w:t>
            </w:r>
            <w:r>
              <w:rPr>
                <w:rStyle w:val="Codevalue"/>
              </w:rPr>
              <w:t>"15-17"</w:t>
            </w:r>
            <w:r>
              <w:rPr>
                <w:rStyle w:val="Code"/>
              </w:rPr>
              <w:t>&gt;</w:t>
            </w:r>
            <w:r>
              <w:rPr>
                <w:rStyle w:val="Codetext"/>
              </w:rPr>
              <w:t xml:space="preserve">In the first year [...] </w:t>
            </w:r>
            <w:r>
              <w:rPr>
                <w:rStyle w:val="Code"/>
              </w:rPr>
              <w:t>&lt;/p&gt;</w:t>
            </w:r>
            <w:r>
              <w:rPr>
                <w:rStyle w:val="Codetext"/>
              </w:rPr>
              <w:t xml:space="preserve"> </w:t>
            </w:r>
            <w:r>
              <w:rPr>
                <w:rStyle w:val="Codetext"/>
              </w:rPr>
              <w:br/>
              <w:t xml:space="preserve">  </w:t>
            </w:r>
            <w:r>
              <w:rPr>
                <w:rStyle w:val="Code"/>
              </w:rPr>
              <w:t xml:space="preserve">&lt;p </w:t>
            </w:r>
            <w:r>
              <w:rPr>
                <w:rStyle w:val="Codeattribute"/>
              </w:rPr>
              <w:t>rend</w:t>
            </w:r>
            <w:r>
              <w:rPr>
                <w:rStyle w:val="Code"/>
              </w:rPr>
              <w:t>=</w:t>
            </w:r>
            <w:r>
              <w:rPr>
                <w:rStyle w:val="Codevalue"/>
              </w:rPr>
              <w:t>"stanza"</w:t>
            </w:r>
            <w:r>
              <w:rPr>
                <w:rStyle w:val="Code"/>
              </w:rPr>
              <w:t xml:space="preserve"> </w:t>
            </w:r>
            <w:r>
              <w:rPr>
                <w:rStyle w:val="Codeattribute"/>
              </w:rPr>
              <w:t>n</w:t>
            </w:r>
            <w:r>
              <w:rPr>
                <w:rStyle w:val="Code"/>
              </w:rPr>
              <w:t>=</w:t>
            </w:r>
            <w:r>
              <w:rPr>
                <w:rStyle w:val="Codevalue"/>
              </w:rPr>
              <w:t>"1"</w:t>
            </w:r>
            <w:r>
              <w:rPr>
                <w:rStyle w:val="Code"/>
              </w:rPr>
              <w:t>&gt;</w:t>
            </w:r>
            <w:r>
              <w:rPr>
                <w:rStyle w:val="Codetext"/>
              </w:rPr>
              <w:t>By numerous kings, many times land has been given. Whoever holds land at a given moment, to him does the fruit then belong.</w:t>
            </w:r>
            <w:r>
              <w:rPr>
                <w:rStyle w:val="Code"/>
              </w:rPr>
              <w:t>&lt;/p&gt;</w:t>
            </w:r>
            <w:r>
              <w:rPr>
                <w:rStyle w:val="Codetext"/>
              </w:rPr>
              <w:br/>
            </w:r>
            <w:r>
              <w:rPr>
                <w:rStyle w:val="Code"/>
              </w:rPr>
              <w:t>&lt;/div&gt;</w:t>
            </w:r>
          </w:p>
        </w:tc>
      </w:tr>
    </w:tbl>
    <w:p w14:paraId="5ADFCDDB" w14:textId="77777777">
      <w:pPr>
        <w:pStyle w:val="Cmsor2"/>
      </w:pPr>
      <w:bookmarkStart w:id="859" w:name="_1959vvmyvc8" w:colFirst="0" w:colLast="0"/>
      <w:bookmarkStart w:id="860" w:name="_Ref233640670"/>
      <w:bookmarkStart w:id="861" w:name="_Ref43990269"/>
      <w:bookmarkStart w:id="862" w:name="_Ref151371819"/>
      <w:bookmarkStart w:id="863" w:name="_Toc243922758"/>
      <w:bookmarkEnd w:id="859"/>
      <w:r>
        <w:t>Markup within translations</w:t>
      </w:r>
      <w:bookmarkEnd w:id="860"/>
      <w:bookmarkEnd w:id="863"/>
    </w:p>
    <w:p w14:paraId="56E94331" w14:textId="77777777">
      <w:r>
        <w:t xml:space="preserve">Within the text (i.e. within the </w:t>
      </w:r>
      <w:r>
        <w:rPr>
          <w:rStyle w:val="Code"/>
        </w:rPr>
        <w:t>&lt;p&gt;</w:t>
      </w:r>
      <w:r>
        <w:t xml:space="preserve"> elements) of the translation, all of the encoding methods listed in this section are available, but no other encoding may be used. Keep in mind that these encoding methods replace the text-based markup (such as brackets and asterisks) commonly used in scholarly translations. </w:t>
      </w:r>
    </w:p>
    <w:p w14:paraId="4DC39993" w14:textId="77777777">
      <w:pPr>
        <w:pStyle w:val="Cmsor3"/>
      </w:pPr>
      <w:bookmarkStart w:id="864" w:name="_13vab39mftla" w:colFirst="0" w:colLast="0"/>
      <w:bookmarkStart w:id="865" w:name="_Ref233295189"/>
      <w:bookmarkStart w:id="866" w:name="_Toc243922759"/>
      <w:bookmarkEnd w:id="864"/>
      <w:r>
        <w:t>Globally available markup</w:t>
      </w:r>
      <w:bookmarkEnd w:id="865"/>
      <w:bookmarkEnd w:id="866"/>
    </w:p>
    <w:p w14:paraId="63E77005" w14:textId="716F1A8E">
      <w:pPr>
        <w:rPr>
          <w:lang w:eastAsia="en-US" w:bidi="ar-SA"/>
        </w:rPr>
      </w:pPr>
      <w:r>
        <w:rPr>
          <w:lang w:eastAsia="en-US" w:bidi="ar-SA"/>
        </w:rPr>
        <w:t xml:space="preserve">Translations may include the </w:t>
      </w:r>
      <w:r>
        <w:t>globally permitted miscellaneous markup elements discussed in §</w:t>
      </w:r>
      <w:r>
        <w:fldChar w:fldCharType="begin"/>
      </w:r>
      <w:r>
        <w:instrText xml:space="preserve"> REF _Ref43990225 \w \h  \* MERGEFORMAT </w:instrText>
      </w:r>
      <w:r>
        <w:fldChar w:fldCharType="separate"/>
      </w:r>
      <w:r>
        <w:t>14</w:t>
      </w:r>
      <w:r>
        <w:fldChar w:fldCharType="end"/>
      </w:r>
      <w:r>
        <w:t xml:space="preserve">. These include in particular the element </w:t>
      </w:r>
      <w:r>
        <w:rPr>
          <w:rStyle w:val="Code"/>
        </w:rPr>
        <w:t>&lt;foreign&gt;</w:t>
      </w:r>
      <w:r>
        <w:t xml:space="preserve"> for marking up words or phrases in a different language as per §</w:t>
      </w:r>
      <w:r>
        <w:fldChar w:fldCharType="begin"/>
      </w:r>
      <w:r>
        <w:instrText xml:space="preserve"> REF _Ref43986658 \w \h  \* MERGEFORMAT </w:instrText>
      </w:r>
      <w:r>
        <w:fldChar w:fldCharType="separate"/>
      </w:r>
      <w:r>
        <w:t>14.4.2</w:t>
      </w:r>
      <w:r>
        <w:fldChar w:fldCharType="end"/>
      </w:r>
      <w:r>
        <w:t>. Because foreign words are common in translations, we summarise the key details here.</w:t>
      </w:r>
    </w:p>
    <w:p w14:paraId="40C164EE" w14:textId="77777777">
      <w:pPr>
        <w:pStyle w:val="Lista"/>
      </w:pPr>
      <w:r>
        <w:t xml:space="preserve">all words in a language other than the language of the translation must be tagged as </w:t>
      </w:r>
      <w:r>
        <w:rPr>
          <w:rStyle w:val="Code"/>
        </w:rPr>
        <w:t>&lt;foreign&gt;</w:t>
      </w:r>
    </w:p>
    <w:p w14:paraId="5649D4A1" w14:textId="77777777">
      <w:pPr>
        <w:pStyle w:val="Lista"/>
      </w:pPr>
      <w:r>
        <w:t xml:space="preserve">words in a relevant source language do not require the attribute </w:t>
      </w:r>
      <w:r>
        <w:rPr>
          <w:rStyle w:val="Codeattribute"/>
        </w:rPr>
        <w:t>@xml:lang</w:t>
      </w:r>
      <w:r>
        <w:t>, but words in another modern language do</w:t>
      </w:r>
    </w:p>
    <w:p w14:paraId="696EF9FB" w14:textId="77777777">
      <w:pPr>
        <w:pStyle w:val="Lista"/>
      </w:pPr>
      <w:r>
        <w:t>source-language words generally appear in translations in the following ways</w:t>
      </w:r>
    </w:p>
    <w:p w14:paraId="6178F5B0" w14:textId="77777777">
      <w:pPr>
        <w:pStyle w:val="Lista2"/>
      </w:pPr>
      <w:r>
        <w:t>as technical terms which are not translated at all and thus require no additional markup</w:t>
      </w:r>
    </w:p>
    <w:p w14:paraId="7876432A" w14:textId="77777777">
      <w:pPr>
        <w:pStyle w:val="Lista3"/>
      </w:pPr>
      <w:r>
        <w:t xml:space="preserve">e.g. </w:t>
      </w:r>
      <w:r>
        <w:rPr>
          <w:rStyle w:val="Codetext"/>
        </w:rPr>
        <w:t xml:space="preserve">one </w:t>
      </w:r>
      <w:r>
        <w:rPr>
          <w:rStyle w:val="Code"/>
        </w:rPr>
        <w:t>&lt;foreign&gt;</w:t>
      </w:r>
      <w:r>
        <w:rPr>
          <w:rStyle w:val="Codetext"/>
        </w:rPr>
        <w:t>kulyavāpa</w:t>
      </w:r>
      <w:r>
        <w:rPr>
          <w:rStyle w:val="Code"/>
        </w:rPr>
        <w:t>&lt;/foreign&gt;</w:t>
      </w:r>
      <w:r>
        <w:rPr>
          <w:rStyle w:val="Codetext"/>
        </w:rPr>
        <w:t xml:space="preserve"> of land</w:t>
      </w:r>
    </w:p>
    <w:p w14:paraId="6BFBA77A" w14:textId="08E13435">
      <w:pPr>
        <w:pStyle w:val="Lista2"/>
      </w:pPr>
      <w:r>
        <w:t>as words of the source inserted for clarification as explanatory additions as per §</w:t>
      </w:r>
      <w:r>
        <w:fldChar w:fldCharType="begin"/>
      </w:r>
      <w:r>
        <w:instrText xml:space="preserve"> REF _Ref233288292 \r \h </w:instrText>
      </w:r>
      <w:r>
        <w:fldChar w:fldCharType="separate"/>
      </w:r>
      <w:r>
        <w:t>11.4.2.2</w:t>
      </w:r>
      <w:r>
        <w:fldChar w:fldCharType="end"/>
      </w:r>
    </w:p>
    <w:p w14:paraId="3054F206" w14:textId="08CEEFC6">
      <w:pPr>
        <w:pStyle w:val="Lista2"/>
      </w:pPr>
      <w:r>
        <w:lastRenderedPageBreak/>
        <w:t>as unintelligible text that is not translated, represented by a gap accompanied by an explanatory addition as per §</w:t>
      </w:r>
      <w:r>
        <w:fldChar w:fldCharType="begin"/>
      </w:r>
      <w:r>
        <w:instrText xml:space="preserve"> REF _Ref233295555 \r \h </w:instrText>
      </w:r>
      <w:r>
        <w:fldChar w:fldCharType="separate"/>
      </w:r>
      <w:r>
        <w:t>11.4.3.2</w:t>
      </w:r>
      <w:r>
        <w:fldChar w:fldCharType="end"/>
      </w:r>
    </w:p>
    <w:p w14:paraId="45D5B003" w14:textId="77777777">
      <w:pPr>
        <w:pStyle w:val="Cmsor3"/>
      </w:pPr>
      <w:bookmarkStart w:id="867" w:name="_Ref233295943"/>
      <w:bookmarkStart w:id="868" w:name="_Toc243922760"/>
      <w:r>
        <w:t>Supplied text in the translation</w:t>
      </w:r>
      <w:bookmarkEnd w:id="861"/>
      <w:bookmarkEnd w:id="867"/>
      <w:bookmarkEnd w:id="868"/>
    </w:p>
    <w:p w14:paraId="31CE4925" w14:textId="4D5B539A">
      <w:r>
        <w:t xml:space="preserve">Words, phrases and other chunks of text present in the translation that do not correspond to anything in the source text as received shall as a rule be tagged with the element </w:t>
      </w:r>
      <w:r>
        <w:rPr>
          <w:rStyle w:val="Code"/>
        </w:rPr>
        <w:t>&lt;supplied&gt;</w:t>
      </w:r>
      <w:r>
        <w:t xml:space="preserve">. The usage of this element is illustrated in in </w:t>
      </w:r>
      <w:r>
        <w:fldChar w:fldCharType="begin"/>
      </w:r>
      <w:r>
        <w:instrText xml:space="preserve"> REF _Ref233286760 \h </w:instrText>
      </w:r>
      <w:r>
        <w:fldChar w:fldCharType="separate"/>
      </w:r>
      <w:r>
        <w:t xml:space="preserve">Exhibit </w:t>
      </w:r>
      <w:r>
        <w:rPr>
          <w:noProof/>
        </w:rPr>
        <w:t>13.3</w:t>
      </w:r>
      <w:r>
        <w:t>.</w:t>
      </w:r>
      <w:r>
        <w:rPr>
          <w:noProof/>
        </w:rPr>
        <w:t>B</w:t>
      </w:r>
      <w:r>
        <w:fldChar w:fldCharType="end"/>
      </w:r>
      <w:r>
        <w:t>.</w:t>
      </w:r>
    </w:p>
    <w:p w14:paraId="51D8D30D" w14:textId="77777777">
      <w:pPr>
        <w:pStyle w:val="Lista"/>
      </w:pPr>
      <w:r>
        <w:t xml:space="preserve">in the translation division, </w:t>
      </w:r>
      <w:r>
        <w:rPr>
          <w:rStyle w:val="Code"/>
        </w:rPr>
        <w:t>&lt;supplied&gt;</w:t>
      </w:r>
      <w:r>
        <w:t xml:space="preserve"> shall be used with the following attributes:</w:t>
      </w:r>
    </w:p>
    <w:p w14:paraId="062585EC" w14:textId="77777777">
      <w:pPr>
        <w:pStyle w:val="Lista2"/>
      </w:pPr>
      <w:r>
        <w:t xml:space="preserve">mandatorily, </w:t>
      </w:r>
      <w:r>
        <w:rPr>
          <w:rStyle w:val="Codeattribute"/>
        </w:rPr>
        <w:t>@reason</w:t>
      </w:r>
      <w:r>
        <w:t xml:space="preserve"> to indicate the nature of the editorial addition, as outlined in the following subsections </w:t>
      </w:r>
    </w:p>
    <w:p w14:paraId="6160F026" w14:textId="61F119BC">
      <w:pPr>
        <w:pStyle w:val="Lista2"/>
      </w:pPr>
      <w:r>
        <w:t xml:space="preserve">as applicable, </w:t>
      </w:r>
      <w:r>
        <w:rPr>
          <w:rStyle w:val="Codeattribute"/>
        </w:rPr>
        <w:t>@cert</w:t>
      </w:r>
      <w:r>
        <w:rPr>
          <w:rStyle w:val="Code"/>
        </w:rPr>
        <w:t>=</w:t>
      </w:r>
      <w:r>
        <w:rPr>
          <w:rStyle w:val="Codevalue"/>
        </w:rPr>
        <w:t>"low"</w:t>
      </w:r>
      <w:r>
        <w:t xml:space="preserve"> to segments supplied tentatively (cf. §</w:t>
      </w:r>
      <w:r>
        <w:fldChar w:fldCharType="begin"/>
      </w:r>
      <w:r>
        <w:instrText xml:space="preserve"> REF _Ref233988179 \r \h </w:instrText>
      </w:r>
      <w:r>
        <w:fldChar w:fldCharType="separate"/>
      </w:r>
      <w:r>
        <w:t>11.4.4</w:t>
      </w:r>
      <w:r>
        <w:fldChar w:fldCharType="end"/>
      </w:r>
      <w:r>
        <w:t>)</w:t>
      </w:r>
    </w:p>
    <w:tbl>
      <w:tblPr>
        <w:tblStyle w:val="CodeSampleTable"/>
        <w:tblW w:w="5000" w:type="pct"/>
        <w:tblLook w:val="04A0" w:firstRow="1" w:lastRow="0" w:firstColumn="1" w:lastColumn="0" w:noHBand="0" w:noVBand="1"/>
      </w:tblPr>
      <w:tblGrid>
        <w:gridCol w:w="9628"/>
      </w:tblGrid>
      <w:tr w14:paraId="4854B4AA"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EE9BF17" w14:textId="6323E118">
            <w:pPr>
              <w:pStyle w:val="Kpalrs"/>
            </w:pPr>
            <w:r>
              <w:t xml:space="preserve">Exhibit </w:t>
            </w:r>
            <w:fldSimple w:instr=" STYLEREF 2 \s ">
              <w:r>
                <w:rPr>
                  <w:noProof/>
                </w:rPr>
                <w:t>11.4</w:t>
              </w:r>
            </w:fldSimple>
            <w:r>
              <w:t>.</w:t>
            </w:r>
            <w:fldSimple w:instr=" SEQ Exhibit \* ALPHABETIC \s 2 ">
              <w:r>
                <w:rPr>
                  <w:noProof/>
                </w:rPr>
                <w:t>A</w:t>
              </w:r>
            </w:fldSimple>
            <w:r>
              <w:t>: phrase-level markup in translation</w:t>
            </w:r>
          </w:p>
        </w:tc>
      </w:tr>
      <w:tr w14:paraId="480C3726" w14:textId="77777777">
        <w:tc>
          <w:tcPr>
            <w:tcW w:w="5000" w:type="pct"/>
          </w:tcPr>
          <w:p w14:paraId="74A3B964" w14:textId="77777777">
            <w:pPr>
              <w:pStyle w:val="CodeParagraph"/>
            </w:pPr>
            <w:r>
              <w:rPr>
                <w:rStyle w:val="Code"/>
              </w:rPr>
              <w:t xml:space="preserve">&lt;div </w:t>
            </w:r>
            <w:r>
              <w:rPr>
                <w:rStyle w:val="Codeattribute"/>
              </w:rPr>
              <w:t>type</w:t>
            </w:r>
            <w:r>
              <w:rPr>
                <w:rStyle w:val="Code"/>
              </w:rPr>
              <w:t>=</w:t>
            </w:r>
            <w:r>
              <w:rPr>
                <w:rStyle w:val="Codevalue"/>
              </w:rPr>
              <w:t>"translation"</w:t>
            </w:r>
            <w:r>
              <w:rPr>
                <w:rStyle w:val="Code"/>
              </w:rPr>
              <w:t>&gt;</w:t>
            </w:r>
            <w:r>
              <w:rPr>
                <w:rStyle w:val="Codetext"/>
              </w:rPr>
              <w:br/>
            </w:r>
            <w:r>
              <w:rPr>
                <w:rStyle w:val="Code"/>
              </w:rPr>
              <w:t xml:space="preserve">  &lt;p&gt;</w:t>
            </w:r>
            <w:r>
              <w:rPr>
                <w:rStyle w:val="Codetext"/>
              </w:rPr>
              <w:t xml:space="preserve">Indeed </w:t>
            </w:r>
            <w:r>
              <w:rPr>
                <w:rStyle w:val="Code"/>
              </w:rPr>
              <w:t xml:space="preserve">&lt;supplied </w:t>
            </w:r>
            <w:r>
              <w:rPr>
                <w:rStyle w:val="Codeattribute"/>
              </w:rPr>
              <w:t>reason</w:t>
            </w:r>
            <w:r>
              <w:rPr>
                <w:rStyle w:val="Code"/>
              </w:rPr>
              <w:t>=</w:t>
            </w:r>
            <w:r>
              <w:rPr>
                <w:rStyle w:val="Codevalue"/>
              </w:rPr>
              <w:t>"explanation"</w:t>
            </w:r>
            <w:r>
              <w:rPr>
                <w:rStyle w:val="Code"/>
              </w:rPr>
              <w:t>&gt;&lt;foreign&gt;</w:t>
            </w:r>
            <w:r>
              <w:rPr>
                <w:rStyle w:val="Codetext"/>
              </w:rPr>
              <w:t>asti</w:t>
            </w:r>
            <w:r>
              <w:rPr>
                <w:rStyle w:val="Code"/>
              </w:rPr>
              <w:t>&lt;/foreign&gt;&lt;/supplied&gt;</w:t>
            </w:r>
            <w:r>
              <w:rPr>
                <w:rStyle w:val="Codetext"/>
              </w:rPr>
              <w:t xml:space="preserve">, with respect to vendible properties in this division, the sale of </w:t>
            </w:r>
            <w:r>
              <w:rPr>
                <w:rStyle w:val="Code"/>
              </w:rPr>
              <w:t xml:space="preserve">&lt;supplied </w:t>
            </w:r>
            <w:r>
              <w:rPr>
                <w:rStyle w:val="Codeattribute"/>
              </w:rPr>
              <w:t>reason</w:t>
            </w:r>
            <w:r>
              <w:rPr>
                <w:rStyle w:val="Code"/>
              </w:rPr>
              <w:t>=</w:t>
            </w:r>
            <w:r>
              <w:rPr>
                <w:rStyle w:val="Codevalue"/>
              </w:rPr>
              <w:t>"explanation"</w:t>
            </w:r>
            <w:r>
              <w:rPr>
                <w:rStyle w:val="Code"/>
              </w:rPr>
              <w:t>&gt;</w:t>
            </w:r>
            <w:r>
              <w:rPr>
                <w:rStyle w:val="Codetext"/>
              </w:rPr>
              <w:t xml:space="preserve">a </w:t>
            </w:r>
            <w:r>
              <w:rPr>
                <w:rStyle w:val="Code"/>
              </w:rPr>
              <w:t>&lt;foreign&gt;</w:t>
            </w:r>
            <w:r>
              <w:rPr>
                <w:rStyle w:val="Codetext"/>
              </w:rPr>
              <w:t>kulyavāpa</w:t>
            </w:r>
            <w:r>
              <w:rPr>
                <w:rStyle w:val="Code"/>
              </w:rPr>
              <w:t>&lt;/foreign&gt;</w:t>
            </w:r>
            <w:r>
              <w:rPr>
                <w:rStyle w:val="Codetext"/>
              </w:rPr>
              <w:t xml:space="preserve"> of</w:t>
            </w:r>
            <w:r>
              <w:rPr>
                <w:rStyle w:val="Code"/>
              </w:rPr>
              <w:t>&lt;/supplied&gt;</w:t>
            </w:r>
            <w:r>
              <w:rPr>
                <w:rStyle w:val="Codetext"/>
              </w:rPr>
              <w:t xml:space="preserve"> waste land that is without revenue charges and yields no tax, to be enjoyed in perpetuity in accordance with the law on permanent endowments, is customary for one hundred </w:t>
            </w:r>
            <w:r>
              <w:rPr>
                <w:rStyle w:val="Code"/>
              </w:rPr>
              <w:t>&lt;foreign&gt;</w:t>
            </w:r>
            <w:r>
              <w:rPr>
                <w:rStyle w:val="Codetext"/>
              </w:rPr>
              <w:t>kārṣāpaṇa</w:t>
            </w:r>
            <w:r>
              <w:rPr>
                <w:rStyle w:val="Code"/>
              </w:rPr>
              <w:t>&lt;/foreign&gt;</w:t>
            </w:r>
            <w:r>
              <w:rPr>
                <w:rStyle w:val="Codetext"/>
              </w:rPr>
              <w:t xml:space="preserve">s. And no conflict of interest </w:t>
            </w:r>
            <w:r>
              <w:rPr>
                <w:rStyle w:val="Code"/>
              </w:rPr>
              <w:t xml:space="preserve">&lt;supplied </w:t>
            </w:r>
            <w:r>
              <w:rPr>
                <w:rStyle w:val="Codeattribute"/>
              </w:rPr>
              <w:t>reason</w:t>
            </w:r>
            <w:r>
              <w:rPr>
                <w:rStyle w:val="Code"/>
              </w:rPr>
              <w:t>=</w:t>
            </w:r>
            <w:r>
              <w:rPr>
                <w:rStyle w:val="Codevalue"/>
              </w:rPr>
              <w:t>"explanation"</w:t>
            </w:r>
            <w:r>
              <w:rPr>
                <w:rStyle w:val="Code"/>
              </w:rPr>
              <w:t>&gt;&lt;foreign&gt;</w:t>
            </w:r>
            <w:r>
              <w:rPr>
                <w:rStyle w:val="Codetext"/>
              </w:rPr>
              <w:t>virodha</w:t>
            </w:r>
            <w:r>
              <w:rPr>
                <w:rStyle w:val="Code"/>
              </w:rPr>
              <w:t>&lt;/foreign&gt;&lt;/supplied&gt;</w:t>
            </w:r>
            <w:r>
              <w:rPr>
                <w:rStyle w:val="Codetext"/>
              </w:rPr>
              <w:t xml:space="preserve"> whatsoever </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will result</w:t>
            </w:r>
            <w:r>
              <w:rPr>
                <w:rStyle w:val="Code"/>
              </w:rPr>
              <w:t>&lt;/supplied&gt;</w:t>
            </w:r>
            <w:r>
              <w:rPr>
                <w:rStyle w:val="Codetext"/>
              </w:rPr>
              <w:t xml:space="preserve"> through its sale: </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on the contrary,</w:t>
            </w:r>
            <w:r>
              <w:rPr>
                <w:rStyle w:val="Code"/>
              </w:rPr>
              <w:t>&lt;/supplied&gt;</w:t>
            </w:r>
            <w:r>
              <w:rPr>
                <w:rStyle w:val="Codetext"/>
              </w:rPr>
              <w:t xml:space="preserve"> for His Majesty </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there will be</w:t>
            </w:r>
            <w:r>
              <w:rPr>
                <w:rStyle w:val="Code"/>
              </w:rPr>
              <w:t>&lt;/supplied&gt;</w:t>
            </w:r>
            <w:r>
              <w:rPr>
                <w:rStyle w:val="Codetext"/>
              </w:rPr>
              <w:t xml:space="preserve"> increase of wealth and attainment of one sixth of the merit.</w:t>
            </w:r>
            <w:r>
              <w:rPr>
                <w:rStyle w:val="Code"/>
              </w:rPr>
              <w:t>&lt;/p&gt;</w:t>
            </w:r>
            <w:r>
              <w:rPr>
                <w:rStyle w:val="Codetext"/>
              </w:rPr>
              <w:br/>
            </w:r>
            <w:r>
              <w:rPr>
                <w:rStyle w:val="Code"/>
              </w:rPr>
              <w:t>&lt;/div&gt;</w:t>
            </w:r>
          </w:p>
        </w:tc>
      </w:tr>
    </w:tbl>
    <w:p w14:paraId="53179E32" w14:textId="77777777">
      <w:pPr>
        <w:pStyle w:val="Cmsor4"/>
      </w:pPr>
      <w:bookmarkStart w:id="869" w:name="_Ref233289446"/>
      <w:r>
        <w:t>Essential additions</w:t>
      </w:r>
      <w:bookmarkEnd w:id="869"/>
    </w:p>
    <w:p w14:paraId="4C1CC63F" w14:textId="1769AEEE">
      <w:pPr>
        <w:rPr>
          <w:lang w:eastAsia="en-US" w:bidi="ar-SA"/>
        </w:rPr>
      </w:pPr>
      <w:r>
        <w:rPr>
          <w:lang w:eastAsia="en-US" w:bidi="ar-SA"/>
        </w:rPr>
        <w:t>By essential additions we mean words which are not present in the source but have been added to a translation because the syntax of the target language requires them, or because they improve the fluency or clarity of the text in the target language. Unlike explanatory additions (§</w:t>
      </w:r>
      <w:r>
        <w:rPr>
          <w:lang w:eastAsia="en-US" w:bidi="ar-SA"/>
        </w:rPr>
        <w:fldChar w:fldCharType="begin"/>
      </w:r>
      <w:r>
        <w:rPr>
          <w:lang w:eastAsia="en-US" w:bidi="ar-SA"/>
        </w:rPr>
        <w:instrText xml:space="preserve"> REF _Ref233288292 \r \h </w:instrText>
      </w:r>
      <w:r>
        <w:rPr>
          <w:lang w:eastAsia="en-US" w:bidi="ar-SA"/>
        </w:rPr>
      </w:r>
      <w:r>
        <w:rPr>
          <w:lang w:eastAsia="en-US" w:bidi="ar-SA"/>
        </w:rPr>
        <w:fldChar w:fldCharType="separate"/>
      </w:r>
      <w:r>
        <w:rPr>
          <w:lang w:eastAsia="en-US" w:bidi="ar-SA"/>
        </w:rPr>
        <w:t>11.4.2.2</w:t>
      </w:r>
      <w:r>
        <w:rPr>
          <w:lang w:eastAsia="en-US" w:bidi="ar-SA"/>
        </w:rPr>
        <w:fldChar w:fldCharType="end"/>
      </w:r>
      <w:r>
        <w:rPr>
          <w:lang w:eastAsia="en-US" w:bidi="ar-SA"/>
        </w:rPr>
        <w:t>), essential additions are an integral part of the text in the target language. Such additions are often indicated in scholarly translations by square brackets, and this is how they will be displayed in our system.</w:t>
      </w:r>
    </w:p>
    <w:p w14:paraId="06EE2FD0" w14:textId="77777777">
      <w:pPr>
        <w:pStyle w:val="Normlbehzs"/>
        <w:rPr>
          <w:lang w:eastAsia="en-US" w:bidi="ar-SA"/>
        </w:rPr>
      </w:pPr>
      <w:r>
        <w:rPr>
          <w:lang w:eastAsia="en-US" w:bidi="ar-SA"/>
        </w:rPr>
        <w:t>As DHARMA translations are expected to sound natural in the target language and to prioritise readability over meticulousness, there is no requirement to mark up every minor essential addition such as articles, conjunctions and pronouns.</w:t>
      </w:r>
    </w:p>
    <w:p w14:paraId="7AACF8A1" w14:textId="77777777">
      <w:pPr>
        <w:pStyle w:val="Lista"/>
      </w:pPr>
      <w:r>
        <w:t xml:space="preserve">for </w:t>
      </w:r>
      <w:r>
        <w:rPr>
          <w:lang w:eastAsia="en-US" w:bidi="ar-SA"/>
        </w:rPr>
        <w:t>essential</w:t>
      </w:r>
      <w:r>
        <w:t xml:space="preserve"> additions in the translation, use </w:t>
      </w:r>
      <w:r>
        <w:rPr>
          <w:rStyle w:val="Code"/>
        </w:rPr>
        <w:t xml:space="preserve">&lt;supplied </w:t>
      </w:r>
      <w:r>
        <w:rPr>
          <w:rStyle w:val="Codeattribute"/>
        </w:rPr>
        <w:t>reason</w:t>
      </w:r>
      <w:r>
        <w:rPr>
          <w:rStyle w:val="Code"/>
        </w:rPr>
        <w:t>=</w:t>
      </w:r>
      <w:r>
        <w:rPr>
          <w:rStyle w:val="Codevalue"/>
        </w:rPr>
        <w:t>"subaudible"</w:t>
      </w:r>
      <w:r>
        <w:rPr>
          <w:rStyle w:val="Code"/>
        </w:rPr>
        <w:t>&gt;</w:t>
      </w:r>
      <w:r>
        <w:t>, for example</w:t>
      </w:r>
    </w:p>
    <w:p w14:paraId="58CB2FEC" w14:textId="77777777">
      <w:pPr>
        <w:pStyle w:val="Lista2"/>
        <w:rPr>
          <w:rStyle w:val="Code"/>
          <w:rFonts w:ascii="Gentium" w:hAnsi="Gentium" w:cs="Tiro Devanagari Sanskrit"/>
          <w:noProof w:val="0"/>
          <w:color w:val="auto"/>
          <w:shd w:val="clear" w:color="auto" w:fill="auto"/>
        </w:rPr>
      </w:pPr>
      <w:r>
        <w:rPr>
          <w:rStyle w:val="Code"/>
        </w:rPr>
        <w:t>&lt;p&gt;</w:t>
      </w:r>
      <w:r>
        <w:rPr>
          <w:rStyle w:val="Codetext"/>
        </w:rPr>
        <w:t xml:space="preserve">He was generous to his subjects and </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therefore</w:t>
      </w:r>
      <w:r>
        <w:rPr>
          <w:rStyle w:val="Code"/>
        </w:rPr>
        <w:t>&lt;/supplied&gt;</w:t>
      </w:r>
      <w:r>
        <w:rPr>
          <w:rStyle w:val="Codetext"/>
        </w:rPr>
        <w:t xml:space="preserve"> loved </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by them</w:t>
      </w:r>
      <w:r>
        <w:rPr>
          <w:rStyle w:val="Code"/>
        </w:rPr>
        <w:t xml:space="preserve">&lt;/supplied&gt; </w:t>
      </w:r>
      <w:r>
        <w:rPr>
          <w:rStyle w:val="Codetext"/>
        </w:rPr>
        <w:t xml:space="preserve">... </w:t>
      </w:r>
      <w:r>
        <w:rPr>
          <w:rStyle w:val="Code"/>
        </w:rPr>
        <w:t>&lt;/p&gt;</w:t>
      </w:r>
    </w:p>
    <w:p w14:paraId="05FA5F42" w14:textId="64FA1919">
      <w:pPr>
        <w:pStyle w:val="Lista"/>
      </w:pPr>
      <w:r>
        <w:t>as per §</w:t>
      </w:r>
      <w:r>
        <w:fldChar w:fldCharType="begin"/>
      </w:r>
      <w:r>
        <w:instrText xml:space="preserve"> REF _Ref233988179 \r \h </w:instrText>
      </w:r>
      <w:r>
        <w:fldChar w:fldCharType="separate"/>
      </w:r>
      <w:r>
        <w:t>11.4.4</w:t>
      </w:r>
      <w:r>
        <w:fldChar w:fldCharType="end"/>
      </w:r>
      <w:r>
        <w:t xml:space="preserve">, distinguish tentative additions by using </w:t>
      </w:r>
      <w:r>
        <w:rPr>
          <w:rStyle w:val="Codeattribute"/>
        </w:rPr>
        <w:t>@cert</w:t>
      </w:r>
      <w:r>
        <w:rPr>
          <w:rStyle w:val="Code"/>
        </w:rPr>
        <w:t>=</w:t>
      </w:r>
      <w:r>
        <w:rPr>
          <w:rStyle w:val="Codevalue"/>
        </w:rPr>
        <w:t>"low"</w:t>
      </w:r>
      <w:r>
        <w:t xml:space="preserve"> </w:t>
      </w:r>
    </w:p>
    <w:p w14:paraId="71251761" w14:textId="77777777">
      <w:pPr>
        <w:pStyle w:val="Cmsor4"/>
      </w:pPr>
      <w:bookmarkStart w:id="870" w:name="_Ref233288292"/>
      <w:r>
        <w:t>Explanatory additions</w:t>
      </w:r>
      <w:bookmarkEnd w:id="870"/>
    </w:p>
    <w:p w14:paraId="36FECB1E" w14:textId="7B12C2F9">
      <w:pPr>
        <w:rPr>
          <w:lang w:eastAsia="en-US" w:bidi="ar-SA"/>
        </w:rPr>
      </w:pPr>
      <w:r>
        <w:rPr>
          <w:lang w:eastAsia="en-US" w:bidi="ar-SA"/>
        </w:rPr>
        <w:t>By explanatory additions we mean words which are not present in the source but have been added to a translation in order to clarify, elaborate or disambiguate the meaning (or your interpretation) of another word or phrase in the translation. Unlike essential additions (§</w:t>
      </w:r>
      <w:r>
        <w:rPr>
          <w:lang w:eastAsia="en-US" w:bidi="ar-SA"/>
        </w:rPr>
        <w:fldChar w:fldCharType="begin"/>
      </w:r>
      <w:r>
        <w:rPr>
          <w:lang w:eastAsia="en-US" w:bidi="ar-SA"/>
        </w:rPr>
        <w:instrText xml:space="preserve"> REF _Ref233289446 \r \h </w:instrText>
      </w:r>
      <w:r>
        <w:rPr>
          <w:lang w:eastAsia="en-US" w:bidi="ar-SA"/>
        </w:rPr>
      </w:r>
      <w:r>
        <w:rPr>
          <w:lang w:eastAsia="en-US" w:bidi="ar-SA"/>
        </w:rPr>
        <w:fldChar w:fldCharType="separate"/>
      </w:r>
      <w:r>
        <w:rPr>
          <w:lang w:eastAsia="en-US" w:bidi="ar-SA"/>
        </w:rPr>
        <w:t>11.4.2.1</w:t>
      </w:r>
      <w:r>
        <w:rPr>
          <w:lang w:eastAsia="en-US" w:bidi="ar-SA"/>
        </w:rPr>
        <w:fldChar w:fldCharType="end"/>
      </w:r>
      <w:r>
        <w:rPr>
          <w:lang w:eastAsia="en-US" w:bidi="ar-SA"/>
        </w:rPr>
        <w:t>), explanatory additions need not be an integral part of the text in the target language (though they may be set up to be readable without interruption). Such additions are often indicated in scholarly translations by round parentheses, and this is how they will be displayed in our system.</w:t>
      </w:r>
    </w:p>
    <w:p w14:paraId="67C30082" w14:textId="77777777">
      <w:pPr>
        <w:pStyle w:val="Lista"/>
      </w:pPr>
      <w:r>
        <w:t xml:space="preserve">for explanatory additions to the translation, use </w:t>
      </w:r>
      <w:r>
        <w:rPr>
          <w:rStyle w:val="Code"/>
        </w:rPr>
        <w:t xml:space="preserve">&lt;supplied </w:t>
      </w:r>
      <w:r>
        <w:rPr>
          <w:rStyle w:val="Codeattribute"/>
        </w:rPr>
        <w:t>reason</w:t>
      </w:r>
      <w:r>
        <w:rPr>
          <w:rStyle w:val="Code"/>
        </w:rPr>
        <w:t>=</w:t>
      </w:r>
      <w:r>
        <w:rPr>
          <w:rStyle w:val="Codevalue"/>
        </w:rPr>
        <w:t>"explanation"</w:t>
      </w:r>
      <w:r>
        <w:rPr>
          <w:rStyle w:val="Code"/>
        </w:rPr>
        <w:t>&gt;</w:t>
      </w:r>
      <w:r>
        <w:t>, for example</w:t>
      </w:r>
    </w:p>
    <w:p w14:paraId="3EF7676C" w14:textId="77777777">
      <w:pPr>
        <w:pStyle w:val="Lista2"/>
      </w:pPr>
      <w:r>
        <w:rPr>
          <w:rStyle w:val="Code"/>
        </w:rPr>
        <w:t>&lt;p&gt;</w:t>
      </w:r>
      <w:r>
        <w:rPr>
          <w:rStyle w:val="Codetext"/>
        </w:rPr>
        <w:t xml:space="preserve">... devotion to </w:t>
      </w:r>
      <w:r>
        <w:rPr>
          <w:rStyle w:val="Code"/>
        </w:rPr>
        <w:t xml:space="preserve">&lt;supplied </w:t>
      </w:r>
      <w:r>
        <w:rPr>
          <w:rStyle w:val="Codeattribute"/>
        </w:rPr>
        <w:t>reason</w:t>
      </w:r>
      <w:r>
        <w:rPr>
          <w:rStyle w:val="Code"/>
        </w:rPr>
        <w:t>=</w:t>
      </w:r>
      <w:r>
        <w:rPr>
          <w:rStyle w:val="Codevalue"/>
        </w:rPr>
        <w:t>"explanation"</w:t>
      </w:r>
      <w:r>
        <w:rPr>
          <w:rStyle w:val="Code"/>
        </w:rPr>
        <w:t>&gt;</w:t>
      </w:r>
      <w:r>
        <w:rPr>
          <w:rStyle w:val="Codetext"/>
        </w:rPr>
        <w:t>Viṣṇu</w:t>
      </w:r>
      <w:r>
        <w:rPr>
          <w:rStyle w:val="Code"/>
        </w:rPr>
        <w:t>&lt;/supplied&gt;</w:t>
      </w:r>
      <w:r>
        <w:rPr>
          <w:rStyle w:val="Codetext"/>
        </w:rPr>
        <w:t xml:space="preserve"> the bearer of the discus and the mace ... </w:t>
      </w:r>
      <w:r>
        <w:rPr>
          <w:rStyle w:val="Code"/>
        </w:rPr>
        <w:t>&lt;/p&gt;</w:t>
      </w:r>
      <w:r>
        <w:t xml:space="preserve"> </w:t>
      </w:r>
    </w:p>
    <w:p w14:paraId="34477F2A" w14:textId="77777777">
      <w:pPr>
        <w:pStyle w:val="Lista2"/>
      </w:pPr>
      <w:r>
        <w:rPr>
          <w:rStyle w:val="Codetext"/>
        </w:rPr>
        <w:t xml:space="preserve">in order to protect her </w:t>
      </w:r>
      <w:r>
        <w:rPr>
          <w:rStyle w:val="Code"/>
        </w:rPr>
        <w:t xml:space="preserve">&lt;supplied </w:t>
      </w:r>
      <w:r>
        <w:rPr>
          <w:rStyle w:val="Codeattribute"/>
        </w:rPr>
        <w:t>reason=</w:t>
      </w:r>
      <w:r>
        <w:rPr>
          <w:rStyle w:val="Codevalue"/>
        </w:rPr>
        <w:t>"explanation"</w:t>
      </w:r>
      <w:r>
        <w:rPr>
          <w:rStyle w:val="Code"/>
        </w:rPr>
        <w:t>&gt;</w:t>
      </w:r>
      <w:r>
        <w:rPr>
          <w:rStyle w:val="Codetext"/>
        </w:rPr>
        <w:t>the earth</w:t>
      </w:r>
      <w:r>
        <w:rPr>
          <w:rStyle w:val="Code"/>
        </w:rPr>
        <w:t>&lt;/supplied&gt;</w:t>
      </w:r>
      <w:r>
        <w:rPr>
          <w:rStyle w:val="Codetext"/>
        </w:rPr>
        <w:t xml:space="preserve"> with his arms ...</w:t>
      </w:r>
      <w:r>
        <w:t xml:space="preserve"> </w:t>
      </w:r>
    </w:p>
    <w:p w14:paraId="35E63B6F" w14:textId="77777777">
      <w:pPr>
        <w:pStyle w:val="Lista"/>
      </w:pPr>
      <w:r>
        <w:lastRenderedPageBreak/>
        <w:t>when words of the source language are added next to a translated word in order to highlight the specific terminology of the source or to help the reader match parts of the translation to parts of a difficult or ambiguous passage, these are also explanatory additions</w:t>
      </w:r>
    </w:p>
    <w:p w14:paraId="5C82EE9C" w14:textId="2A3F29CD">
      <w:pPr>
        <w:pStyle w:val="Lista2"/>
      </w:pPr>
      <w:r>
        <w:t>as per §</w:t>
      </w:r>
      <w:r>
        <w:fldChar w:fldCharType="begin"/>
      </w:r>
      <w:r>
        <w:instrText xml:space="preserve"> REF _Ref233295189 \r \h </w:instrText>
      </w:r>
      <w:r>
        <w:fldChar w:fldCharType="separate"/>
      </w:r>
      <w:r>
        <w:t>11.4.1</w:t>
      </w:r>
      <w:r>
        <w:fldChar w:fldCharType="end"/>
      </w:r>
      <w:r>
        <w:t xml:space="preserve">, such additions must be encoded as </w:t>
      </w:r>
      <w:r>
        <w:rPr>
          <w:rStyle w:val="Code"/>
        </w:rPr>
        <w:t>&lt;foreign&gt;</w:t>
      </w:r>
      <w:r>
        <w:t xml:space="preserve"> in addition to being encoded as explanatory additions</w:t>
      </w:r>
    </w:p>
    <w:p w14:paraId="2608B5FC" w14:textId="77777777">
      <w:pPr>
        <w:pStyle w:val="Lista2"/>
      </w:pPr>
      <w:r>
        <w:t xml:space="preserve">e.g. </w:t>
      </w:r>
      <w:r>
        <w:rPr>
          <w:rStyle w:val="Code"/>
        </w:rPr>
        <w:t>&lt;p&gt;</w:t>
      </w:r>
      <w:r>
        <w:rPr>
          <w:rStyle w:val="Codetext"/>
        </w:rPr>
        <w:t xml:space="preserve">Homage to that thousand-headed Person </w:t>
      </w:r>
      <w:r>
        <w:rPr>
          <w:rStyle w:val="Code"/>
        </w:rPr>
        <w:t xml:space="preserve">&lt;supplied </w:t>
      </w:r>
      <w:r>
        <w:rPr>
          <w:rStyle w:val="Codeattribute"/>
        </w:rPr>
        <w:t>reason</w:t>
      </w:r>
      <w:r>
        <w:rPr>
          <w:rStyle w:val="Code"/>
        </w:rPr>
        <w:t>=</w:t>
      </w:r>
      <w:r>
        <w:rPr>
          <w:rStyle w:val="Codevalue"/>
        </w:rPr>
        <w:t>"explanation"</w:t>
      </w:r>
      <w:r>
        <w:rPr>
          <w:rStyle w:val="Code"/>
        </w:rPr>
        <w:t>&gt;&lt;foreign&gt;</w:t>
      </w:r>
      <w:r>
        <w:rPr>
          <w:rStyle w:val="Codetext"/>
        </w:rPr>
        <w:t>puruṣa</w:t>
      </w:r>
      <w:r>
        <w:rPr>
          <w:rStyle w:val="Code"/>
        </w:rPr>
        <w:t>&lt;/foreign&gt;&lt;/supplied&gt;</w:t>
      </w:r>
      <w:r>
        <w:rPr>
          <w:rStyle w:val="Codetext"/>
        </w:rPr>
        <w:t xml:space="preserve"> ... </w:t>
      </w:r>
      <w:r>
        <w:rPr>
          <w:rStyle w:val="Code"/>
        </w:rPr>
        <w:t>&lt;/p&gt;</w:t>
      </w:r>
    </w:p>
    <w:p w14:paraId="373A39D2" w14:textId="5538AC73">
      <w:pPr>
        <w:pStyle w:val="Lista"/>
      </w:pPr>
      <w:r>
        <w:t>as per §</w:t>
      </w:r>
      <w:r>
        <w:fldChar w:fldCharType="begin"/>
      </w:r>
      <w:r>
        <w:instrText xml:space="preserve"> REF _Ref233988179 \r \h </w:instrText>
      </w:r>
      <w:r>
        <w:fldChar w:fldCharType="separate"/>
      </w:r>
      <w:r>
        <w:t>11.4.4</w:t>
      </w:r>
      <w:r>
        <w:fldChar w:fldCharType="end"/>
      </w:r>
      <w:r>
        <w:t xml:space="preserve">, distinguish tentative additions by using </w:t>
      </w:r>
      <w:r>
        <w:rPr>
          <w:rStyle w:val="Codeattribute"/>
        </w:rPr>
        <w:t>@cert</w:t>
      </w:r>
      <w:r>
        <w:rPr>
          <w:rStyle w:val="Code"/>
        </w:rPr>
        <w:t>=</w:t>
      </w:r>
      <w:r>
        <w:rPr>
          <w:rStyle w:val="Codevalue"/>
        </w:rPr>
        <w:t>"low"</w:t>
      </w:r>
      <w:r>
        <w:t xml:space="preserve"> </w:t>
      </w:r>
    </w:p>
    <w:p w14:paraId="4FC90CBF" w14:textId="77777777">
      <w:pPr>
        <w:pStyle w:val="Cmsor4"/>
      </w:pPr>
      <w:bookmarkStart w:id="871" w:name="_Ref233292320"/>
      <w:r>
        <w:t>Restoration of lost text</w:t>
      </w:r>
      <w:bookmarkEnd w:id="871"/>
    </w:p>
    <w:p w14:paraId="6EFAE4F5" w14:textId="02127BE9">
      <w:pPr>
        <w:rPr>
          <w:b/>
          <w:bCs/>
          <w:lang w:eastAsia="en-US" w:bidi="ar-SA"/>
        </w:rPr>
      </w:pPr>
      <w:r>
        <w:rPr>
          <w:lang w:eastAsia="en-US" w:bidi="ar-SA"/>
        </w:rPr>
        <w:t xml:space="preserve">From the perspective of the translation, lost text is any meaningful and translatable segment that is not present in the source as received but which was presumably written and subsequently lost or rendered illegible. While restored text in a translation usually corresponds to text restored in the edition, this is not necessarily the case. On the one hand, lacunae smaller than words do not have to be indicated in translations, although you may choose to mark up parts of translated words (and especially of names in the translation) as restored when you deem this useful. Otherwise, either forgo markup altogether (if the lacuna is inconsequential) or mark up an entire translated word as supplied (if the lacuna is substantial). On the other hand, it is sometimes possible and expedient to restore key words or notions in the translation even where your edition does not include a restoration because the choice of synonym or phrasing used in the original text cannot be predicted. A translation may thus contain supplied text where an edition contains a </w:t>
      </w:r>
      <w:r>
        <w:rPr>
          <w:rStyle w:val="Code"/>
        </w:rPr>
        <w:t>&lt;gap&gt;</w:t>
      </w:r>
      <w:r>
        <w:t xml:space="preserve"> element instead of a restoration. In this latter case, the </w:t>
      </w:r>
      <w:r>
        <w:rPr>
          <w:rStyle w:val="Code"/>
        </w:rPr>
        <w:t>&lt;gap&gt;</w:t>
      </w:r>
      <w:r>
        <w:t xml:space="preserve"> element in the edition may be illegible rather than lost </w:t>
      </w:r>
      <w:r>
        <w:rPr>
          <w:lang w:eastAsia="en-US" w:bidi="ar-SA"/>
        </w:rPr>
        <w:t>(§</w:t>
      </w:r>
      <w:r>
        <w:rPr>
          <w:lang w:eastAsia="en-US" w:bidi="ar-SA"/>
        </w:rPr>
        <w:fldChar w:fldCharType="begin"/>
      </w:r>
      <w:r>
        <w:rPr>
          <w:lang w:eastAsia="en-US" w:bidi="ar-SA"/>
        </w:rPr>
        <w:instrText xml:space="preserve"> REF _Ref43987758 \r \h </w:instrText>
      </w:r>
      <w:r>
        <w:rPr>
          <w:lang w:eastAsia="en-US" w:bidi="ar-SA"/>
        </w:rPr>
      </w:r>
      <w:r>
        <w:rPr>
          <w:lang w:eastAsia="en-US" w:bidi="ar-SA"/>
        </w:rPr>
        <w:fldChar w:fldCharType="separate"/>
      </w:r>
      <w:r>
        <w:rPr>
          <w:lang w:eastAsia="en-US" w:bidi="ar-SA"/>
        </w:rPr>
        <w:t>6.5.1.1</w:t>
      </w:r>
      <w:r>
        <w:rPr>
          <w:lang w:eastAsia="en-US" w:bidi="ar-SA"/>
        </w:rPr>
        <w:fldChar w:fldCharType="end"/>
      </w:r>
      <w:r>
        <w:rPr>
          <w:lang w:eastAsia="en-US" w:bidi="ar-SA"/>
        </w:rPr>
        <w:t>), but the encoding for the two is identical in the translation.</w:t>
      </w:r>
    </w:p>
    <w:p w14:paraId="2A2E8896" w14:textId="77777777">
      <w:pPr>
        <w:pStyle w:val="Lista"/>
      </w:pPr>
      <w:r>
        <w:t xml:space="preserve">for lost text restored in the translation, use </w:t>
      </w:r>
      <w:r>
        <w:rPr>
          <w:rStyle w:val="Code"/>
        </w:rPr>
        <w:t xml:space="preserve">&lt;supplied </w:t>
      </w:r>
      <w:r>
        <w:rPr>
          <w:rStyle w:val="Codeattribute"/>
        </w:rPr>
        <w:t>reason</w:t>
      </w:r>
      <w:r>
        <w:rPr>
          <w:rStyle w:val="Code"/>
        </w:rPr>
        <w:t>=</w:t>
      </w:r>
      <w:r>
        <w:rPr>
          <w:rStyle w:val="Codevalue"/>
        </w:rPr>
        <w:t>"lost"</w:t>
      </w:r>
      <w:r>
        <w:rPr>
          <w:rStyle w:val="Code"/>
        </w:rPr>
        <w:t>&gt;</w:t>
      </w:r>
      <w:r>
        <w:t>, for example</w:t>
      </w:r>
    </w:p>
    <w:p w14:paraId="563AA673" w14:textId="77777777">
      <w:pPr>
        <w:pStyle w:val="Lista2"/>
      </w:pPr>
      <w:r>
        <w:rPr>
          <w:rStyle w:val="Codetext"/>
        </w:rPr>
        <w:t xml:space="preserve">The truest of </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kings</w:t>
      </w:r>
      <w:r>
        <w:rPr>
          <w:rStyle w:val="Code"/>
        </w:rPr>
        <w:t>&lt;/supplied&gt;</w:t>
      </w:r>
      <w:r>
        <w:rPr>
          <w:rStyle w:val="Codetext"/>
        </w:rPr>
        <w:t>...</w:t>
      </w:r>
      <w:r>
        <w:t xml:space="preserve"> </w:t>
      </w:r>
    </w:p>
    <w:p w14:paraId="23108051" w14:textId="77777777">
      <w:pPr>
        <w:pStyle w:val="Lista3"/>
      </w:pPr>
      <w:r>
        <w:t xml:space="preserve">corresponding to </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nr̥pa</w:t>
      </w:r>
      <w:r>
        <w:rPr>
          <w:rStyle w:val="Code"/>
        </w:rPr>
        <w:t>&lt;/supplied&gt;</w:t>
      </w:r>
      <w:r>
        <w:rPr>
          <w:rStyle w:val="Codetext"/>
        </w:rPr>
        <w:t>-sattamaḥ</w:t>
      </w:r>
      <w:r>
        <w:t xml:space="preserve"> in the edition</w:t>
      </w:r>
    </w:p>
    <w:p w14:paraId="4B17648A" w14:textId="77777777">
      <w:pPr>
        <w:pStyle w:val="Lista2"/>
      </w:pPr>
      <w:r>
        <w:t xml:space="preserve"> </w:t>
      </w:r>
      <w:r>
        <w:rPr>
          <w:rStyle w:val="Codetext"/>
        </w:rPr>
        <w:t xml:space="preserve">The village named Vaṭatīrtha </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was granted</w:t>
      </w:r>
      <w:r>
        <w:rPr>
          <w:rStyle w:val="Code"/>
        </w:rPr>
        <w:t>&lt;/supplied&gt;</w:t>
      </w:r>
      <w:r>
        <w:rPr>
          <w:rStyle w:val="Codetext"/>
        </w:rPr>
        <w:t>...</w:t>
      </w:r>
      <w:r>
        <w:t xml:space="preserve"> </w:t>
      </w:r>
    </w:p>
    <w:p w14:paraId="5B78D60D" w14:textId="77777777">
      <w:pPr>
        <w:pStyle w:val="Lista3"/>
      </w:pPr>
      <w:r>
        <w:t xml:space="preserve">corresponding to </w:t>
      </w:r>
      <w:r>
        <w:rPr>
          <w:rStyle w:val="Codetext"/>
        </w:rPr>
        <w:t xml:space="preserve">...vaṭatīrthaṁ nāma grāmaḥ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"12"</w:t>
      </w:r>
      <w:r>
        <w:rPr>
          <w:rStyle w:val="Code"/>
        </w:rPr>
        <w:t xml:space="preserve"> </w:t>
      </w:r>
      <w:r>
        <w:rPr>
          <w:rStyle w:val="Codeattribute"/>
        </w:rPr>
        <w:t>unit</w:t>
      </w:r>
      <w:r>
        <w:rPr>
          <w:rStyle w:val="Code"/>
        </w:rPr>
        <w:t>=</w:t>
      </w:r>
      <w:r>
        <w:rPr>
          <w:rStyle w:val="Codevalue"/>
        </w:rPr>
        <w:t>"character"</w:t>
      </w:r>
      <w:r>
        <w:rPr>
          <w:rStyle w:val="Code"/>
        </w:rPr>
        <w:t>/&gt;</w:t>
      </w:r>
      <w:r>
        <w:t xml:space="preserve"> in the edition</w:t>
      </w:r>
    </w:p>
    <w:p w14:paraId="45B89B58" w14:textId="77777777">
      <w:pPr>
        <w:pStyle w:val="Lista3"/>
      </w:pPr>
      <w:r>
        <w:t xml:space="preserve">as well as to </w:t>
      </w:r>
      <w:r>
        <w:rPr>
          <w:rStyle w:val="Codetext"/>
        </w:rPr>
        <w:t xml:space="preserve">...vaṭatīrthaṁ nāma grāmaḥ </w:t>
      </w:r>
      <w:r>
        <w:rPr>
          <w:rStyle w:val="Code"/>
        </w:rPr>
        <w:t xml:space="preserve">&lt;gap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"12"</w:t>
      </w:r>
      <w:r>
        <w:rPr>
          <w:rStyle w:val="Code"/>
        </w:rPr>
        <w:t xml:space="preserve"> </w:t>
      </w:r>
      <w:r>
        <w:rPr>
          <w:rStyle w:val="Codeattribute"/>
        </w:rPr>
        <w:t>unit</w:t>
      </w:r>
      <w:r>
        <w:rPr>
          <w:rStyle w:val="Code"/>
        </w:rPr>
        <w:t>=</w:t>
      </w:r>
      <w:r>
        <w:rPr>
          <w:rStyle w:val="Codevalue"/>
        </w:rPr>
        <w:t>"character"</w:t>
      </w:r>
      <w:r>
        <w:rPr>
          <w:rStyle w:val="Code"/>
        </w:rPr>
        <w:t>/&gt;</w:t>
      </w:r>
      <w:r>
        <w:t xml:space="preserve"> in the edition</w:t>
      </w:r>
    </w:p>
    <w:p w14:paraId="562C6B04" w14:textId="149F8CE8">
      <w:pPr>
        <w:pStyle w:val="Lista"/>
      </w:pPr>
      <w:r>
        <w:t>as per §</w:t>
      </w:r>
      <w:r>
        <w:fldChar w:fldCharType="begin"/>
      </w:r>
      <w:r>
        <w:instrText xml:space="preserve"> REF _Ref233988179 \r \h </w:instrText>
      </w:r>
      <w:r>
        <w:fldChar w:fldCharType="separate"/>
      </w:r>
      <w:r>
        <w:t>11.4.4</w:t>
      </w:r>
      <w:r>
        <w:fldChar w:fldCharType="end"/>
      </w:r>
      <w:r>
        <w:t xml:space="preserve">, distinguish tentative restorations by using </w:t>
      </w:r>
      <w:r>
        <w:rPr>
          <w:rStyle w:val="Codeattribute"/>
        </w:rPr>
        <w:t>@cert</w:t>
      </w:r>
      <w:r>
        <w:rPr>
          <w:rStyle w:val="Code"/>
        </w:rPr>
        <w:t>=</w:t>
      </w:r>
      <w:r>
        <w:rPr>
          <w:rStyle w:val="Codevalue"/>
        </w:rPr>
        <w:t>"low"</w:t>
      </w:r>
      <w:r>
        <w:t xml:space="preserve"> </w:t>
      </w:r>
    </w:p>
    <w:p w14:paraId="01124F73" w14:textId="77777777">
      <w:pPr>
        <w:pStyle w:val="Cmsor4"/>
      </w:pPr>
      <w:r>
        <w:t>Restoration of omitted text</w:t>
      </w:r>
    </w:p>
    <w:p w14:paraId="367E9DD5" w14:textId="7A704014">
      <w:pPr>
        <w:rPr>
          <w:lang w:eastAsia="en-US" w:bidi="ar-SA"/>
        </w:rPr>
      </w:pPr>
      <w:r>
        <w:rPr>
          <w:lang w:eastAsia="en-US" w:bidi="ar-SA"/>
        </w:rPr>
        <w:t>From the perspective of the translation, omitted text is any meaningful and translatable segment that is not present in the source as received but, according to the editor, should have been written and was omitted due to scribal mistake. As with the restoration of lost text (§</w:t>
      </w:r>
      <w:r>
        <w:rPr>
          <w:lang w:eastAsia="en-US" w:bidi="ar-SA"/>
        </w:rPr>
        <w:fldChar w:fldCharType="begin"/>
      </w:r>
      <w:r>
        <w:rPr>
          <w:lang w:eastAsia="en-US" w:bidi="ar-SA"/>
        </w:rPr>
        <w:instrText xml:space="preserve"> REF _Ref233292320 \r \h </w:instrText>
      </w:r>
      <w:r>
        <w:rPr>
          <w:lang w:eastAsia="en-US" w:bidi="ar-SA"/>
        </w:rPr>
      </w:r>
      <w:r>
        <w:rPr>
          <w:lang w:eastAsia="en-US" w:bidi="ar-SA"/>
        </w:rPr>
        <w:fldChar w:fldCharType="separate"/>
      </w:r>
      <w:r>
        <w:rPr>
          <w:lang w:eastAsia="en-US" w:bidi="ar-SA"/>
        </w:rPr>
        <w:t>11.4.2.3</w:t>
      </w:r>
      <w:r>
        <w:rPr>
          <w:lang w:eastAsia="en-US" w:bidi="ar-SA"/>
        </w:rPr>
        <w:fldChar w:fldCharType="end"/>
      </w:r>
      <w:r>
        <w:rPr>
          <w:lang w:eastAsia="en-US" w:bidi="ar-SA"/>
        </w:rPr>
        <w:t>), omissions smaller than words do not necessarily require markup in translation, and words may be restored in a translation even if they are not restored in the edition.</w:t>
      </w:r>
    </w:p>
    <w:p w14:paraId="3279D0EB" w14:textId="77777777">
      <w:pPr>
        <w:pStyle w:val="Lista"/>
      </w:pPr>
      <w:r>
        <w:t xml:space="preserve">for omitted text restored in the translation, use </w:t>
      </w:r>
      <w:r>
        <w:rPr>
          <w:rStyle w:val="Code"/>
        </w:rPr>
        <w:t xml:space="preserve">&lt;supplied </w:t>
      </w:r>
      <w:r>
        <w:rPr>
          <w:rStyle w:val="Codeattribute"/>
        </w:rPr>
        <w:t>reason</w:t>
      </w:r>
      <w:r>
        <w:rPr>
          <w:rStyle w:val="Code"/>
        </w:rPr>
        <w:t>=</w:t>
      </w:r>
      <w:r>
        <w:rPr>
          <w:rStyle w:val="Codevalue"/>
        </w:rPr>
        <w:t>"omitted"</w:t>
      </w:r>
      <w:r>
        <w:rPr>
          <w:rStyle w:val="Code"/>
        </w:rPr>
        <w:t>&gt;</w:t>
      </w:r>
      <w:r>
        <w:t>, for example</w:t>
      </w:r>
    </w:p>
    <w:p w14:paraId="065092D4" w14:textId="77777777">
      <w:pPr>
        <w:pStyle w:val="Lista2"/>
      </w:pPr>
      <w:r>
        <w:rPr>
          <w:rStyle w:val="Codetext"/>
        </w:rPr>
        <w:t xml:space="preserve">The truest of </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kings</w:t>
      </w:r>
      <w:r>
        <w:rPr>
          <w:rStyle w:val="Code"/>
        </w:rPr>
        <w:t>&lt;/supplied&gt;</w:t>
      </w:r>
      <w:r>
        <w:rPr>
          <w:rStyle w:val="Codetext"/>
        </w:rPr>
        <w:t>...</w:t>
      </w:r>
      <w:r>
        <w:t xml:space="preserve"> </w:t>
      </w:r>
    </w:p>
    <w:p w14:paraId="5C1D7F1E" w14:textId="77777777">
      <w:pPr>
        <w:pStyle w:val="Lista3"/>
      </w:pPr>
      <w:r>
        <w:t xml:space="preserve">corresponding to </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nr̥pa</w:t>
      </w:r>
      <w:r>
        <w:rPr>
          <w:rStyle w:val="Code"/>
        </w:rPr>
        <w:t>&lt;/supplied&gt;</w:t>
      </w:r>
      <w:r>
        <w:rPr>
          <w:rStyle w:val="Codetext"/>
        </w:rPr>
        <w:t>-sattamaḥ</w:t>
      </w:r>
      <w:r>
        <w:t xml:space="preserve"> in the edition</w:t>
      </w:r>
    </w:p>
    <w:p w14:paraId="72A29343" w14:textId="1269C210">
      <w:pPr>
        <w:pStyle w:val="Lista"/>
      </w:pPr>
      <w:r>
        <w:t>as per §</w:t>
      </w:r>
      <w:r>
        <w:fldChar w:fldCharType="begin"/>
      </w:r>
      <w:r>
        <w:instrText xml:space="preserve"> REF _Ref233988179 \r \h </w:instrText>
      </w:r>
      <w:r>
        <w:fldChar w:fldCharType="separate"/>
      </w:r>
      <w:r>
        <w:t>11.4.4</w:t>
      </w:r>
      <w:r>
        <w:fldChar w:fldCharType="end"/>
      </w:r>
      <w:r>
        <w:t xml:space="preserve">, distinguish tentative restorations by using </w:t>
      </w:r>
      <w:r>
        <w:rPr>
          <w:rStyle w:val="Codeattribute"/>
        </w:rPr>
        <w:t>@cert</w:t>
      </w:r>
      <w:r>
        <w:rPr>
          <w:rStyle w:val="Code"/>
        </w:rPr>
        <w:t>=</w:t>
      </w:r>
      <w:r>
        <w:rPr>
          <w:rStyle w:val="Codevalue"/>
        </w:rPr>
        <w:t>"low"</w:t>
      </w:r>
      <w:r>
        <w:t xml:space="preserve"> </w:t>
      </w:r>
    </w:p>
    <w:p w14:paraId="61F86AB9" w14:textId="77777777">
      <w:pPr>
        <w:pStyle w:val="Cmsor3"/>
      </w:pPr>
      <w:bookmarkStart w:id="872" w:name="_Ref43990112"/>
      <w:bookmarkStart w:id="873" w:name="_Toc243922761"/>
      <w:r>
        <w:t>Gaps in the translation</w:t>
      </w:r>
      <w:bookmarkEnd w:id="872"/>
      <w:bookmarkEnd w:id="873"/>
    </w:p>
    <w:p w14:paraId="12231EF1" w14:textId="77777777">
      <w:pPr>
        <w:rPr>
          <w:lang w:eastAsia="en-US" w:bidi="ar-SA"/>
        </w:rPr>
      </w:pPr>
      <w:r>
        <w:rPr>
          <w:lang w:eastAsia="en-US" w:bidi="ar-SA"/>
        </w:rPr>
        <w:t xml:space="preserve">Gaps in the translation, i.e. spots where there is no translated text even though text is or once was present in the source, are encoded using the element </w:t>
      </w:r>
      <w:r>
        <w:rPr>
          <w:rStyle w:val="Code"/>
        </w:rPr>
        <w:t>&lt;gap&gt;</w:t>
      </w:r>
      <w:r>
        <w:t>, with attributes as described in the following subsections.</w:t>
      </w:r>
    </w:p>
    <w:p w14:paraId="6866ADF5" w14:textId="77777777">
      <w:pPr>
        <w:pStyle w:val="Cmsor4"/>
      </w:pPr>
      <w:r>
        <w:lastRenderedPageBreak/>
        <w:t>Lacunae in the translated text</w:t>
      </w:r>
    </w:p>
    <w:p w14:paraId="462C88DD" w14:textId="7702D33B">
      <w:pPr>
        <w:pStyle w:val="Lista"/>
      </w:pPr>
      <w:r>
        <w:t xml:space="preserve">when a translation has a gap because there is a lacuna in the source, use the element </w:t>
      </w:r>
      <w:r>
        <w:rPr>
          <w:rStyle w:val="Code"/>
        </w:rPr>
        <w:t>&lt;gap&gt;</w:t>
      </w:r>
      <w:r>
        <w:t xml:space="preserve"> with the same values of </w:t>
      </w:r>
      <w:r>
        <w:rPr>
          <w:rStyle w:val="Codeattribute"/>
        </w:rPr>
        <w:t>@reason</w:t>
      </w:r>
      <w:r>
        <w:t xml:space="preserve"> as those encoded on the lacuna in the edition (as per §</w:t>
      </w:r>
      <w:r>
        <w:fldChar w:fldCharType="begin"/>
      </w:r>
      <w:r>
        <w:instrText xml:space="preserve"> REF _Ref43987758 \w \h  \* MERGEFORMAT </w:instrText>
      </w:r>
      <w:r>
        <w:fldChar w:fldCharType="separate"/>
      </w:r>
      <w:r>
        <w:t>6.5.1.1</w:t>
      </w:r>
      <w:r>
        <w:fldChar w:fldCharType="end"/>
      </w:r>
      <w:r>
        <w:t xml:space="preserve">), namely </w:t>
      </w:r>
      <w:r>
        <w:rPr>
          <w:rStyle w:val="Codevalue"/>
        </w:rPr>
        <w:t>"lost"</w:t>
      </w:r>
      <w:r>
        <w:t xml:space="preserve">, </w:t>
      </w:r>
      <w:r>
        <w:rPr>
          <w:rStyle w:val="Codevalue"/>
        </w:rPr>
        <w:t>"illegible"</w:t>
      </w:r>
      <w:r>
        <w:t xml:space="preserve"> or </w:t>
      </w:r>
      <w:r>
        <w:rPr>
          <w:rStyle w:val="Codevalue"/>
        </w:rPr>
        <w:t>"undefined"</w:t>
      </w:r>
    </w:p>
    <w:p w14:paraId="358B5F9A" w14:textId="77777777">
      <w:pPr>
        <w:pStyle w:val="Lista2"/>
      </w:pPr>
      <w:r>
        <w:t xml:space="preserve">it is not mandatory to encode the size of the lacuna in the edition, so </w:t>
      </w:r>
      <w:r>
        <w:rPr>
          <w:rStyle w:val="Code"/>
        </w:rPr>
        <w:t>&lt;gap&gt;</w:t>
      </w:r>
      <w:r>
        <w:t xml:space="preserve"> may be used without any additional attributes</w:t>
      </w:r>
    </w:p>
    <w:p w14:paraId="3EDF5E34" w14:textId="20E96866">
      <w:pPr>
        <w:pStyle w:val="Lista2"/>
      </w:pPr>
      <w:r>
        <w:t xml:space="preserve">however, when you deem it essential to present accurate details of a lacuna in the translated text, you may optionally use the attributes </w:t>
      </w:r>
      <w:r>
        <w:rPr>
          <w:rStyle w:val="Codeattribute"/>
        </w:rPr>
        <w:t>@unit</w:t>
      </w:r>
      <w:r>
        <w:t xml:space="preserve">, </w:t>
      </w:r>
      <w:r>
        <w:rPr>
          <w:rStyle w:val="Codeattribute"/>
        </w:rPr>
        <w:t>@quantity</w:t>
      </w:r>
      <w:r>
        <w:t xml:space="preserve"> and </w:t>
      </w:r>
      <w:r>
        <w:rPr>
          <w:rStyle w:val="Codeattribute"/>
        </w:rPr>
        <w:t>@precision</w:t>
      </w:r>
      <w:r>
        <w:t xml:space="preserve"> as set out in §</w:t>
      </w:r>
      <w:r>
        <w:fldChar w:fldCharType="begin"/>
      </w:r>
      <w:r>
        <w:instrText xml:space="preserve"> REF _Ref228262228 \r \h </w:instrText>
      </w:r>
      <w:r>
        <w:fldChar w:fldCharType="separate"/>
      </w:r>
      <w:r>
        <w:t>6.5.1.2</w:t>
      </w:r>
      <w:r>
        <w:fldChar w:fldCharType="end"/>
      </w:r>
      <w:r>
        <w:t>, with the following additional considerations:</w:t>
      </w:r>
    </w:p>
    <w:p w14:paraId="1A2DC0C4" w14:textId="77777777">
      <w:pPr>
        <w:pStyle w:val="Lista3"/>
      </w:pPr>
      <w:r>
        <w:t xml:space="preserve">fractional numbers </w:t>
      </w:r>
      <w:r>
        <w:rPr>
          <w:noProof/>
        </w:rPr>
        <w:t>(</w:t>
      </w:r>
      <w:r>
        <w:t xml:space="preserve">decimal fractions) for </w:t>
      </w:r>
      <w:r>
        <w:rPr>
          <w:rStyle w:val="Codeattribute"/>
        </w:rPr>
        <w:t>@quantity</w:t>
      </w:r>
      <w:r>
        <w:t xml:space="preserve"> are permitted in this case, even though they cannot be used in the edition</w:t>
      </w:r>
    </w:p>
    <w:p w14:paraId="6848EACE" w14:textId="77777777">
      <w:pPr>
        <w:pStyle w:val="Lista3"/>
      </w:pPr>
      <w:r>
        <w:rPr>
          <w:rStyle w:val="Codeattribute"/>
        </w:rPr>
        <w:t>@unit</w:t>
      </w:r>
      <w:r>
        <w:t xml:space="preserve"> may be </w:t>
      </w:r>
      <w:r>
        <w:rPr>
          <w:rStyle w:val="Codevalue"/>
        </w:rPr>
        <w:t>"line"</w:t>
      </w:r>
      <w:r>
        <w:t xml:space="preserve"> even if a multiline lacuna is represented in the edition as a series of inline lacunae</w:t>
      </w:r>
    </w:p>
    <w:p w14:paraId="5064C53D" w14:textId="77777777">
      <w:pPr>
        <w:pStyle w:val="Lista3"/>
      </w:pPr>
      <w:r>
        <w:t xml:space="preserve">no other methods of lacuna markup shall be used in translations, i.e. avoid the use of </w:t>
      </w:r>
      <w:r>
        <w:rPr>
          <w:rStyle w:val="Codeattribute"/>
        </w:rPr>
        <w:t>@extent</w:t>
      </w:r>
      <w:r>
        <w:t xml:space="preserve"> and the encoding of </w:t>
      </w:r>
      <w:r>
        <w:rPr>
          <w:noProof/>
        </w:rPr>
        <w:t>sub-</w:t>
      </w:r>
      <w:r>
        <w:rPr>
          <w:rStyle w:val="Foreign"/>
        </w:rPr>
        <w:t>akṣara</w:t>
      </w:r>
      <w:r>
        <w:t xml:space="preserve"> lacunae</w:t>
      </w:r>
    </w:p>
    <w:p w14:paraId="44EF9E49" w14:textId="77777777">
      <w:pPr>
        <w:pStyle w:val="Cmsor4"/>
      </w:pPr>
      <w:bookmarkStart w:id="874" w:name="_Ref233295555"/>
      <w:r>
        <w:t>Unintelligible source text</w:t>
      </w:r>
      <w:bookmarkEnd w:id="874"/>
    </w:p>
    <w:p w14:paraId="37982A4A" w14:textId="77777777">
      <w:pPr>
        <w:pStyle w:val="Lista"/>
      </w:pPr>
      <w:r>
        <w:t xml:space="preserve">when a translation has a gap because part of the source text cannot be interpreted to produce even a tentative translation, use the element </w:t>
      </w:r>
      <w:r>
        <w:rPr>
          <w:rStyle w:val="Code"/>
        </w:rPr>
        <w:t>&lt;gap&gt;</w:t>
      </w:r>
      <w:r>
        <w:t xml:space="preserve"> with </w:t>
      </w:r>
      <w:r>
        <w:rPr>
          <w:rStyle w:val="Codeattribute"/>
        </w:rPr>
        <w:t>@reason=</w:t>
      </w:r>
      <w:r>
        <w:rPr>
          <w:rStyle w:val="Codevalue"/>
        </w:rPr>
        <w:t>"ellipsis"</w:t>
      </w:r>
      <w:r>
        <w:t xml:space="preserve">, without any further attributes </w:t>
      </w:r>
    </w:p>
    <w:p w14:paraId="639B3591" w14:textId="77777777">
      <w:pPr>
        <w:pStyle w:val="Lista"/>
      </w:pPr>
      <w:r>
        <w:t>after this element, insert either or both of the following</w:t>
      </w:r>
    </w:p>
    <w:p w14:paraId="5462EFF7" w14:textId="60369F1D">
      <w:pPr>
        <w:pStyle w:val="Lista2"/>
      </w:pPr>
      <w:r>
        <w:t>the verbatim received text encoded as an explanatory addition to the translation (§</w:t>
      </w:r>
      <w:r>
        <w:fldChar w:fldCharType="begin"/>
      </w:r>
      <w:r>
        <w:instrText xml:space="preserve"> REF _Ref233288292 \r \h </w:instrText>
      </w:r>
      <w:r>
        <w:fldChar w:fldCharType="separate"/>
      </w:r>
      <w:r>
        <w:t>11.4.2.2</w:t>
      </w:r>
      <w:r>
        <w:fldChar w:fldCharType="end"/>
      </w:r>
      <w:r>
        <w:t>)</w:t>
      </w:r>
    </w:p>
    <w:p w14:paraId="729CACF8" w14:textId="77777777">
      <w:pPr>
        <w:pStyle w:val="Lista3"/>
      </w:pPr>
      <w:r>
        <w:t xml:space="preserve">e.g. </w:t>
      </w:r>
      <w:r>
        <w:rPr>
          <w:rStyle w:val="Codetext"/>
        </w:rPr>
        <w:t>To the east, the</w:t>
      </w:r>
      <w:r>
        <w:rPr>
          <w:rStyle w:val="Code"/>
        </w:rPr>
        <w:t xml:space="preserve"> &lt;gap </w:t>
      </w:r>
      <w:r>
        <w:rPr>
          <w:rStyle w:val="Codeattribute"/>
        </w:rPr>
        <w:t>reason=</w:t>
      </w:r>
      <w:r>
        <w:rPr>
          <w:rStyle w:val="Codevalue"/>
        </w:rPr>
        <w:t>"ellipsis"</w:t>
      </w:r>
      <w:r>
        <w:rPr>
          <w:rStyle w:val="Code"/>
        </w:rPr>
        <w:t>/&gt;</w:t>
      </w:r>
      <w:r>
        <w:rPr>
          <w:rStyle w:val="Codetext"/>
        </w:rPr>
        <w:t xml:space="preserve"> </w:t>
      </w:r>
      <w:r>
        <w:rPr>
          <w:rStyle w:val="Code"/>
        </w:rPr>
        <w:t xml:space="preserve">&lt;supplied </w:t>
      </w:r>
      <w:r>
        <w:rPr>
          <w:rStyle w:val="Codeattribute"/>
        </w:rPr>
        <w:t>reason=</w:t>
      </w:r>
      <w:r>
        <w:rPr>
          <w:rStyle w:val="Codevalue"/>
        </w:rPr>
        <w:t>"explanation"</w:t>
      </w:r>
      <w:r>
        <w:rPr>
          <w:rStyle w:val="Code"/>
        </w:rPr>
        <w:t>&gt;&lt;foreign&gt;majjaya-paṭu&lt;/foreign&gt;&lt;/supplied&gt;</w:t>
      </w:r>
      <w:r>
        <w:rPr>
          <w:rStyle w:val="Codetext"/>
        </w:rPr>
        <w:t xml:space="preserve"> of Badirāla</w:t>
      </w:r>
    </w:p>
    <w:p w14:paraId="7FA4A8EA" w14:textId="019E20EA">
      <w:pPr>
        <w:pStyle w:val="Lista2"/>
      </w:pPr>
      <w:r>
        <w:t xml:space="preserve">a </w:t>
      </w:r>
      <w:r>
        <w:rPr>
          <w:rStyle w:val="Code"/>
        </w:rPr>
        <w:t>&lt;note&gt;</w:t>
      </w:r>
      <w:r>
        <w:t xml:space="preserve"> element (§</w:t>
      </w:r>
      <w:r>
        <w:fldChar w:fldCharType="begin"/>
      </w:r>
      <w:r>
        <w:instrText xml:space="preserve"> REF _Ref43989684 \r \h </w:instrText>
      </w:r>
      <w:r>
        <w:fldChar w:fldCharType="separate"/>
      </w:r>
      <w:r>
        <w:t>14.5</w:t>
      </w:r>
      <w:r>
        <w:fldChar w:fldCharType="end"/>
      </w:r>
      <w:r>
        <w:t>) to explain the nature of the unintelligible segment</w:t>
      </w:r>
    </w:p>
    <w:p w14:paraId="6AF11EE7" w14:textId="77777777">
      <w:pPr>
        <w:pStyle w:val="Cmsor4"/>
      </w:pPr>
      <w:bookmarkStart w:id="875" w:name="_Ref233298630"/>
      <w:r>
        <w:t>Passages omitted from translation</w:t>
      </w:r>
      <w:bookmarkEnd w:id="875"/>
    </w:p>
    <w:p w14:paraId="3F3B7489" w14:textId="77777777">
      <w:r>
        <w:rPr>
          <w:lang w:eastAsia="en-US" w:bidi="ar-SA"/>
        </w:rPr>
        <w:t xml:space="preserve">Translations, especially previously published translations, may contain gaps for no particular reason, primarily when a segment of the text was considered </w:t>
      </w:r>
      <w:r>
        <w:t>too trivial to translate.</w:t>
      </w:r>
    </w:p>
    <w:p w14:paraId="66F285E8" w14:textId="77777777">
      <w:pPr>
        <w:pStyle w:val="Lista"/>
      </w:pPr>
      <w:r>
        <w:t xml:space="preserve">when a translation has a gap for reasons other than a lacuna in the source or unintelligible source text, use the element </w:t>
      </w:r>
      <w:r>
        <w:rPr>
          <w:rStyle w:val="Code"/>
        </w:rPr>
        <w:t>&lt;gap&gt;</w:t>
      </w:r>
      <w:r>
        <w:t xml:space="preserve"> with </w:t>
      </w:r>
      <w:r>
        <w:rPr>
          <w:rStyle w:val="Codeattribute"/>
        </w:rPr>
        <w:t>@reason=</w:t>
      </w:r>
      <w:r>
        <w:rPr>
          <w:rStyle w:val="Codevalue"/>
        </w:rPr>
        <w:t>"ellipsis"</w:t>
      </w:r>
      <w:r>
        <w:t>, without any further attributes</w:t>
      </w:r>
    </w:p>
    <w:p w14:paraId="010802D5" w14:textId="76E28900">
      <w:pPr>
        <w:pStyle w:val="Lista"/>
      </w:pPr>
      <w:r>
        <w:t xml:space="preserve">preferably, after the </w:t>
      </w:r>
      <w:r>
        <w:rPr>
          <w:rStyle w:val="Code"/>
        </w:rPr>
        <w:t>&lt;supplied&gt;</w:t>
      </w:r>
      <w:r>
        <w:t xml:space="preserve"> element, add a </w:t>
      </w:r>
      <w:r>
        <w:rPr>
          <w:rStyle w:val="Code"/>
        </w:rPr>
        <w:t>&lt;note&gt;</w:t>
      </w:r>
      <w:r>
        <w:t xml:space="preserve"> element (§</w:t>
      </w:r>
      <w:r>
        <w:fldChar w:fldCharType="begin"/>
      </w:r>
      <w:r>
        <w:instrText xml:space="preserve"> REF _Ref43989684 \r \h </w:instrText>
      </w:r>
      <w:r>
        <w:fldChar w:fldCharType="separate"/>
      </w:r>
      <w:r>
        <w:t>14.5</w:t>
      </w:r>
      <w:r>
        <w:fldChar w:fldCharType="end"/>
      </w:r>
      <w:r>
        <w:t>) with an explanation of why the text has not been translated</w:t>
      </w:r>
    </w:p>
    <w:p w14:paraId="2B6147EC" w14:textId="77777777">
      <w:pPr>
        <w:pStyle w:val="Cmsor3"/>
      </w:pPr>
      <w:bookmarkStart w:id="876" w:name="_ch9cnmcz0pvb" w:colFirst="0" w:colLast="0"/>
      <w:bookmarkStart w:id="877" w:name="_lqyt4grwngxw" w:colFirst="0" w:colLast="0"/>
      <w:bookmarkStart w:id="878" w:name="_Ref233988179"/>
      <w:bookmarkStart w:id="879" w:name="_Toc243922762"/>
      <w:bookmarkEnd w:id="862"/>
      <w:bookmarkEnd w:id="876"/>
      <w:bookmarkEnd w:id="877"/>
      <w:r>
        <w:t>Tentative translation</w:t>
      </w:r>
      <w:bookmarkEnd w:id="878"/>
      <w:bookmarkEnd w:id="879"/>
    </w:p>
    <w:p w14:paraId="4E10F875" w14:textId="77777777">
      <w:pPr>
        <w:rPr>
          <w:lang w:eastAsia="en-US" w:bidi="ar-SA"/>
        </w:rPr>
      </w:pPr>
      <w:r>
        <w:rPr>
          <w:lang w:eastAsia="en-US" w:bidi="ar-SA"/>
        </w:rPr>
        <w:t>When the source is difficult to interpret and a word, phrase or passage of your translation is tentative or reflects only one of several possible interpretations, encode this as follows.</w:t>
      </w:r>
    </w:p>
    <w:p w14:paraId="7C189008" w14:textId="77777777">
      <w:pPr>
        <w:pStyle w:val="Lista"/>
      </w:pPr>
      <w:r>
        <w:t xml:space="preserve">for the tentative translation of words and phrases present in the source as received, wrap the relevant part of the translation in the element </w:t>
      </w:r>
      <w:r>
        <w:rPr>
          <w:rStyle w:val="Code"/>
        </w:rPr>
        <w:t>&lt;seg&gt;</w:t>
      </w:r>
      <w:r>
        <w:t xml:space="preserve"> with the mandatory attribute </w:t>
      </w:r>
      <w:r>
        <w:rPr>
          <w:rStyle w:val="Codeattribute"/>
        </w:rPr>
        <w:t>@cert</w:t>
      </w:r>
      <w:r>
        <w:rPr>
          <w:rStyle w:val="Code"/>
        </w:rPr>
        <w:t>=</w:t>
      </w:r>
      <w:r>
        <w:rPr>
          <w:rStyle w:val="Codevalue"/>
        </w:rPr>
        <w:t>"low"</w:t>
      </w:r>
    </w:p>
    <w:p w14:paraId="555A7E3D" w14:textId="77777777">
      <w:pPr>
        <w:pStyle w:val="Lista2"/>
      </w:pPr>
      <w:r>
        <w:t xml:space="preserve">e.g.  </w:t>
      </w:r>
      <w:r>
        <w:rPr>
          <w:rStyle w:val="Code"/>
        </w:rPr>
        <w:t>&lt;p&gt;</w:t>
      </w:r>
      <w:r>
        <w:rPr>
          <w:rStyle w:val="Codetext"/>
        </w:rPr>
        <w:t xml:space="preserve">Out of the hundred and </w:t>
      </w:r>
      <w:r>
        <w:rPr>
          <w:rStyle w:val="Code"/>
        </w:rPr>
        <w:t xml:space="preserve">&lt;seg </w:t>
      </w:r>
      <w:r>
        <w:rPr>
          <w:rStyle w:val="Codeattribute"/>
        </w:rPr>
        <w:t>cert</w:t>
      </w:r>
      <w:r>
        <w:rPr>
          <w:rStyle w:val="Code"/>
        </w:rPr>
        <w:t>=</w:t>
      </w:r>
      <w:r>
        <w:rPr>
          <w:rStyle w:val="Codevalue"/>
        </w:rPr>
        <w:t>"low"</w:t>
      </w:r>
      <w:r>
        <w:rPr>
          <w:rStyle w:val="Code"/>
        </w:rPr>
        <w:t>&gt;</w:t>
      </w:r>
      <w:r>
        <w:rPr>
          <w:rStyle w:val="Codetext"/>
        </w:rPr>
        <w:t>twenty</w:t>
      </w:r>
      <w:r>
        <w:rPr>
          <w:rStyle w:val="Code"/>
        </w:rPr>
        <w:t>&lt;/seg&gt;</w:t>
      </w:r>
      <w:r>
        <w:rPr>
          <w:rStyle w:val="Codetext"/>
        </w:rPr>
        <w:t xml:space="preserve"> shares comprising this village ... </w:t>
      </w:r>
      <w:r>
        <w:rPr>
          <w:rStyle w:val="Code"/>
        </w:rPr>
        <w:t>&lt;/p&gt;</w:t>
      </w:r>
    </w:p>
    <w:p w14:paraId="0BA9C367" w14:textId="77777777">
      <w:pPr>
        <w:pStyle w:val="Lista2"/>
      </w:pPr>
      <w:r>
        <w:t xml:space="preserve">use this method regardless of whether the tentativeness of your translation stems from the condition of the original </w:t>
      </w:r>
      <w:r>
        <w:rPr>
          <w:noProof/>
        </w:rPr>
        <w:t>(</w:t>
      </w:r>
      <w:r>
        <w:t>e.g. partly or wholly unclear, illegible or restored) or from the obscurity of its language</w:t>
      </w:r>
    </w:p>
    <w:p w14:paraId="0ABA06B6" w14:textId="285939FD">
      <w:pPr>
        <w:pStyle w:val="Lista"/>
      </w:pPr>
      <w:r>
        <w:t>for words and phrases not present in the received source but supplied in the translation (§</w:t>
      </w:r>
      <w:r>
        <w:fldChar w:fldCharType="begin"/>
      </w:r>
      <w:r>
        <w:instrText xml:space="preserve"> REF _Ref233295943 \r \h </w:instrText>
      </w:r>
      <w:r>
        <w:fldChar w:fldCharType="separate"/>
      </w:r>
      <w:r>
        <w:t>11.4.2</w:t>
      </w:r>
      <w:r>
        <w:fldChar w:fldCharType="end"/>
      </w:r>
      <w:r>
        <w:t xml:space="preserve">), add </w:t>
      </w:r>
      <w:bookmarkStart w:id="880" w:name="_Hlk233290745"/>
      <w:r>
        <w:rPr>
          <w:rStyle w:val="Codeattribute"/>
        </w:rPr>
        <w:t>@cert</w:t>
      </w:r>
      <w:r>
        <w:rPr>
          <w:rStyle w:val="Code"/>
        </w:rPr>
        <w:t>=</w:t>
      </w:r>
      <w:r>
        <w:rPr>
          <w:rStyle w:val="Codevalue"/>
        </w:rPr>
        <w:t>"low"</w:t>
      </w:r>
      <w:bookmarkEnd w:id="880"/>
      <w:r>
        <w:t xml:space="preserve"> to the relevant </w:t>
      </w:r>
      <w:r>
        <w:rPr>
          <w:rStyle w:val="Code"/>
        </w:rPr>
        <w:t>&lt;supplied&gt;</w:t>
      </w:r>
      <w:r>
        <w:t xml:space="preserve"> element to indicate its tentative nature</w:t>
      </w:r>
    </w:p>
    <w:p w14:paraId="1DA021C0" w14:textId="77777777">
      <w:pPr>
        <w:pStyle w:val="Lista2"/>
      </w:pPr>
      <w:r>
        <w:t xml:space="preserve">e.g. </w:t>
      </w:r>
      <w:r>
        <w:rPr>
          <w:rStyle w:val="Code"/>
        </w:rPr>
        <w:t>&lt;p&gt;</w:t>
      </w:r>
      <w:r>
        <w:rPr>
          <w:rStyle w:val="Codetext"/>
        </w:rPr>
        <w:t xml:space="preserve">On this day he </w:t>
      </w:r>
      <w:r>
        <w:rPr>
          <w:rStyle w:val="Code"/>
        </w:rPr>
        <w:t xml:space="preserve">&lt;supplied </w:t>
      </w:r>
      <w:r>
        <w:rPr>
          <w:rStyle w:val="Codeattribute"/>
        </w:rPr>
        <w:t>reason</w:t>
      </w:r>
      <w:r>
        <w:rPr>
          <w:rStyle w:val="Code"/>
        </w:rPr>
        <w:t>=</w:t>
      </w:r>
      <w:r>
        <w:rPr>
          <w:rStyle w:val="Codevalue"/>
        </w:rPr>
        <w:t>"explanation"</w:t>
      </w:r>
      <w:r>
        <w:rPr>
          <w:rStyle w:val="Code"/>
        </w:rPr>
        <w:t xml:space="preserve"> </w:t>
      </w:r>
      <w:r>
        <w:rPr>
          <w:rStyle w:val="Codeattribute"/>
        </w:rPr>
        <w:t>cert</w:t>
      </w:r>
      <w:r>
        <w:rPr>
          <w:rStyle w:val="Code"/>
        </w:rPr>
        <w:t>=</w:t>
      </w:r>
      <w:r>
        <w:rPr>
          <w:rStyle w:val="Codevalue"/>
        </w:rPr>
        <w:t>"low"</w:t>
      </w:r>
      <w:r>
        <w:rPr>
          <w:rStyle w:val="Code"/>
        </w:rPr>
        <w:t>&gt;</w:t>
      </w:r>
      <w:r>
        <w:rPr>
          <w:rStyle w:val="Codetext"/>
        </w:rPr>
        <w:t>Viṣṇuvardhana III</w:t>
      </w:r>
      <w:r>
        <w:rPr>
          <w:rStyle w:val="Code"/>
        </w:rPr>
        <w:t>&lt;/supplied&gt;</w:t>
      </w:r>
      <w:r>
        <w:rPr>
          <w:rStyle w:val="Codetext"/>
        </w:rPr>
        <w:t xml:space="preserve"> donated … </w:t>
      </w:r>
      <w:r>
        <w:rPr>
          <w:rStyle w:val="Code"/>
        </w:rPr>
        <w:t>&lt;/p&gt;</w:t>
      </w:r>
    </w:p>
    <w:p w14:paraId="233B8DFB" w14:textId="77777777">
      <w:pPr>
        <w:pStyle w:val="Cmsor3"/>
      </w:pPr>
      <w:bookmarkStart w:id="881" w:name="_7koll7kvgjet" w:colFirst="0" w:colLast="0"/>
      <w:bookmarkStart w:id="882" w:name="_Ref43990147"/>
      <w:bookmarkStart w:id="883" w:name="_Toc243922763"/>
      <w:bookmarkEnd w:id="881"/>
      <w:r>
        <w:lastRenderedPageBreak/>
        <w:t>Incorrect or unexpected text</w:t>
      </w:r>
      <w:bookmarkEnd w:id="882"/>
      <w:bookmarkEnd w:id="883"/>
    </w:p>
    <w:p w14:paraId="3EC297BF" w14:textId="77777777">
      <w:r>
        <w:t xml:space="preserve">When the source text is semantically inappropriate, incorrect or unexpected (e.g. on the basis of parallel texts) and you translate it literally, optionally wrap the corresponding translation in the element </w:t>
      </w:r>
      <w:r>
        <w:rPr>
          <w:rStyle w:val="Code"/>
        </w:rPr>
        <w:t>&lt;sic&gt;</w:t>
      </w:r>
      <w:r>
        <w:t xml:space="preserve"> to indicate that the translation corresponds to the source even though it is problematic.</w:t>
      </w:r>
    </w:p>
    <w:p w14:paraId="4A4451C1" w14:textId="77777777">
      <w:pPr>
        <w:pStyle w:val="Cmsor3"/>
      </w:pPr>
      <w:bookmarkStart w:id="884" w:name="_nmj09iowt53z" w:colFirst="0" w:colLast="0"/>
      <w:bookmarkStart w:id="885" w:name="_uuedk8qhkcii" w:colFirst="0" w:colLast="0"/>
      <w:bookmarkStart w:id="886" w:name="_Toc243922764"/>
      <w:bookmarkEnd w:id="884"/>
      <w:bookmarkEnd w:id="885"/>
      <w:r>
        <w:t>Bitextual translation</w:t>
      </w:r>
      <w:bookmarkEnd w:id="886"/>
    </w:p>
    <w:p w14:paraId="3A012B03" w14:textId="14A9F17B">
      <w:r>
        <w:rPr>
          <w:lang w:eastAsia="en-US" w:bidi="ar-SA"/>
        </w:rPr>
        <w:t xml:space="preserve">Our source texts frequently employ </w:t>
      </w:r>
      <w:r>
        <w:t xml:space="preserve">bitextuality </w:t>
      </w:r>
      <w:r>
        <w:rPr>
          <w:noProof/>
        </w:rPr>
        <w:t xml:space="preserve">(double entendre, </w:t>
      </w:r>
      <w:r>
        <w:rPr>
          <w:rStyle w:val="Foreign"/>
        </w:rPr>
        <w:t>śleṣa</w:t>
      </w:r>
      <w:r>
        <w:t xml:space="preserve">) as a poetic device. Depending on the nature of the bitextual phrase at hand and your personal translation style, double (or additional) meanings may be rendered in translation either as alternatives to specific parts of the translated text (as in </w:t>
      </w:r>
      <w:r>
        <w:fldChar w:fldCharType="begin"/>
      </w:r>
      <w:r>
        <w:instrText xml:space="preserve"> REF _Ref233296405 \h </w:instrText>
      </w:r>
      <w:r>
        <w:fldChar w:fldCharType="separate"/>
      </w:r>
      <w:r>
        <w:t xml:space="preserve">Exhibit </w:t>
      </w:r>
      <w:r>
        <w:rPr>
          <w:noProof/>
        </w:rPr>
        <w:t>11.4</w:t>
      </w:r>
      <w:r>
        <w:t>.</w:t>
      </w:r>
      <w:r>
        <w:rPr>
          <w:noProof/>
        </w:rPr>
        <w:t>B</w:t>
      </w:r>
      <w:r>
        <w:fldChar w:fldCharType="end"/>
      </w:r>
      <w:r>
        <w:t xml:space="preserve">) or integrated into a semantic whole (as in </w:t>
      </w:r>
      <w:r>
        <w:fldChar w:fldCharType="begin"/>
      </w:r>
      <w:r>
        <w:instrText xml:space="preserve"> REF _Ref233296432 \h </w:instrText>
      </w:r>
      <w:r>
        <w:fldChar w:fldCharType="separate"/>
      </w:r>
      <w:r>
        <w:t xml:space="preserve">Exhibit </w:t>
      </w:r>
      <w:r>
        <w:rPr>
          <w:noProof/>
        </w:rPr>
        <w:t>11.4</w:t>
      </w:r>
      <w:r>
        <w:t>.</w:t>
      </w:r>
      <w:r>
        <w:rPr>
          <w:noProof/>
        </w:rPr>
        <w:t>C</w:t>
      </w:r>
      <w:r>
        <w:fldChar w:fldCharType="end"/>
      </w:r>
      <w:r>
        <w:t>). Because of the potential complexity of such poetic expressions, we provide a single method for encoding the translation of bitextual readings. This encoding will not be machine-actionable and will occasionally leave some ambiguity that will have to be resolved by the human reader.</w:t>
      </w:r>
    </w:p>
    <w:p w14:paraId="59DBDA05" w14:textId="77777777">
      <w:pPr>
        <w:pStyle w:val="Lista"/>
      </w:pPr>
      <w:r>
        <w:t>in your translation, select one translation of the double entendre as the primary or more literal one</w:t>
      </w:r>
    </w:p>
    <w:p w14:paraId="6247DA0A" w14:textId="77777777">
      <w:pPr>
        <w:pStyle w:val="Lista2"/>
      </w:pPr>
      <w:r>
        <w:t>apply no markup to the primary translation</w:t>
      </w:r>
    </w:p>
    <w:p w14:paraId="7984A4DF" w14:textId="77777777">
      <w:pPr>
        <w:pStyle w:val="Lista"/>
      </w:pPr>
      <w:r>
        <w:t>any alternative translations of the same word or phrase will be designated as secondary</w:t>
      </w:r>
    </w:p>
    <w:p w14:paraId="0D639CE4" w14:textId="1D093B2C">
      <w:pPr>
        <w:pStyle w:val="Lista2"/>
      </w:pPr>
      <w:r>
        <w:rPr>
          <w:noProof/>
        </w:rPr>
        <w:t xml:space="preserve">wrap the translations of all </w:t>
      </w:r>
      <w:r>
        <w:t xml:space="preserve">secondary meanings in </w:t>
      </w:r>
      <w:r>
        <w:rPr>
          <w:rStyle w:val="Code"/>
        </w:rPr>
        <w:t xml:space="preserve">&lt;seg </w:t>
      </w:r>
      <w:r>
        <w:rPr>
          <w:rStyle w:val="Codeattribute"/>
        </w:rPr>
        <w:t>rend</w:t>
      </w:r>
      <w:r>
        <w:rPr>
          <w:rStyle w:val="Code"/>
        </w:rPr>
        <w:t>=</w:t>
      </w:r>
      <w:r>
        <w:rPr>
          <w:rStyle w:val="Codevalue"/>
        </w:rPr>
        <w:t>"pun"</w:t>
      </w:r>
      <w:r>
        <w:rPr>
          <w:rStyle w:val="Code"/>
        </w:rPr>
        <w:t>&gt;</w:t>
      </w:r>
    </w:p>
    <w:tbl>
      <w:tblPr>
        <w:tblStyle w:val="CodeSampleTable"/>
        <w:tblW w:w="5000" w:type="pct"/>
        <w:tblLook w:val="04A0" w:firstRow="1" w:lastRow="0" w:firstColumn="1" w:lastColumn="0" w:noHBand="0" w:noVBand="1"/>
      </w:tblPr>
      <w:tblGrid>
        <w:gridCol w:w="9628"/>
      </w:tblGrid>
      <w:tr w14:paraId="628E575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18691A6" w14:textId="34952157">
            <w:pPr>
              <w:pStyle w:val="Kpalrs"/>
            </w:pPr>
            <w:bookmarkStart w:id="887" w:name="_Ref233296405"/>
            <w:r>
              <w:t xml:space="preserve">Exhibit </w:t>
            </w:r>
            <w:fldSimple w:instr=" STYLEREF 2 \s ">
              <w:r>
                <w:rPr>
                  <w:noProof/>
                </w:rPr>
                <w:t>11.4</w:t>
              </w:r>
            </w:fldSimple>
            <w:r>
              <w:t>.</w:t>
            </w:r>
            <w:fldSimple w:instr=" SEQ Exhibit \* ALPHABETIC \s 2 ">
              <w:r>
                <w:rPr>
                  <w:noProof/>
                </w:rPr>
                <w:t>B</w:t>
              </w:r>
            </w:fldSimple>
            <w:bookmarkEnd w:id="887"/>
            <w:r>
              <w:t>: translation with bitextual words dispersed across a stretch of text</w:t>
            </w:r>
          </w:p>
        </w:tc>
      </w:tr>
      <w:tr w14:paraId="235B92FF" w14:textId="77777777">
        <w:tc>
          <w:tcPr>
            <w:tcW w:w="5000" w:type="pct"/>
          </w:tcPr>
          <w:p w14:paraId="09B94368" w14:textId="77777777">
            <w:pPr>
              <w:pStyle w:val="Tabletext"/>
              <w:rPr>
                <w:rStyle w:val="Foreign"/>
              </w:rPr>
            </w:pPr>
            <w:r>
              <w:rPr>
                <w:rStyle w:val="Foreign"/>
              </w:rPr>
              <w:t>meruṁ vividha-budha-samāśrayatayānukurvvaN</w:t>
            </w:r>
          </w:p>
        </w:tc>
      </w:tr>
      <w:tr w14:paraId="5AA4E40C" w14:textId="77777777">
        <w:tc>
          <w:tcPr>
            <w:tcW w:w="5000" w:type="pct"/>
          </w:tcPr>
          <w:p w14:paraId="0B230C8B" w14:textId="77777777">
            <w:pPr>
              <w:pStyle w:val="CodeParagraph"/>
            </w:pPr>
            <w:r>
              <w:rPr>
                <w:rStyle w:val="Codetext"/>
              </w:rPr>
              <w:t xml:space="preserve">... he resembles Mount Meru in being a supporter </w:t>
            </w:r>
            <w:r>
              <w:rPr>
                <w:rStyle w:val="Code"/>
              </w:rPr>
              <w:t xml:space="preserve">&lt;seg </w:t>
            </w:r>
            <w:r>
              <w:rPr>
                <w:rStyle w:val="Codeattribute"/>
              </w:rPr>
              <w:t>rend</w:t>
            </w:r>
            <w:r>
              <w:rPr>
                <w:rStyle w:val="Code"/>
              </w:rPr>
              <w:t>=</w:t>
            </w:r>
            <w:r>
              <w:rPr>
                <w:rStyle w:val="Codevalue"/>
              </w:rPr>
              <w:t>"pun"</w:t>
            </w:r>
            <w:r>
              <w:rPr>
                <w:rStyle w:val="Code"/>
              </w:rPr>
              <w:t>&gt;</w:t>
            </w:r>
            <w:r>
              <w:rPr>
                <w:rStyle w:val="Codetext"/>
              </w:rPr>
              <w:t>the abode</w:t>
            </w:r>
            <w:r>
              <w:rPr>
                <w:rStyle w:val="Code"/>
              </w:rPr>
              <w:t>&lt;/seg&gt;</w:t>
            </w:r>
            <w:r>
              <w:rPr>
                <w:rStyle w:val="Codetext"/>
              </w:rPr>
              <w:t xml:space="preserve"> of diverse learned men </w:t>
            </w:r>
            <w:r>
              <w:rPr>
                <w:rStyle w:val="Code"/>
              </w:rPr>
              <w:t xml:space="preserve">&lt;seg </w:t>
            </w:r>
            <w:r>
              <w:rPr>
                <w:rStyle w:val="Codeattribute"/>
              </w:rPr>
              <w:t>rend</w:t>
            </w:r>
            <w:r>
              <w:rPr>
                <w:rStyle w:val="Code"/>
              </w:rPr>
              <w:t>=</w:t>
            </w:r>
            <w:r>
              <w:rPr>
                <w:rStyle w:val="Codevalue"/>
              </w:rPr>
              <w:t>"pun"</w:t>
            </w:r>
            <w:r>
              <w:rPr>
                <w:rStyle w:val="Code"/>
              </w:rPr>
              <w:t>&gt;</w:t>
            </w:r>
            <w:r>
              <w:rPr>
                <w:rStyle w:val="Codetext"/>
              </w:rPr>
              <w:t>gods</w:t>
            </w:r>
            <w:r>
              <w:rPr>
                <w:rStyle w:val="Code"/>
              </w:rPr>
              <w:t>&lt;/seg&gt; ...</w:t>
            </w:r>
          </w:p>
        </w:tc>
      </w:tr>
      <w:tr w14:paraId="1FA7CA45" w14:textId="77777777">
        <w:tc>
          <w:tcPr>
            <w:tcW w:w="5000" w:type="pct"/>
          </w:tcPr>
          <w:p w14:paraId="02CD7901" w14:textId="77777777">
            <w:pPr>
              <w:pStyle w:val="TableNote"/>
            </w:pPr>
            <w:r>
              <w:t>display: … he resembles Mount Meru in being a supporter {the abode} of diverse learned men {gods} …</w:t>
            </w:r>
          </w:p>
        </w:tc>
      </w:tr>
    </w:tbl>
    <w:p w14:paraId="030787AC" w14:textId="77777777"/>
    <w:tbl>
      <w:tblPr>
        <w:tblStyle w:val="CodeSampleTable"/>
        <w:tblW w:w="5000" w:type="pct"/>
        <w:tblLook w:val="04A0" w:firstRow="1" w:lastRow="0" w:firstColumn="1" w:lastColumn="0" w:noHBand="0" w:noVBand="1"/>
      </w:tblPr>
      <w:tblGrid>
        <w:gridCol w:w="9628"/>
      </w:tblGrid>
      <w:tr w14:paraId="578499B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2EC8A5B" w14:textId="3956BE9E">
            <w:pPr>
              <w:pStyle w:val="Kpalrs"/>
            </w:pPr>
            <w:bookmarkStart w:id="888" w:name="_Ref233296432"/>
            <w:r>
              <w:t xml:space="preserve">Exhibit </w:t>
            </w:r>
            <w:fldSimple w:instr=" STYLEREF 2 \s ">
              <w:r>
                <w:rPr>
                  <w:noProof/>
                </w:rPr>
                <w:t>11.4</w:t>
              </w:r>
            </w:fldSimple>
            <w:r>
              <w:t>.</w:t>
            </w:r>
            <w:fldSimple w:instr=" SEQ Exhibit \* ALPHABETIC \s 2 ">
              <w:r>
                <w:rPr>
                  <w:noProof/>
                </w:rPr>
                <w:t>C</w:t>
              </w:r>
            </w:fldSimple>
            <w:bookmarkEnd w:id="888"/>
            <w:r>
              <w:t>: translation with bitextual interpretation integrated into one sentence</w:t>
            </w:r>
          </w:p>
        </w:tc>
      </w:tr>
      <w:tr w14:paraId="4C570B4D" w14:textId="77777777">
        <w:tc>
          <w:tcPr>
            <w:tcW w:w="5000" w:type="pct"/>
          </w:tcPr>
          <w:p w14:paraId="150A6F28" w14:textId="77777777">
            <w:pPr>
              <w:pStyle w:val="Tabletext"/>
              <w:rPr>
                <w:rStyle w:val="Foreign"/>
              </w:rPr>
            </w:pPr>
            <w:r>
              <w:rPr>
                <w:rStyle w:val="Foreign"/>
              </w:rPr>
              <w:t>droṇa Iva kr̥pānugataḥ</w:t>
            </w:r>
          </w:p>
        </w:tc>
      </w:tr>
      <w:tr w14:paraId="7A72B442" w14:textId="77777777">
        <w:tc>
          <w:tcPr>
            <w:tcW w:w="5000" w:type="pct"/>
          </w:tcPr>
          <w:p w14:paraId="42596489" w14:textId="77777777">
            <w:pPr>
              <w:pStyle w:val="CodeParagraph"/>
              <w:keepNext/>
            </w:pPr>
            <w:r>
              <w:rPr>
                <w:rStyle w:val="Codetext"/>
              </w:rPr>
              <w:t xml:space="preserve">... who is attended by mercy just as Droṇa </w:t>
            </w:r>
            <w:r>
              <w:rPr>
                <w:rStyle w:val="Code"/>
              </w:rPr>
              <w:t xml:space="preserve">&lt;seg </w:t>
            </w:r>
            <w:r>
              <w:rPr>
                <w:rStyle w:val="Codeattribute"/>
              </w:rPr>
              <w:t>rend</w:t>
            </w:r>
            <w:r>
              <w:rPr>
                <w:rStyle w:val="Code"/>
              </w:rPr>
              <w:t>=</w:t>
            </w:r>
            <w:r>
              <w:rPr>
                <w:rStyle w:val="Codevalue"/>
              </w:rPr>
              <w:t>"pun"</w:t>
            </w:r>
            <w:r>
              <w:rPr>
                <w:rStyle w:val="Code"/>
              </w:rPr>
              <w:t>&gt;</w:t>
            </w:r>
            <w:r>
              <w:rPr>
                <w:rStyle w:val="Codetext"/>
              </w:rPr>
              <w:t>is followed by Kr̥pā</w:t>
            </w:r>
            <w:r>
              <w:rPr>
                <w:rStyle w:val="Code"/>
              </w:rPr>
              <w:t>&lt;/seg&gt; ...</w:t>
            </w:r>
          </w:p>
        </w:tc>
      </w:tr>
      <w:tr w14:paraId="7469DE53" w14:textId="77777777">
        <w:tc>
          <w:tcPr>
            <w:tcW w:w="5000" w:type="pct"/>
          </w:tcPr>
          <w:p w14:paraId="1D7A35AD" w14:textId="77777777">
            <w:pPr>
              <w:pStyle w:val="TableNote"/>
            </w:pPr>
            <w:r>
              <w:t xml:space="preserve">display: … who is attended by mercy just as </w:t>
            </w:r>
            <w:r>
              <w:rPr>
                <w:rStyle w:val="ForeignIndic"/>
              </w:rPr>
              <w:t>Droṇa</w:t>
            </w:r>
            <w:r>
              <w:t xml:space="preserve"> {is followed by </w:t>
            </w:r>
            <w:r>
              <w:rPr>
                <w:rStyle w:val="ForeignIndic"/>
              </w:rPr>
              <w:t>Kr̥pā</w:t>
            </w:r>
            <w:r>
              <w:t>} …</w:t>
            </w:r>
          </w:p>
        </w:tc>
      </w:tr>
    </w:tbl>
    <w:p w14:paraId="1C830400" w14:textId="77777777">
      <w:pPr>
        <w:pStyle w:val="Cmsor3"/>
      </w:pPr>
      <w:bookmarkStart w:id="889" w:name="_r5nlq6s8z4nw" w:colFirst="0" w:colLast="0"/>
      <w:bookmarkStart w:id="890" w:name="_Ref53128241"/>
      <w:bookmarkStart w:id="891" w:name="_Ref43978788"/>
      <w:bookmarkStart w:id="892" w:name="_Toc243922765"/>
      <w:bookmarkEnd w:id="889"/>
      <w:r>
        <w:t>Original space in the translation</w:t>
      </w:r>
      <w:bookmarkEnd w:id="892"/>
    </w:p>
    <w:p w14:paraId="693D3290" w14:textId="4BA1A8FC">
      <w:r>
        <w:t>Spaces encoded in the edition (§</w:t>
      </w:r>
      <w:r>
        <w:fldChar w:fldCharType="begin"/>
      </w:r>
      <w:r>
        <w:instrText xml:space="preserve"> REF _Ref43989284 \r \h </w:instrText>
      </w:r>
      <w:r>
        <w:fldChar w:fldCharType="separate"/>
      </w:r>
      <w:r>
        <w:t>5.3.5</w:t>
      </w:r>
      <w:r>
        <w:fldChar w:fldCharType="end"/>
      </w:r>
      <w:r>
        <w:t>) generally need not and must not be preserved in the translation. However, spaces left blank in the original with the intent of subsequent filling (</w:t>
      </w:r>
      <w:r>
        <w:rPr>
          <w:rStyle w:val="Foreign"/>
        </w:rPr>
        <w:t>vacat</w:t>
      </w:r>
      <w:r>
        <w:t>, §</w:t>
      </w:r>
      <w:r>
        <w:fldChar w:fldCharType="begin"/>
      </w:r>
      <w:r>
        <w:instrText xml:space="preserve"> REF _Ref43987728 \r \h </w:instrText>
      </w:r>
      <w:r>
        <w:fldChar w:fldCharType="separate"/>
      </w:r>
      <w:r>
        <w:t>5.4.2.1</w:t>
      </w:r>
      <w:r>
        <w:fldChar w:fldCharType="end"/>
      </w:r>
      <w:r>
        <w:t>) may be optionally represented in the translation if you feel that this serves a useful purpose.</w:t>
      </w:r>
    </w:p>
    <w:p w14:paraId="6BC9B1D9" w14:textId="77777777">
      <w:pPr>
        <w:pStyle w:val="Lista"/>
      </w:pPr>
      <w:r>
        <w:t xml:space="preserve">in this case, use the </w:t>
      </w:r>
      <w:r>
        <w:rPr>
          <w:rStyle w:val="Code"/>
        </w:rPr>
        <w:t>&lt;space/&gt;</w:t>
      </w:r>
      <w:r>
        <w:t xml:space="preserve"> element exactly as encoded in the edition division, e.g. </w:t>
      </w:r>
      <w:r>
        <w:rPr>
          <w:rStyle w:val="Code"/>
        </w:rPr>
        <w:t xml:space="preserve">&lt;space </w:t>
      </w:r>
      <w:r>
        <w:rPr>
          <w:rStyle w:val="Codeattribute"/>
        </w:rPr>
        <w:t>type</w:t>
      </w:r>
      <w:r>
        <w:rPr>
          <w:rStyle w:val="Code"/>
        </w:rPr>
        <w:t>=</w:t>
      </w:r>
      <w:r>
        <w:rPr>
          <w:rStyle w:val="Codevalue"/>
        </w:rPr>
        <w:t>"vacat"</w:t>
      </w:r>
      <w:r>
        <w:rPr>
          <w:rStyle w:val="Code"/>
        </w:rPr>
        <w:t xml:space="preserve"> </w:t>
      </w:r>
      <w:r>
        <w:rPr>
          <w:rStyle w:val="Codeattribute"/>
        </w:rPr>
        <w:t>quantity</w:t>
      </w:r>
      <w:r>
        <w:rPr>
          <w:rStyle w:val="Code"/>
        </w:rPr>
        <w:t>=</w:t>
      </w:r>
      <w:r>
        <w:rPr>
          <w:rStyle w:val="Codevalue"/>
        </w:rPr>
        <w:t>"3"</w:t>
      </w:r>
      <w:r>
        <w:rPr>
          <w:rStyle w:val="Code"/>
        </w:rPr>
        <w:t xml:space="preserve"> </w:t>
      </w:r>
      <w:r>
        <w:rPr>
          <w:rStyle w:val="Codeattribute"/>
        </w:rPr>
        <w:t>unit</w:t>
      </w:r>
      <w:r>
        <w:rPr>
          <w:rStyle w:val="Code"/>
        </w:rPr>
        <w:t>=</w:t>
      </w:r>
      <w:r>
        <w:rPr>
          <w:rStyle w:val="Codevalue"/>
        </w:rPr>
        <w:t>"character"</w:t>
      </w:r>
      <w:r>
        <w:rPr>
          <w:rStyle w:val="Code"/>
        </w:rPr>
        <w:t>/&gt;</w:t>
      </w:r>
    </w:p>
    <w:p w14:paraId="33B8D57B" w14:textId="77777777">
      <w:pPr>
        <w:pStyle w:val="Cmsor2"/>
      </w:pPr>
      <w:bookmarkStart w:id="893" w:name="_Ref43990725"/>
      <w:bookmarkStart w:id="894" w:name="_Toc243922766"/>
      <w:bookmarkEnd w:id="890"/>
      <w:r>
        <w:t>Reproducing a published translation</w:t>
      </w:r>
      <w:bookmarkEnd w:id="893"/>
      <w:bookmarkEnd w:id="894"/>
    </w:p>
    <w:p w14:paraId="54E2AF11" w14:textId="77777777">
      <w:pPr>
        <w:pStyle w:val="Cmsor3"/>
      </w:pPr>
      <w:bookmarkStart w:id="895" w:name="_Ref233299001"/>
      <w:bookmarkStart w:id="896" w:name="_Toc243922767"/>
      <w:r>
        <w:t>Adapting a previous translation</w:t>
      </w:r>
      <w:bookmarkEnd w:id="895"/>
      <w:bookmarkEnd w:id="896"/>
    </w:p>
    <w:p w14:paraId="176301C9" w14:textId="77777777">
      <w:pPr>
        <w:rPr>
          <w:lang w:eastAsia="en-US" w:bidi="ar-SA"/>
        </w:rPr>
      </w:pPr>
      <w:r>
        <w:rPr>
          <w:lang w:eastAsia="en-US" w:bidi="ar-SA"/>
        </w:rPr>
        <w:t>When you make any improvement to a previously published translation, for instance by adding parts not translated there, revising parts based on a reading you have revised in the edition or on a new interpretation of the same reading, or simply increasing its accuracy or fluency, then for practical purposes you are the intellectual author of the new translation.</w:t>
      </w:r>
    </w:p>
    <w:p w14:paraId="4C4830FE" w14:textId="452508EE">
      <w:pPr>
        <w:pStyle w:val="Lista"/>
        <w:rPr>
          <w:lang w:eastAsia="en-US" w:bidi="ar-SA"/>
        </w:rPr>
      </w:pPr>
      <w:r>
        <w:rPr>
          <w:lang w:eastAsia="en-US" w:bidi="ar-SA"/>
        </w:rPr>
        <w:t xml:space="preserve">encode your authorship with </w:t>
      </w:r>
      <w:r>
        <w:rPr>
          <w:rStyle w:val="Codeattribute"/>
        </w:rPr>
        <w:t>@resp</w:t>
      </w:r>
      <w:r>
        <w:t xml:space="preserve"> (</w:t>
      </w:r>
      <w:r>
        <w:rPr>
          <w:lang w:eastAsia="en-US" w:bidi="ar-SA"/>
        </w:rPr>
        <w:t>§</w:t>
      </w:r>
      <w:r>
        <w:rPr>
          <w:lang w:eastAsia="en-US" w:bidi="ar-SA"/>
        </w:rPr>
        <w:fldChar w:fldCharType="begin"/>
      </w:r>
      <w:r>
        <w:rPr>
          <w:lang w:eastAsia="en-US" w:bidi="ar-SA"/>
        </w:rPr>
        <w:instrText xml:space="preserve"> REF _Ref233276652 \r \h </w:instrText>
      </w:r>
      <w:r>
        <w:rPr>
          <w:lang w:eastAsia="en-US" w:bidi="ar-SA"/>
        </w:rPr>
      </w:r>
      <w:r>
        <w:rPr>
          <w:lang w:eastAsia="en-US" w:bidi="ar-SA"/>
        </w:rPr>
        <w:fldChar w:fldCharType="separate"/>
      </w:r>
      <w:r>
        <w:rPr>
          <w:lang w:eastAsia="en-US" w:bidi="ar-SA"/>
        </w:rPr>
        <w:t>11.1.2</w:t>
      </w:r>
      <w:r>
        <w:rPr>
          <w:lang w:eastAsia="en-US" w:bidi="ar-SA"/>
        </w:rPr>
        <w:fldChar w:fldCharType="end"/>
      </w:r>
      <w:r>
        <w:t>) and add a credit note (§</w:t>
      </w:r>
      <w:r>
        <w:fldChar w:fldCharType="begin"/>
      </w:r>
      <w:r>
        <w:instrText xml:space="preserve"> REF _Ref242888161 \r \h </w:instrText>
      </w:r>
      <w:r>
        <w:fldChar w:fldCharType="separate"/>
      </w:r>
      <w:r>
        <w:t>11.1.2.1</w:t>
      </w:r>
      <w:r>
        <w:fldChar w:fldCharType="end"/>
      </w:r>
      <w:r>
        <w:t>) to name the original translator and clarify the nature and extent of your contribution</w:t>
      </w:r>
    </w:p>
    <w:p w14:paraId="088C6A3A" w14:textId="77777777">
      <w:pPr>
        <w:pStyle w:val="Cmsor3"/>
      </w:pPr>
      <w:bookmarkStart w:id="897" w:name="_Ref233887001"/>
      <w:bookmarkStart w:id="898" w:name="_Toc243922768"/>
      <w:r>
        <w:t>Adopting a previous translation verbatim</w:t>
      </w:r>
      <w:bookmarkEnd w:id="897"/>
      <w:bookmarkEnd w:id="898"/>
    </w:p>
    <w:p w14:paraId="0DD3E068" w14:textId="77777777">
      <w:pPr>
        <w:rPr>
          <w:lang w:eastAsia="en-US" w:bidi="ar-SA"/>
        </w:rPr>
      </w:pPr>
      <w:r>
        <w:rPr>
          <w:lang w:eastAsia="en-US" w:bidi="ar-SA"/>
        </w:rPr>
        <w:t>It is sometimes desirable to create a “digital facsimile” of a previously published translation. When doing so, be mindful of the following considerations.</w:t>
      </w:r>
    </w:p>
    <w:p w14:paraId="1454A524" w14:textId="1035D562">
      <w:pPr>
        <w:pStyle w:val="Lista"/>
      </w:pPr>
      <w:r>
        <w:t xml:space="preserve">the author of the translation must be credited with the attribute </w:t>
      </w:r>
      <w:r>
        <w:rPr>
          <w:rStyle w:val="Codeattribute"/>
        </w:rPr>
        <w:t>@source</w:t>
      </w:r>
      <w:r>
        <w:t xml:space="preserve"> as per §</w:t>
      </w:r>
      <w:r>
        <w:rPr>
          <w:lang w:eastAsia="en-US" w:bidi="ar-SA"/>
        </w:rPr>
        <w:fldChar w:fldCharType="begin"/>
      </w:r>
      <w:r>
        <w:rPr>
          <w:lang w:eastAsia="en-US" w:bidi="ar-SA"/>
        </w:rPr>
        <w:instrText xml:space="preserve"> REF _Ref233276652 \r \h </w:instrText>
      </w:r>
      <w:r>
        <w:rPr>
          <w:lang w:eastAsia="en-US" w:bidi="ar-SA"/>
        </w:rPr>
      </w:r>
      <w:r>
        <w:rPr>
          <w:lang w:eastAsia="en-US" w:bidi="ar-SA"/>
        </w:rPr>
        <w:fldChar w:fldCharType="separate"/>
      </w:r>
      <w:r>
        <w:rPr>
          <w:lang w:eastAsia="en-US" w:bidi="ar-SA"/>
        </w:rPr>
        <w:t>11.1.2</w:t>
      </w:r>
      <w:r>
        <w:rPr>
          <w:lang w:eastAsia="en-US" w:bidi="ar-SA"/>
        </w:rPr>
        <w:fldChar w:fldCharType="end"/>
      </w:r>
      <w:r>
        <w:rPr>
          <w:lang w:eastAsia="en-US" w:bidi="ar-SA"/>
        </w:rPr>
        <w:t xml:space="preserve"> and </w:t>
      </w:r>
      <w:r>
        <w:t>§</w:t>
      </w:r>
      <w:r>
        <w:fldChar w:fldCharType="begin"/>
      </w:r>
      <w:r>
        <w:instrText xml:space="preserve"> REF _Ref43989551 \w \h  \* MERGEFORMAT </w:instrText>
      </w:r>
      <w:r>
        <w:fldChar w:fldCharType="separate"/>
      </w:r>
      <w:r>
        <w:t>14.6.2</w:t>
      </w:r>
      <w:r>
        <w:fldChar w:fldCharType="end"/>
      </w:r>
    </w:p>
    <w:p w14:paraId="0E5001C4" w14:textId="77777777">
      <w:pPr>
        <w:pStyle w:val="Lista"/>
      </w:pPr>
      <w:r>
        <w:lastRenderedPageBreak/>
        <w:t>any character-based markup (brackets, etc.) in the translation must be converted to its encoding equivalent as far as feasible</w:t>
      </w:r>
    </w:p>
    <w:p w14:paraId="2E606BB6" w14:textId="77777777">
      <w:pPr>
        <w:pStyle w:val="Lista2"/>
      </w:pPr>
      <w:r>
        <w:t>translator’s markup for which our encoding provides no equivalent, or which cannot be interpreted confidently, may be exceptionally retained</w:t>
      </w:r>
    </w:p>
    <w:p w14:paraId="4410DEBD" w14:textId="6AD4E6EE">
      <w:pPr>
        <w:pStyle w:val="Lista3"/>
      </w:pPr>
      <w:r>
        <w:t>clarify any such markup within a credit note (</w:t>
      </w:r>
      <w:r>
        <w:rPr>
          <w:lang w:eastAsia="en-US" w:bidi="ar-SA"/>
        </w:rPr>
        <w:t>§</w:t>
      </w:r>
      <w:r>
        <w:t>§</w:t>
      </w:r>
      <w:r>
        <w:fldChar w:fldCharType="begin"/>
      </w:r>
      <w:r>
        <w:instrText xml:space="preserve"> REF _Ref242888161 \r \h </w:instrText>
      </w:r>
      <w:r>
        <w:fldChar w:fldCharType="separate"/>
      </w:r>
      <w:r>
        <w:t>11.1.2.1</w:t>
      </w:r>
      <w:r>
        <w:fldChar w:fldCharType="end"/>
      </w:r>
      <w:r>
        <w:t>) attached to the translation</w:t>
      </w:r>
    </w:p>
    <w:p w14:paraId="563DC649" w14:textId="77777777">
      <w:pPr>
        <w:pStyle w:val="Lista"/>
      </w:pPr>
      <w:r>
        <w:t>the transliteration of any words in a source language must be silently converted to the DHARMA transliteration whenever feasible</w:t>
      </w:r>
    </w:p>
    <w:p w14:paraId="1AECBF41" w14:textId="5E6E1ED9">
      <w:pPr>
        <w:pStyle w:val="Lista"/>
      </w:pPr>
      <w:r>
        <w:t>when a published translation you are encoding omits a stretch of the text (for example because it is unintelligible or because the original translator considered a part of the text not worthy of attention), this shall be indicated in your encoding as per §</w:t>
      </w:r>
      <w:r>
        <w:fldChar w:fldCharType="begin"/>
      </w:r>
      <w:r>
        <w:instrText xml:space="preserve"> REF _Ref233298630 \r \h </w:instrText>
      </w:r>
      <w:r>
        <w:fldChar w:fldCharType="separate"/>
      </w:r>
      <w:r>
        <w:t>11.4.3.3</w:t>
      </w:r>
      <w:r>
        <w:fldChar w:fldCharType="end"/>
      </w:r>
    </w:p>
    <w:p w14:paraId="0771E733" w14:textId="0AEED81D">
      <w:pPr>
        <w:pStyle w:val="Lista"/>
      </w:pPr>
      <w:r>
        <w:t>if a published translation is based on a reading, restoration or emendation different from what you show in your edition, it is highly recommended that you point this out in a note of your own (§</w:t>
      </w:r>
      <w:r>
        <w:fldChar w:fldCharType="begin"/>
      </w:r>
      <w:r>
        <w:instrText xml:space="preserve"> REF _Ref233298582 \r \h </w:instrText>
      </w:r>
      <w:r>
        <w:fldChar w:fldCharType="separate"/>
      </w:r>
      <w:r>
        <w:t>11.5.3</w:t>
      </w:r>
      <w:r>
        <w:fldChar w:fldCharType="end"/>
      </w:r>
      <w:r>
        <w:t>), attached to the spot where the translation is based on divergent text</w:t>
      </w:r>
    </w:p>
    <w:p w14:paraId="37BF470D" w14:textId="77777777">
      <w:pPr>
        <w:pStyle w:val="Lista"/>
      </w:pPr>
      <w:r>
        <w:t>obvious typographic mistakes and errors of transliteration in a previous translation should be corrected silently in your digital version</w:t>
      </w:r>
    </w:p>
    <w:p w14:paraId="4015880D" w14:textId="0CF78264">
      <w:pPr>
        <w:pStyle w:val="Lista2"/>
      </w:pPr>
      <w:r>
        <w:t>unusual mistakes or anomalies, especially if they affect the interpretation of the text, should be left as in the original translation and preferably accompanied by a note of your own (§</w:t>
      </w:r>
      <w:r>
        <w:fldChar w:fldCharType="begin"/>
      </w:r>
      <w:r>
        <w:instrText xml:space="preserve"> REF _Ref233298582 \r \h </w:instrText>
      </w:r>
      <w:r>
        <w:fldChar w:fldCharType="separate"/>
      </w:r>
      <w:r>
        <w:t>11.5.3</w:t>
      </w:r>
      <w:r>
        <w:fldChar w:fldCharType="end"/>
      </w:r>
      <w:r>
        <w:t>)</w:t>
      </w:r>
    </w:p>
    <w:p w14:paraId="15113BC2" w14:textId="77777777">
      <w:pPr>
        <w:pStyle w:val="Cmsor3"/>
      </w:pPr>
      <w:bookmarkStart w:id="899" w:name="_Ref233298582"/>
      <w:bookmarkStart w:id="900" w:name="_Toc243922769"/>
      <w:r>
        <w:t>Adopting and adapting notes to a translation</w:t>
      </w:r>
      <w:bookmarkEnd w:id="899"/>
      <w:bookmarkEnd w:id="900"/>
    </w:p>
    <w:p w14:paraId="512E3D91" w14:textId="79D65ABC">
      <w:r>
        <w:rPr>
          <w:lang w:eastAsia="en-US" w:bidi="ar-SA"/>
        </w:rPr>
        <w:t xml:space="preserve">Any notes in a translation will by default be considered to have been written by the author of the translation indicated with </w:t>
      </w:r>
      <w:r>
        <w:rPr>
          <w:rStyle w:val="Codeattribute"/>
        </w:rPr>
        <w:t>@source</w:t>
      </w:r>
      <w:r>
        <w:t xml:space="preserve"> </w:t>
      </w:r>
      <w:r>
        <w:rPr>
          <w:noProof/>
        </w:rPr>
        <w:t xml:space="preserve">or </w:t>
      </w:r>
      <w:r>
        <w:rPr>
          <w:rStyle w:val="Codeattribute"/>
        </w:rPr>
        <w:t>@resp</w:t>
      </w:r>
      <w:r>
        <w:t xml:space="preserve"> on the translation division (§</w:t>
      </w:r>
      <w:r>
        <w:fldChar w:fldCharType="begin"/>
      </w:r>
      <w:r>
        <w:instrText xml:space="preserve"> REF _Ref233276652 \r \h </w:instrText>
      </w:r>
      <w:r>
        <w:fldChar w:fldCharType="separate"/>
      </w:r>
      <w:r>
        <w:t>11.1.2</w:t>
      </w:r>
      <w:r>
        <w:fldChar w:fldCharType="end"/>
      </w:r>
      <w:r>
        <w:t>). Complications shall be handled as follows.</w:t>
      </w:r>
    </w:p>
    <w:p w14:paraId="75FCD770" w14:textId="23EE9699">
      <w:pPr>
        <w:pStyle w:val="Lista"/>
        <w:rPr>
          <w:lang w:eastAsia="en-US" w:bidi="ar-SA"/>
        </w:rPr>
      </w:pPr>
      <w:r>
        <w:t>if you are technically the author of the translation (either because the translation is fully yours or because you have adapted a previous translation as per §</w:t>
      </w:r>
      <w:r>
        <w:fldChar w:fldCharType="begin"/>
      </w:r>
      <w:r>
        <w:instrText xml:space="preserve"> REF _Ref233299001 \r \h </w:instrText>
      </w:r>
      <w:r>
        <w:fldChar w:fldCharType="separate"/>
      </w:r>
      <w:r>
        <w:t>11.5.1</w:t>
      </w:r>
      <w:r>
        <w:fldChar w:fldCharType="end"/>
      </w:r>
      <w:r>
        <w:t>), but you wish to include a note written by someone else (who may be, but need not be the author of a translation you are adapting)</w:t>
      </w:r>
    </w:p>
    <w:p w14:paraId="7FE1D5E0" w14:textId="77777777">
      <w:pPr>
        <w:pStyle w:val="Lista2"/>
        <w:rPr>
          <w:lang w:eastAsia="en-US" w:bidi="ar-SA"/>
        </w:rPr>
      </w:pPr>
      <w:r>
        <w:rPr>
          <w:lang w:eastAsia="en-US" w:bidi="ar-SA"/>
        </w:rPr>
        <w:t>preferably paraphrase the note instead of using it verbatim, thus making it your own note</w:t>
      </w:r>
    </w:p>
    <w:p w14:paraId="15D6EBB0" w14:textId="77777777">
      <w:pPr>
        <w:pStyle w:val="Lista3"/>
        <w:rPr>
          <w:lang w:eastAsia="en-US" w:bidi="ar-SA"/>
        </w:rPr>
      </w:pPr>
      <w:r>
        <w:rPr>
          <w:lang w:eastAsia="en-US" w:bidi="ar-SA"/>
        </w:rPr>
        <w:t>in the paraphrased note, credit the original author of the note</w:t>
      </w:r>
    </w:p>
    <w:p w14:paraId="711C7568" w14:textId="77777777">
      <w:pPr>
        <w:pStyle w:val="Lista4"/>
        <w:rPr>
          <w:lang w:eastAsia="en-US" w:bidi="ar-SA"/>
        </w:rPr>
      </w:pPr>
      <w:r>
        <w:rPr>
          <w:lang w:eastAsia="en-US" w:bidi="ar-SA"/>
        </w:rPr>
        <w:t>simply by name if the note is from a published translation you are adapting and have specified in the credit note of your translation</w:t>
      </w:r>
      <w:r>
        <w:t>, e.g. “Fleet observes that…”</w:t>
      </w:r>
    </w:p>
    <w:p w14:paraId="6BD11901" w14:textId="0998CA5A">
      <w:pPr>
        <w:pStyle w:val="Lista4"/>
        <w:rPr>
          <w:lang w:eastAsia="en-US" w:bidi="ar-SA"/>
        </w:rPr>
      </w:pPr>
      <w:r>
        <w:t>by an encoded bibliographic citation (§</w:t>
      </w:r>
      <w:r>
        <w:fldChar w:fldCharType="begin"/>
      </w:r>
      <w:r>
        <w:instrText xml:space="preserve"> REF _Ref233877601 \r \h </w:instrText>
      </w:r>
      <w:r>
        <w:fldChar w:fldCharType="separate"/>
      </w:r>
      <w:r>
        <w:t>14.6.1</w:t>
      </w:r>
      <w:r>
        <w:fldChar w:fldCharType="end"/>
      </w:r>
      <w:r>
        <w:t>) otherwise</w:t>
      </w:r>
    </w:p>
    <w:p w14:paraId="4FB92FE0" w14:textId="647BC062">
      <w:pPr>
        <w:pStyle w:val="Lista2"/>
        <w:rPr>
          <w:lang w:eastAsia="en-US" w:bidi="ar-SA"/>
        </w:rPr>
      </w:pPr>
      <w:r>
        <w:rPr>
          <w:lang w:eastAsia="en-US" w:bidi="ar-SA"/>
        </w:rPr>
        <w:t xml:space="preserve">if you wish to reproduce a note from a previous translation verbatim, you must add </w:t>
      </w:r>
      <w:r>
        <w:rPr>
          <w:rStyle w:val="Codeattribute"/>
        </w:rPr>
        <w:t>@source</w:t>
      </w:r>
      <w:r>
        <w:t xml:space="preserve"> to the </w:t>
      </w:r>
      <w:r>
        <w:rPr>
          <w:rStyle w:val="Code"/>
        </w:rPr>
        <w:t>&lt;note&gt;</w:t>
      </w:r>
      <w:r>
        <w:t xml:space="preserve"> element as per §</w:t>
      </w:r>
      <w:r>
        <w:fldChar w:fldCharType="begin"/>
      </w:r>
      <w:r>
        <w:instrText xml:space="preserve"> REF _Ref44490119 \r \h </w:instrText>
      </w:r>
      <w:r>
        <w:fldChar w:fldCharType="separate"/>
      </w:r>
      <w:r>
        <w:t>14.6.2</w:t>
      </w:r>
      <w:r>
        <w:fldChar w:fldCharType="end"/>
      </w:r>
    </w:p>
    <w:p w14:paraId="0E6E8F9A" w14:textId="77777777">
      <w:pPr>
        <w:pStyle w:val="Lista"/>
      </w:pPr>
      <w:r>
        <w:t xml:space="preserve">if the translation is from a previous publication (encoded as the </w:t>
      </w:r>
      <w:r>
        <w:rPr>
          <w:rStyle w:val="Codeattribute"/>
        </w:rPr>
        <w:t>@source</w:t>
      </w:r>
      <w:r>
        <w:t xml:space="preserve"> of the translation division),</w:t>
      </w:r>
    </w:p>
    <w:p w14:paraId="4287B7A6" w14:textId="77777777">
      <w:pPr>
        <w:pStyle w:val="Lista2"/>
      </w:pPr>
      <w:r>
        <w:t>notes from that publication can and must be duplicated verbatim and without any additional attribution</w:t>
      </w:r>
    </w:p>
    <w:p w14:paraId="6B9D37B0" w14:textId="77777777">
      <w:pPr>
        <w:pStyle w:val="Lista3"/>
      </w:pPr>
      <w:r>
        <w:t>it is, however, not mandatory to reproduce all notes by the original translator</w:t>
      </w:r>
    </w:p>
    <w:p w14:paraId="096E59B8" w14:textId="120424AD">
      <w:pPr>
        <w:pStyle w:val="Lista2"/>
      </w:pPr>
      <w:r>
        <w:t xml:space="preserve">notes of your own added to a previously published translation must be credited explicitly to you, using </w:t>
      </w:r>
      <w:r>
        <w:rPr>
          <w:rStyle w:val="Codeattribute"/>
        </w:rPr>
        <w:t>@resp</w:t>
      </w:r>
      <w:r>
        <w:t xml:space="preserve"> </w:t>
      </w:r>
      <w:r>
        <w:rPr>
          <w:noProof/>
        </w:rPr>
        <w:t>(</w:t>
      </w:r>
      <w:r>
        <w:t>§</w:t>
      </w:r>
      <w:r>
        <w:fldChar w:fldCharType="begin"/>
      </w:r>
      <w:r>
        <w:instrText xml:space="preserve"> REF _Ref43989765 \w \h  \* MERGEFORMAT </w:instrText>
      </w:r>
      <w:r>
        <w:fldChar w:fldCharType="separate"/>
      </w:r>
      <w:r>
        <w:t>14.6.5</w:t>
      </w:r>
      <w:r>
        <w:fldChar w:fldCharType="end"/>
      </w:r>
      <w:r>
        <w:t>) on each such note</w:t>
      </w:r>
    </w:p>
    <w:p w14:paraId="6974A834" w14:textId="77777777">
      <w:pPr>
        <w:pStyle w:val="Lista2"/>
      </w:pPr>
      <w:r>
        <w:t>should you wish to include notes from a different previously published translation, do one of the following</w:t>
      </w:r>
    </w:p>
    <w:p w14:paraId="3B65D438" w14:textId="77777777">
      <w:pPr>
        <w:pStyle w:val="Lista3"/>
      </w:pPr>
      <w:r>
        <w:t xml:space="preserve">paraphrase the original note, encode it as your own note with </w:t>
      </w:r>
      <w:r>
        <w:rPr>
          <w:rStyle w:val="Codeattribute"/>
        </w:rPr>
        <w:t>@resp</w:t>
      </w:r>
      <w:r>
        <w:t>, and credit its original author with a bibliographic citation</w:t>
      </w:r>
    </w:p>
    <w:p w14:paraId="4C8B2F73" w14:textId="77777777">
      <w:pPr>
        <w:pStyle w:val="Lista3"/>
      </w:pPr>
      <w:r>
        <w:t xml:space="preserve">reproduce the note verbatim and credit it with </w:t>
      </w:r>
      <w:r>
        <w:rPr>
          <w:lang w:eastAsia="en-US" w:bidi="ar-SA"/>
        </w:rPr>
        <w:t xml:space="preserve">add </w:t>
      </w:r>
      <w:r>
        <w:rPr>
          <w:rStyle w:val="Codeattribute"/>
        </w:rPr>
        <w:t>@source</w:t>
      </w:r>
      <w:r>
        <w:t xml:space="preserve"> on the </w:t>
      </w:r>
      <w:r>
        <w:rPr>
          <w:rStyle w:val="Code"/>
        </w:rPr>
        <w:t>&lt;note&gt;</w:t>
      </w:r>
      <w:r>
        <w:t xml:space="preserve"> element</w:t>
      </w:r>
    </w:p>
    <w:p w14:paraId="12A83715" w14:textId="77777777">
      <w:pPr>
        <w:pStyle w:val="Cmsor1"/>
      </w:pPr>
      <w:bookmarkStart w:id="901" w:name="_Ref181352286"/>
      <w:bookmarkStart w:id="902" w:name="_Toc243922770"/>
      <w:r>
        <w:lastRenderedPageBreak/>
        <w:t>The commentary</w:t>
      </w:r>
      <w:bookmarkEnd w:id="891"/>
      <w:bookmarkEnd w:id="901"/>
      <w:bookmarkEnd w:id="902"/>
    </w:p>
    <w:p w14:paraId="5A55CE1C" w14:textId="77777777">
      <w:pPr>
        <w:rPr>
          <w:lang w:eastAsia="en-US" w:bidi="ar-SA"/>
        </w:rPr>
      </w:pPr>
      <w:bookmarkStart w:id="903" w:name="_5cjqjha8yozn" w:colFirst="0" w:colLast="0"/>
      <w:bookmarkEnd w:id="903"/>
      <w:r>
        <w:rPr>
          <w:lang w:eastAsia="en-US" w:bidi="ar-SA"/>
        </w:rPr>
        <w:t>A scholarly commentary on any aspect of the edition may be included as a separate division of the XML file.</w:t>
      </w:r>
    </w:p>
    <w:p w14:paraId="28D0EBD4" w14:textId="77777777">
      <w:pPr>
        <w:pStyle w:val="Lista"/>
      </w:pPr>
      <w:r>
        <w:t>the commentary is not the ideal place for</w:t>
      </w:r>
    </w:p>
    <w:p w14:paraId="71F3EDD1" w14:textId="77777777">
      <w:pPr>
        <w:pStyle w:val="Lista2"/>
      </w:pPr>
      <w:r>
        <w:t>palaeographic observations on the document as a whole</w:t>
      </w:r>
    </w:p>
    <w:p w14:paraId="35F767E8" w14:textId="437668AB">
      <w:pPr>
        <w:pStyle w:val="Lista3"/>
      </w:pPr>
      <w:r>
        <w:t xml:space="preserve">which belong in the </w:t>
      </w:r>
      <w:r>
        <w:rPr>
          <w:rStyle w:val="Code"/>
        </w:rPr>
        <w:t>&lt;handDesc&gt;</w:t>
      </w:r>
      <w:r>
        <w:t xml:space="preserve"> section of the TEI header (§</w:t>
      </w:r>
      <w:r>
        <w:fldChar w:fldCharType="begin"/>
      </w:r>
      <w:r>
        <w:instrText xml:space="preserve"> REF _Ref43987455 \w \h  \* MERGEFORMAT </w:instrText>
      </w:r>
      <w:r>
        <w:fldChar w:fldCharType="separate"/>
      </w:r>
      <w:r>
        <w:t>15.2.1</w:t>
      </w:r>
      <w:r>
        <w:fldChar w:fldCharType="end"/>
      </w:r>
      <w:r>
        <w:t>)</w:t>
      </w:r>
    </w:p>
    <w:p w14:paraId="6F5A0838" w14:textId="77777777">
      <w:pPr>
        <w:pStyle w:val="Lista2"/>
      </w:pPr>
      <w:r>
        <w:t>remarks concerning specific small-scale loci in the text</w:t>
      </w:r>
    </w:p>
    <w:p w14:paraId="6BFA3D7C" w14:textId="2AE6B4C3">
      <w:pPr>
        <w:pStyle w:val="Lista3"/>
      </w:pPr>
      <w:r>
        <w:t xml:space="preserve">which are better recorded in the apparatus as notes </w:t>
      </w:r>
      <w:r>
        <w:rPr>
          <w:noProof/>
        </w:rPr>
        <w:t>(</w:t>
      </w:r>
      <w:r>
        <w:t>§</w:t>
      </w:r>
      <w:r>
        <w:fldChar w:fldCharType="begin"/>
      </w:r>
      <w:r>
        <w:instrText xml:space="preserve"> REF _Ref43988104 \w \h  \* MERGEFORMAT </w:instrText>
      </w:r>
      <w:r>
        <w:fldChar w:fldCharType="separate"/>
      </w:r>
      <w:r>
        <w:t>10.7</w:t>
      </w:r>
      <w:r>
        <w:fldChar w:fldCharType="end"/>
      </w:r>
      <w:r>
        <w:t>), unless they are so long that they would disrupt the apparatus</w:t>
      </w:r>
    </w:p>
    <w:p w14:paraId="7A15A2AC" w14:textId="77777777">
      <w:pPr>
        <w:pStyle w:val="Lista"/>
      </w:pPr>
      <w:r>
        <w:t>typical topics that do belong in the commentary include</w:t>
      </w:r>
    </w:p>
    <w:p w14:paraId="2B0E9E97" w14:textId="77777777">
      <w:pPr>
        <w:pStyle w:val="Lista2"/>
      </w:pPr>
      <w:r>
        <w:t>remarks pertaining to specific loci when they are too long to put in the apparatus</w:t>
      </w:r>
    </w:p>
    <w:p w14:paraId="6AE6D54E" w14:textId="77777777">
      <w:pPr>
        <w:pStyle w:val="Lista2"/>
      </w:pPr>
      <w:r>
        <w:t>discussion of metrical phenomena and uncertainty about verse metres</w:t>
      </w:r>
    </w:p>
    <w:p w14:paraId="3491F1FF" w14:textId="77777777">
      <w:pPr>
        <w:pStyle w:val="Lista2"/>
      </w:pPr>
      <w:r>
        <w:t>discussion of the interpretation as reflected in your translation and any alternatives</w:t>
      </w:r>
    </w:p>
    <w:p w14:paraId="5DFD8366" w14:textId="77777777">
      <w:pPr>
        <w:pStyle w:val="Lista2"/>
      </w:pPr>
      <w:r>
        <w:t>literal translations of phrases more elegantly translated in your translation, but for this reason, possibly obscure</w:t>
      </w:r>
    </w:p>
    <w:p w14:paraId="61A6CFFF" w14:textId="77777777">
      <w:pPr>
        <w:pStyle w:val="Lista2"/>
      </w:pPr>
      <w:r>
        <w:t>pointing out parallel passages in other sources, especially if these are used as the basis of restoration in the present text</w:t>
      </w:r>
    </w:p>
    <w:p w14:paraId="578651B6" w14:textId="77777777">
      <w:pPr>
        <w:pStyle w:val="Cmsor2"/>
      </w:pPr>
      <w:bookmarkStart w:id="904" w:name="_Ref233792738"/>
      <w:bookmarkStart w:id="905" w:name="_Toc243922771"/>
      <w:r>
        <w:t>Encoding the commentary</w:t>
      </w:r>
      <w:bookmarkEnd w:id="904"/>
      <w:bookmarkEnd w:id="905"/>
    </w:p>
    <w:p w14:paraId="56F9986B" w14:textId="77777777">
      <w:pPr>
        <w:pStyle w:val="Lista"/>
      </w:pPr>
      <w:r>
        <w:t xml:space="preserve">the commentary to your text must be wrapped in </w:t>
      </w:r>
      <w:r>
        <w:rPr>
          <w:rStyle w:val="Code"/>
        </w:rPr>
        <w:t xml:space="preserve">&lt;div </w:t>
      </w:r>
      <w:r>
        <w:rPr>
          <w:rStyle w:val="Codeattribute"/>
        </w:rPr>
        <w:t>type</w:t>
      </w:r>
      <w:r>
        <w:rPr>
          <w:rStyle w:val="Code"/>
        </w:rPr>
        <w:t>=</w:t>
      </w:r>
      <w:r>
        <w:rPr>
          <w:rStyle w:val="Codevalue"/>
        </w:rPr>
        <w:t>"commentary"</w:t>
      </w:r>
      <w:r>
        <w:rPr>
          <w:rStyle w:val="Code"/>
        </w:rPr>
        <w:t>&gt;</w:t>
      </w:r>
      <w:r>
        <w:t>, without any attributes</w:t>
      </w:r>
    </w:p>
    <w:p w14:paraId="405930E4" w14:textId="77777777">
      <w:pPr>
        <w:pStyle w:val="Lista2"/>
      </w:pPr>
      <w:r>
        <w:t>this division follows the translation division</w:t>
      </w:r>
      <w:r>
        <w:rPr>
          <w:noProof/>
        </w:rPr>
        <w:t>(</w:t>
      </w:r>
      <w:r>
        <w:t>s) and is already present in our templates</w:t>
      </w:r>
    </w:p>
    <w:p w14:paraId="38B56382" w14:textId="77777777">
      <w:pPr>
        <w:pStyle w:val="Lista"/>
      </w:pPr>
      <w:r>
        <w:t xml:space="preserve">the commentary division shall contain only one or more </w:t>
      </w:r>
      <w:r>
        <w:rPr>
          <w:rStyle w:val="Code"/>
        </w:rPr>
        <w:t>&lt;p&gt;</w:t>
      </w:r>
      <w:r>
        <w:t xml:space="preserve"> elements, which in turn contain freeform discursive English text</w:t>
      </w:r>
    </w:p>
    <w:p w14:paraId="21B75369" w14:textId="77777777">
      <w:pPr>
        <w:pStyle w:val="Cmsor3"/>
      </w:pPr>
      <w:bookmarkStart w:id="906" w:name="_Toc243922772"/>
      <w:r>
        <w:t>Textpart divisions within the commentary</w:t>
      </w:r>
      <w:bookmarkEnd w:id="906"/>
    </w:p>
    <w:p w14:paraId="1107AD2D" w14:textId="77777777">
      <w:r>
        <w:rPr>
          <w:lang w:eastAsia="en-US" w:bidi="ar-SA"/>
        </w:rPr>
        <w:t xml:space="preserve">Unlike the apparatus and the translation, the commentary accompanying an edition segmented into textpart divisions does not have to be likewise segmented. However, textpart divisions may be created as desired to </w:t>
      </w:r>
      <w:r>
        <w:t>break up a long commentary into sections (chapters).</w:t>
      </w:r>
    </w:p>
    <w:p w14:paraId="6E8B5C81" w14:textId="042319E8">
      <w:pPr>
        <w:pStyle w:val="Lista"/>
      </w:pPr>
      <w:r>
        <w:t xml:space="preserve">use any arbitrary number of textpart divisions, keeping in mind the requirement of tessellation </w:t>
      </w:r>
      <w:r>
        <w:rPr>
          <w:noProof/>
        </w:rPr>
        <w:t>(</w:t>
      </w:r>
      <w:r>
        <w:t>§</w:t>
      </w:r>
      <w:r>
        <w:fldChar w:fldCharType="begin"/>
      </w:r>
      <w:r>
        <w:instrText xml:space="preserve"> REF _Ref43990385 \r \h  \* MERGEFORMAT </w:instrText>
      </w:r>
      <w:r>
        <w:fldChar w:fldCharType="separate"/>
      </w:r>
      <w:r>
        <w:t>4.7.3.4</w:t>
      </w:r>
      <w:r>
        <w:fldChar w:fldCharType="end"/>
      </w:r>
      <w:r>
        <w:t>), i.e. that if a textpart division is present within your commentary, then all your commentarial text must be contained within textpart divisions</w:t>
      </w:r>
    </w:p>
    <w:p w14:paraId="7368B3CD" w14:textId="77777777">
      <w:pPr>
        <w:pStyle w:val="Lista"/>
      </w:pPr>
      <w:r>
        <w:t xml:space="preserve">always add the attribute </w:t>
      </w:r>
      <w:r>
        <w:rPr>
          <w:rStyle w:val="Codeattribute"/>
        </w:rPr>
        <w:t>@n</w:t>
      </w:r>
      <w:r>
        <w:t xml:space="preserve"> to number commentarial textparts, using plain Arabic numerals as values</w:t>
      </w:r>
    </w:p>
    <w:p w14:paraId="12C6B1E4" w14:textId="77777777">
      <w:pPr>
        <w:pStyle w:val="Lista"/>
      </w:pPr>
      <w:r>
        <w:t xml:space="preserve">always add a heading to commentarial textparts, by creating the element </w:t>
      </w:r>
      <w:r>
        <w:rPr>
          <w:rStyle w:val="Code"/>
        </w:rPr>
        <w:t>&lt;head&gt;</w:t>
      </w:r>
      <w:r>
        <w:t xml:space="preserve"> </w:t>
      </w:r>
      <w:r>
        <w:rPr>
          <w:noProof/>
        </w:rPr>
        <w:t>(</w:t>
      </w:r>
      <w:r>
        <w:t>containing free text to be displayed as a heading) as the first item within each textpart division</w:t>
      </w:r>
    </w:p>
    <w:p w14:paraId="6BA33963" w14:textId="77777777">
      <w:pPr>
        <w:pStyle w:val="Lista2"/>
      </w:pPr>
      <w:r>
        <w:t xml:space="preserve">the attribute </w:t>
      </w:r>
      <w:r>
        <w:rPr>
          <w:rStyle w:val="Codeattribute"/>
        </w:rPr>
        <w:t>@xml:lang</w:t>
      </w:r>
      <w:r>
        <w:t xml:space="preserve"> is not required on these </w:t>
      </w:r>
      <w:r>
        <w:rPr>
          <w:rStyle w:val="Code"/>
        </w:rPr>
        <w:t>&lt;head&gt;</w:t>
      </w:r>
      <w:r>
        <w:t xml:space="preserve"> elements, since they are in the same language as the rest of the commentary</w:t>
      </w:r>
    </w:p>
    <w:p w14:paraId="6FDD88B1" w14:textId="77777777">
      <w:pPr>
        <w:pStyle w:val="Cmsor2"/>
      </w:pPr>
      <w:bookmarkStart w:id="907" w:name="_Toc243922773"/>
      <w:r>
        <w:t>Indicating reference to the text</w:t>
      </w:r>
      <w:bookmarkEnd w:id="907"/>
    </w:p>
    <w:p w14:paraId="20D1E6B6" w14:textId="77777777">
      <w:pPr>
        <w:rPr>
          <w:lang w:eastAsia="en-US" w:bidi="ar-SA"/>
        </w:rPr>
      </w:pPr>
      <w:r>
        <w:rPr>
          <w:lang w:eastAsia="en-US" w:bidi="ar-SA"/>
        </w:rPr>
        <w:t>We are not implementing any machine-actionable linking between the text and the commentary. As and when desired, commentarial passages may include human-readable references to the edition.</w:t>
      </w:r>
    </w:p>
    <w:p w14:paraId="2F8CAA10" w14:textId="77777777">
      <w:pPr>
        <w:pStyle w:val="Lista"/>
      </w:pPr>
      <w:r>
        <w:t xml:space="preserve">as in any written commentary, refer to lines, stanzas, </w:t>
      </w:r>
      <w:r>
        <w:rPr>
          <w:rStyle w:val="Foreign"/>
        </w:rPr>
        <w:t>pāda</w:t>
      </w:r>
      <w:r>
        <w:rPr>
          <w:noProof/>
        </w:rPr>
        <w:t>s</w:t>
      </w:r>
      <w:r>
        <w:t xml:space="preserve"> or particular words/phrases as and when necessary, spelling out such references in a clear human-readable manner</w:t>
      </w:r>
    </w:p>
    <w:p w14:paraId="4264E867" w14:textId="57B6B8E8">
      <w:pPr>
        <w:pStyle w:val="Lista"/>
      </w:pPr>
      <w:r>
        <w:t>should you wish to create a structured commentary with entries referred to particular sections of the text, you may employ the human-readable linking method described for translations in §</w:t>
      </w:r>
      <w:r>
        <w:fldChar w:fldCharType="begin"/>
      </w:r>
      <w:r>
        <w:instrText xml:space="preserve"> REF _Ref233620814 \r \h </w:instrText>
      </w:r>
      <w:r>
        <w:fldChar w:fldCharType="separate"/>
      </w:r>
      <w:r>
        <w:t>11.3.1</w:t>
      </w:r>
      <w:r>
        <w:fldChar w:fldCharType="end"/>
      </w:r>
      <w:r>
        <w:t xml:space="preserve"> above, i.e.</w:t>
      </w:r>
    </w:p>
    <w:p w14:paraId="343480EC" w14:textId="77777777">
      <w:pPr>
        <w:pStyle w:val="Lista2"/>
      </w:pPr>
      <w:r>
        <w:t xml:space="preserve">add to any </w:t>
      </w:r>
      <w:r>
        <w:rPr>
          <w:rStyle w:val="Code"/>
        </w:rPr>
        <w:t>&lt;p&gt;</w:t>
      </w:r>
      <w:r>
        <w:t xml:space="preserve"> element in the commentary the attribute </w:t>
      </w:r>
      <w:r>
        <w:rPr>
          <w:rStyle w:val="Codeattribute"/>
        </w:rPr>
        <w:t>@n</w:t>
      </w:r>
      <w:r>
        <w:t>, corresponding to a line number, a range of line numbers, or a set of non-contiguous line numbers in the text</w:t>
      </w:r>
    </w:p>
    <w:p w14:paraId="5D42BED7" w14:textId="77777777">
      <w:pPr>
        <w:pStyle w:val="Lista2"/>
      </w:pPr>
      <w:r>
        <w:lastRenderedPageBreak/>
        <w:t xml:space="preserve">add to any </w:t>
      </w:r>
      <w:r>
        <w:rPr>
          <w:rStyle w:val="Code"/>
        </w:rPr>
        <w:t>&lt;p&gt;</w:t>
      </w:r>
      <w:r>
        <w:t xml:space="preserve"> element in the commentary the attribute </w:t>
      </w:r>
      <w:r>
        <w:rPr>
          <w:rStyle w:val="Codeattribute"/>
        </w:rPr>
        <w:t>@rend</w:t>
      </w:r>
      <w:r>
        <w:t xml:space="preserve"> with the value </w:t>
      </w:r>
      <w:r>
        <w:rPr>
          <w:rStyle w:val="Codevalue"/>
        </w:rPr>
        <w:t>"stanza"</w:t>
      </w:r>
      <w:r>
        <w:t xml:space="preserve"> and the attribute </w:t>
      </w:r>
      <w:r>
        <w:rPr>
          <w:rStyle w:val="Codeattribute"/>
        </w:rPr>
        <w:t>@n</w:t>
      </w:r>
      <w:r>
        <w:t>, corresponding to a stanza number, a range of stanza numbers, or a set of non-contiguous stanza numbers in the text</w:t>
      </w:r>
    </w:p>
    <w:p w14:paraId="64A02787" w14:textId="77777777">
      <w:pPr>
        <w:pStyle w:val="Cmsor2"/>
      </w:pPr>
      <w:bookmarkStart w:id="908" w:name="_Toc243922774"/>
      <w:r>
        <w:t>Markup within the commentary</w:t>
      </w:r>
      <w:bookmarkEnd w:id="908"/>
    </w:p>
    <w:p w14:paraId="6F1955AF" w14:textId="18F816BF">
      <w:pPr>
        <w:pStyle w:val="Lista"/>
      </w:pPr>
      <w:r>
        <w:t xml:space="preserve">the commentary </w:t>
      </w:r>
      <w:r>
        <w:rPr>
          <w:lang w:eastAsia="en-US" w:bidi="ar-SA"/>
        </w:rPr>
        <w:t xml:space="preserve">may include the </w:t>
      </w:r>
      <w:r>
        <w:t>globally permitted miscellaneous markup elements discussed in §</w:t>
      </w:r>
      <w:r>
        <w:fldChar w:fldCharType="begin"/>
      </w:r>
      <w:r>
        <w:instrText xml:space="preserve"> REF _Ref43990225 \w \h  \* MERGEFORMAT </w:instrText>
      </w:r>
      <w:r>
        <w:fldChar w:fldCharType="separate"/>
      </w:r>
      <w:r>
        <w:t>14</w:t>
      </w:r>
      <w:r>
        <w:fldChar w:fldCharType="end"/>
      </w:r>
      <w:r>
        <w:t>, including in particular</w:t>
      </w:r>
    </w:p>
    <w:p w14:paraId="39F90D24" w14:textId="4B385F5E">
      <w:pPr>
        <w:pStyle w:val="Lista2"/>
      </w:pPr>
      <w:r>
        <w:t>lemmas and excerpts from the edition (§</w:t>
      </w:r>
      <w:r>
        <w:fldChar w:fldCharType="begin"/>
      </w:r>
      <w:r>
        <w:instrText xml:space="preserve"> REF _Ref43990337 \r \h </w:instrText>
      </w:r>
      <w:r>
        <w:fldChar w:fldCharType="separate"/>
      </w:r>
      <w:r>
        <w:t>14.1</w:t>
      </w:r>
      <w:r>
        <w:fldChar w:fldCharType="end"/>
      </w:r>
      <w:r>
        <w:t>)</w:t>
      </w:r>
    </w:p>
    <w:p w14:paraId="2279ED94" w14:textId="0162767B">
      <w:pPr>
        <w:pStyle w:val="Lista2"/>
      </w:pPr>
      <w:r>
        <w:t>bibliographic citations (§</w:t>
      </w:r>
      <w:r>
        <w:fldChar w:fldCharType="begin"/>
      </w:r>
      <w:r>
        <w:instrText xml:space="preserve"> REF _Ref233877601 \r \h </w:instrText>
      </w:r>
      <w:r>
        <w:fldChar w:fldCharType="separate"/>
      </w:r>
      <w:r>
        <w:t>14.6.1</w:t>
      </w:r>
      <w:r>
        <w:fldChar w:fldCharType="end"/>
      </w:r>
      <w:r>
        <w:t>)</w:t>
      </w:r>
    </w:p>
    <w:p w14:paraId="3A9C15E4" w14:textId="77777777">
      <w:pPr>
        <w:pStyle w:val="Lista"/>
      </w:pPr>
      <w:r>
        <w:t>the commentary should not contain text-based markup such as brackets, asterisks and other signs</w:t>
      </w:r>
    </w:p>
    <w:p w14:paraId="11009E7A" w14:textId="77777777">
      <w:pPr>
        <w:pStyle w:val="Cmsor1"/>
      </w:pPr>
      <w:bookmarkStart w:id="909" w:name="_lvf2agfolatw" w:colFirst="0" w:colLast="0"/>
      <w:bookmarkStart w:id="910" w:name="_l90e8jlwm99j" w:colFirst="0" w:colLast="0"/>
      <w:bookmarkStart w:id="911" w:name="_Ref43978796"/>
      <w:bookmarkStart w:id="912" w:name="_Toc243922775"/>
      <w:bookmarkEnd w:id="909"/>
      <w:bookmarkEnd w:id="910"/>
      <w:r>
        <w:lastRenderedPageBreak/>
        <w:t>The bibliography</w:t>
      </w:r>
      <w:bookmarkEnd w:id="911"/>
      <w:bookmarkEnd w:id="912"/>
    </w:p>
    <w:p w14:paraId="5FCC6F35" w14:textId="77777777">
      <w:pPr>
        <w:rPr>
          <w:lang w:eastAsia="en-US" w:bidi="ar-SA"/>
        </w:rPr>
      </w:pPr>
      <w:r>
        <w:rPr>
          <w:lang w:eastAsia="en-US" w:bidi="ar-SA"/>
        </w:rPr>
        <w:t xml:space="preserve">DHARMA editions must always be accompanied by a bibliography, with the encoding structure and content specified in this section. The present section of the Guide is </w:t>
      </w:r>
      <w:r>
        <w:rPr>
          <w:i/>
          <w:iCs/>
          <w:lang w:eastAsia="en-US" w:bidi="ar-SA"/>
        </w:rPr>
        <w:t>not</w:t>
      </w:r>
      <w:r>
        <w:rPr>
          <w:lang w:eastAsia="en-US" w:bidi="ar-SA"/>
        </w:rPr>
        <w:t xml:space="preserve"> concerned with other bibliographic details such as</w:t>
      </w:r>
    </w:p>
    <w:p w14:paraId="40D329A2" w14:textId="77777777">
      <w:pPr>
        <w:pStyle w:val="Lista"/>
        <w:rPr>
          <w:lang w:eastAsia="en-US" w:bidi="ar-SA"/>
        </w:rPr>
      </w:pPr>
      <w:r>
        <w:rPr>
          <w:lang w:eastAsia="en-US" w:bidi="ar-SA"/>
        </w:rPr>
        <w:t>the project’s master bibliography, which is maintained in Zotero and discussed in the ZG</w:t>
      </w:r>
    </w:p>
    <w:p w14:paraId="7FF0FC79" w14:textId="6787434C">
      <w:pPr>
        <w:pStyle w:val="Lista"/>
      </w:pPr>
      <w:r>
        <w:t>bibliographic citations, which are treated in §</w:t>
      </w:r>
      <w:r>
        <w:fldChar w:fldCharType="begin"/>
      </w:r>
      <w:r>
        <w:instrText xml:space="preserve"> REF _Ref233877601 \r \h </w:instrText>
      </w:r>
      <w:r>
        <w:fldChar w:fldCharType="separate"/>
      </w:r>
      <w:r>
        <w:t>14.6.1</w:t>
      </w:r>
      <w:r>
        <w:fldChar w:fldCharType="end"/>
      </w:r>
      <w:r>
        <w:t xml:space="preserve"> </w:t>
      </w:r>
    </w:p>
    <w:p w14:paraId="5B1298E1" w14:textId="77777777">
      <w:pPr>
        <w:pStyle w:val="Cmsor2"/>
      </w:pPr>
      <w:bookmarkStart w:id="913" w:name="_Toc243922776"/>
      <w:r>
        <w:t>Encoding the bibliography</w:t>
      </w:r>
      <w:bookmarkEnd w:id="913"/>
    </w:p>
    <w:p w14:paraId="737FD15E" w14:textId="77777777">
      <w:pPr>
        <w:pStyle w:val="Lista"/>
      </w:pPr>
      <w:r>
        <w:t xml:space="preserve">the bibliography must be wrapped in </w:t>
      </w:r>
      <w:r>
        <w:rPr>
          <w:rStyle w:val="Code"/>
        </w:rPr>
        <w:t xml:space="preserve">&lt;div </w:t>
      </w:r>
      <w:r>
        <w:rPr>
          <w:rStyle w:val="Codeattribute"/>
        </w:rPr>
        <w:t>type</w:t>
      </w:r>
      <w:r>
        <w:rPr>
          <w:rStyle w:val="Code"/>
        </w:rPr>
        <w:t>=</w:t>
      </w:r>
      <w:r>
        <w:rPr>
          <w:rStyle w:val="Codevalue"/>
        </w:rPr>
        <w:t>"bibliography"</w:t>
      </w:r>
      <w:r>
        <w:rPr>
          <w:rStyle w:val="Code"/>
        </w:rPr>
        <w:t>&gt;</w:t>
      </w:r>
      <w:r>
        <w:t xml:space="preserve"> without any attributes</w:t>
      </w:r>
    </w:p>
    <w:p w14:paraId="098FF6FE" w14:textId="77777777">
      <w:pPr>
        <w:pStyle w:val="Lista"/>
      </w:pPr>
      <w:r>
        <w:t xml:space="preserve">this division follows the commentary and is the last element within the </w:t>
      </w:r>
      <w:r>
        <w:rPr>
          <w:rStyle w:val="Code"/>
        </w:rPr>
        <w:t>&lt;body&gt;</w:t>
      </w:r>
      <w:r>
        <w:t xml:space="preserve"> of your document, where its skeleton structure is already present in our templates</w:t>
      </w:r>
    </w:p>
    <w:p w14:paraId="73031ADA" w14:textId="15063F1C">
      <w:pPr>
        <w:pStyle w:val="Lista"/>
      </w:pPr>
      <w:r>
        <w:t xml:space="preserve">in all DHARMA editions, the bibliography division mandatorily contains each of the following items, in this order, as pre-structured in our template and as illustrated in </w:t>
      </w:r>
      <w:r>
        <w:fldChar w:fldCharType="begin"/>
      </w:r>
      <w:r>
        <w:instrText xml:space="preserve"> REF _Ref233623329 \h </w:instrText>
      </w:r>
      <w:r>
        <w:fldChar w:fldCharType="separate"/>
      </w:r>
      <w:r>
        <w:t xml:space="preserve">Exhibit </w:t>
      </w:r>
      <w:r>
        <w:rPr>
          <w:noProof/>
        </w:rPr>
        <w:t>13.1</w:t>
      </w:r>
      <w:r>
        <w:t>.</w:t>
      </w:r>
      <w:r>
        <w:rPr>
          <w:noProof/>
        </w:rPr>
        <w:t>A</w:t>
      </w:r>
      <w:r>
        <w:fldChar w:fldCharType="end"/>
      </w:r>
    </w:p>
    <w:p w14:paraId="592A2052" w14:textId="117D9C4F">
      <w:pPr>
        <w:pStyle w:val="Lista2"/>
      </w:pPr>
      <w:r>
        <w:t>an “epigraphic lemma”, §</w:t>
      </w:r>
      <w:r>
        <w:fldChar w:fldCharType="begin"/>
      </w:r>
      <w:r>
        <w:instrText xml:space="preserve"> REF _Ref233623221 \r \h </w:instrText>
      </w:r>
      <w:r>
        <w:fldChar w:fldCharType="separate"/>
      </w:r>
      <w:r>
        <w:t>13.2</w:t>
      </w:r>
      <w:r>
        <w:fldChar w:fldCharType="end"/>
      </w:r>
    </w:p>
    <w:p w14:paraId="4026BED5" w14:textId="72D23331">
      <w:pPr>
        <w:pStyle w:val="Lista2"/>
      </w:pPr>
      <w:r>
        <w:t>a structured bibliography (§</w:t>
      </w:r>
      <w:r>
        <w:fldChar w:fldCharType="begin"/>
      </w:r>
      <w:r>
        <w:instrText xml:space="preserve"> REF _Ref63676627 \r \h </w:instrText>
      </w:r>
      <w:r>
        <w:fldChar w:fldCharType="separate"/>
      </w:r>
      <w:r>
        <w:t>13.3</w:t>
      </w:r>
      <w:r>
        <w:fldChar w:fldCharType="end"/>
      </w:r>
      <w:r>
        <w:t>) subdivided into</w:t>
      </w:r>
    </w:p>
    <w:p w14:paraId="2973D170" w14:textId="5615EA71">
      <w:pPr>
        <w:pStyle w:val="Lista3"/>
      </w:pPr>
      <w:r>
        <w:t>a primary bibliography, §</w:t>
      </w:r>
      <w:r>
        <w:fldChar w:fldCharType="begin"/>
      </w:r>
      <w:r>
        <w:instrText xml:space="preserve"> REF _Ref233625697 \r \h </w:instrText>
      </w:r>
      <w:r>
        <w:fldChar w:fldCharType="separate"/>
      </w:r>
      <w:r>
        <w:t>13.3.1</w:t>
      </w:r>
      <w:r>
        <w:fldChar w:fldCharType="end"/>
      </w:r>
    </w:p>
    <w:p w14:paraId="5663C8C4" w14:textId="3E731E4C">
      <w:pPr>
        <w:pStyle w:val="Lista3"/>
      </w:pPr>
      <w:r>
        <w:t>a secondary bibliography, §</w:t>
      </w:r>
      <w:r>
        <w:fldChar w:fldCharType="begin"/>
      </w:r>
      <w:r>
        <w:instrText xml:space="preserve"> REF _Ref233623410 \r \h </w:instrText>
      </w:r>
      <w:r>
        <w:fldChar w:fldCharType="separate"/>
      </w:r>
      <w:r>
        <w:t>13.3.2</w:t>
      </w:r>
      <w:r>
        <w:fldChar w:fldCharType="end"/>
      </w:r>
    </w:p>
    <w:tbl>
      <w:tblPr>
        <w:tblStyle w:val="CodeSampleTable"/>
        <w:tblW w:w="5000" w:type="pct"/>
        <w:tblLook w:val="04A0" w:firstRow="1" w:lastRow="0" w:firstColumn="1" w:lastColumn="0" w:noHBand="0" w:noVBand="1"/>
      </w:tblPr>
      <w:tblGrid>
        <w:gridCol w:w="9628"/>
      </w:tblGrid>
      <w:tr w14:paraId="77C6930A"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D19F486" w14:textId="424279FF">
            <w:pPr>
              <w:pStyle w:val="Kpalrs"/>
            </w:pPr>
            <w:bookmarkStart w:id="914" w:name="_Ref233623329"/>
            <w:bookmarkStart w:id="915" w:name="_Ref233623325"/>
            <w:r>
              <w:t xml:space="preserve">Exhibit </w:t>
            </w:r>
            <w:fldSimple w:instr=" STYLEREF 2 \s ">
              <w:r>
                <w:rPr>
                  <w:noProof/>
                </w:rPr>
                <w:t>13.1</w:t>
              </w:r>
            </w:fldSimple>
            <w:r>
              <w:t>.</w:t>
            </w:r>
            <w:fldSimple w:instr=" SEQ Exhibit \* ALPHABETIC \s 2 ">
              <w:r>
                <w:rPr>
                  <w:noProof/>
                </w:rPr>
                <w:t>A</w:t>
              </w:r>
            </w:fldSimple>
            <w:bookmarkEnd w:id="914"/>
            <w:r>
              <w:t>: encoding the bibliography division</w:t>
            </w:r>
            <w:bookmarkEnd w:id="915"/>
          </w:p>
        </w:tc>
      </w:tr>
      <w:tr w14:paraId="663E117C" w14:textId="77777777">
        <w:tc>
          <w:tcPr>
            <w:tcW w:w="5000" w:type="pct"/>
          </w:tcPr>
          <w:p w14:paraId="1803E916" w14:textId="77777777">
            <w:pPr>
              <w:pStyle w:val="CodeParagraph"/>
            </w:pPr>
            <w:r>
              <w:rPr>
                <w:rStyle w:val="Code"/>
              </w:rPr>
              <w:t xml:space="preserve">&lt;div </w:t>
            </w:r>
            <w:r>
              <w:rPr>
                <w:rStyle w:val="Codeattribute"/>
              </w:rPr>
              <w:t>type</w:t>
            </w:r>
            <w:r>
              <w:rPr>
                <w:rStyle w:val="Code"/>
              </w:rPr>
              <w:t>=</w:t>
            </w:r>
            <w:r>
              <w:rPr>
                <w:rStyle w:val="Codevalue"/>
              </w:rPr>
              <w:t>"bibliography"</w:t>
            </w:r>
            <w:r>
              <w:rPr>
                <w:rStyle w:val="Code"/>
              </w:rPr>
              <w:t>&gt;</w:t>
            </w:r>
            <w:r>
              <w:rPr>
                <w:rStyle w:val="Codetext"/>
              </w:rPr>
              <w:br/>
              <w:t xml:space="preserve">  </w:t>
            </w:r>
            <w:r>
              <w:rPr>
                <w:rStyle w:val="Code"/>
              </w:rPr>
              <w:t>&lt;p&gt;</w:t>
            </w:r>
            <w:r>
              <w:rPr>
                <w:rStyle w:val="Codetext"/>
              </w:rPr>
              <w:t xml:space="preserve">First edited by Cohen Stuart </w:t>
            </w:r>
            <w:r>
              <w:rPr>
                <w:rStyle w:val="Code"/>
              </w:rPr>
              <w:t xml:space="preserve">&lt;bibl </w:t>
            </w:r>
            <w:r>
              <w:rPr>
                <w:rStyle w:val="Codeattribute"/>
              </w:rPr>
              <w:t>rend</w:t>
            </w:r>
            <w:r>
              <w:rPr>
                <w:rStyle w:val="Code"/>
              </w:rPr>
              <w:t>=</w:t>
            </w:r>
            <w:r>
              <w:rPr>
                <w:rStyle w:val="Codevalue"/>
              </w:rPr>
              <w:t>"omitname"</w:t>
            </w:r>
            <w:r>
              <w:rPr>
                <w:rStyle w:val="Code"/>
              </w:rPr>
              <w:t xml:space="preserve">&gt;&lt;ptr </w:t>
            </w:r>
            <w:r>
              <w:rPr>
                <w:rStyle w:val="Codeattribute"/>
              </w:rPr>
              <w:t>target</w:t>
            </w:r>
            <w:r>
              <w:rPr>
                <w:rStyle w:val="Code"/>
              </w:rPr>
              <w:t>=</w:t>
            </w:r>
            <w:r>
              <w:rPr>
                <w:rStyle w:val="Codevalue"/>
              </w:rPr>
              <w:t>"bib:CohenStuart1875_01"</w:t>
            </w:r>
            <w:r>
              <w:rPr>
                <w:rStyle w:val="Code"/>
              </w:rPr>
              <w:t xml:space="preserve">/&gt;&lt;citedRange </w:t>
            </w:r>
            <w:r>
              <w:rPr>
                <w:rStyle w:val="Codeattribute"/>
              </w:rPr>
              <w:t>unit</w:t>
            </w:r>
            <w:r>
              <w:rPr>
                <w:rStyle w:val="Code"/>
              </w:rPr>
              <w:t>=</w:t>
            </w:r>
            <w:r>
              <w:rPr>
                <w:rStyle w:val="Codevalue"/>
              </w:rPr>
              <w:t>"page"</w:t>
            </w:r>
            <w:r>
              <w:rPr>
                <w:rStyle w:val="Code"/>
              </w:rPr>
              <w:t>&gt;</w:t>
            </w:r>
            <w:r>
              <w:rPr>
                <w:rStyle w:val="Codetext"/>
              </w:rPr>
              <w:t>23</w:t>
            </w:r>
            <w:r>
              <w:rPr>
                <w:rStyle w:val="Code"/>
              </w:rPr>
              <w:t xml:space="preserve">&lt;/citedRange&gt;&lt;citedRange </w:t>
            </w:r>
            <w:r>
              <w:rPr>
                <w:rStyle w:val="Codeattribute"/>
              </w:rPr>
              <w:t>unit</w:t>
            </w:r>
            <w:r>
              <w:rPr>
                <w:rStyle w:val="Code"/>
              </w:rPr>
              <w:t>=</w:t>
            </w:r>
            <w:r>
              <w:rPr>
                <w:rStyle w:val="Codevalue"/>
              </w:rPr>
              <w:t>"item"</w:t>
            </w:r>
            <w:r>
              <w:rPr>
                <w:rStyle w:val="Code"/>
              </w:rPr>
              <w:t>&gt;</w:t>
            </w:r>
            <w:r>
              <w:rPr>
                <w:rStyle w:val="Codetext"/>
              </w:rPr>
              <w:t>XIII</w:t>
            </w:r>
            <w:r>
              <w:rPr>
                <w:rStyle w:val="Code"/>
              </w:rPr>
              <w:t>&lt;/citedRange&gt;&lt;/bibl&gt;</w:t>
            </w:r>
            <w:r>
              <w:rPr>
                <w:rStyle w:val="Codetext"/>
              </w:rPr>
              <w:t xml:space="preserve"> with a lithographic reproduction in the accompanying volume of plates </w:t>
            </w:r>
            <w:r>
              <w:rPr>
                <w:rStyle w:val="Code"/>
              </w:rPr>
              <w:t xml:space="preserve">&lt;bibl&gt;&lt;ptr </w:t>
            </w:r>
            <w:r>
              <w:rPr>
                <w:rStyle w:val="Codeattribute"/>
              </w:rPr>
              <w:t>target</w:t>
            </w:r>
            <w:r>
              <w:rPr>
                <w:rStyle w:val="Code"/>
              </w:rPr>
              <w:t>=</w:t>
            </w:r>
            <w:r>
              <w:rPr>
                <w:rStyle w:val="Codevalue"/>
              </w:rPr>
              <w:t>"bib:Huart+Hooiberg1875_01"</w:t>
            </w:r>
            <w:r>
              <w:rPr>
                <w:rStyle w:val="Code"/>
              </w:rPr>
              <w:t>/&gt;&lt;/bibl&gt;</w:t>
            </w:r>
            <w:r>
              <w:rPr>
                <w:rStyle w:val="Codetext"/>
              </w:rPr>
              <w:t xml:space="preserve">; edited again by Boechari </w:t>
            </w:r>
            <w:r>
              <w:rPr>
                <w:rStyle w:val="Code"/>
              </w:rPr>
              <w:t xml:space="preserve">&lt;bibl </w:t>
            </w:r>
            <w:r>
              <w:rPr>
                <w:rStyle w:val="Codeattribute"/>
              </w:rPr>
              <w:t>rend</w:t>
            </w:r>
            <w:r>
              <w:rPr>
                <w:rStyle w:val="Code"/>
              </w:rPr>
              <w:t>=</w:t>
            </w:r>
            <w:r>
              <w:rPr>
                <w:rStyle w:val="Codevalue"/>
              </w:rPr>
              <w:t>"omitname"</w:t>
            </w:r>
            <w:r>
              <w:rPr>
                <w:rStyle w:val="Code"/>
              </w:rPr>
              <w:t xml:space="preserve">&gt;&lt;ptr </w:t>
            </w:r>
            <w:r>
              <w:rPr>
                <w:rStyle w:val="Codeattribute"/>
              </w:rPr>
              <w:t>target</w:t>
            </w:r>
            <w:r>
              <w:rPr>
                <w:rStyle w:val="Code"/>
              </w:rPr>
              <w:t>=</w:t>
            </w:r>
            <w:r>
              <w:rPr>
                <w:rStyle w:val="Codevalue"/>
              </w:rPr>
              <w:t>"bib:Boechari1985-1986_01"</w:t>
            </w:r>
            <w:r>
              <w:rPr>
                <w:rStyle w:val="Code"/>
              </w:rPr>
              <w:t xml:space="preserve">/&gt;&lt;citedRange </w:t>
            </w:r>
            <w:r>
              <w:rPr>
                <w:rStyle w:val="Codeattribute"/>
              </w:rPr>
              <w:t>unit</w:t>
            </w:r>
            <w:r>
              <w:rPr>
                <w:rStyle w:val="Code"/>
              </w:rPr>
              <w:t>=</w:t>
            </w:r>
            <w:r>
              <w:rPr>
                <w:rStyle w:val="Codevalue"/>
              </w:rPr>
              <w:t>"page"</w:t>
            </w:r>
            <w:r>
              <w:rPr>
                <w:rStyle w:val="Code"/>
              </w:rPr>
              <w:t>&gt;</w:t>
            </w:r>
            <w:r>
              <w:rPr>
                <w:rStyle w:val="Codetext"/>
              </w:rPr>
              <w:t>53</w:t>
            </w:r>
            <w:r>
              <w:rPr>
                <w:rStyle w:val="Code"/>
              </w:rPr>
              <w:t>&lt;/citedRange&gt;</w:t>
            </w:r>
            <w:r>
              <w:rPr>
                <w:rStyle w:val="Codetext"/>
              </w:rPr>
              <w:t xml:space="preserve"> </w:t>
            </w:r>
            <w:r>
              <w:rPr>
                <w:rStyle w:val="Code"/>
              </w:rPr>
              <w:t xml:space="preserve">&lt;citedRange </w:t>
            </w:r>
            <w:r>
              <w:rPr>
                <w:rStyle w:val="Codeattribute"/>
              </w:rPr>
              <w:t>unit</w:t>
            </w:r>
            <w:r>
              <w:rPr>
                <w:rStyle w:val="Code"/>
              </w:rPr>
              <w:t>=</w:t>
            </w:r>
            <w:r>
              <w:rPr>
                <w:rStyle w:val="Codevalue"/>
              </w:rPr>
              <w:t>"item"</w:t>
            </w:r>
            <w:r>
              <w:rPr>
                <w:rStyle w:val="Code"/>
              </w:rPr>
              <w:t>&gt;</w:t>
            </w:r>
            <w:r>
              <w:rPr>
                <w:rStyle w:val="Codetext"/>
              </w:rPr>
              <w:t>E.16</w:t>
            </w:r>
            <w:r>
              <w:rPr>
                <w:rStyle w:val="Code"/>
              </w:rPr>
              <w:t>&lt;/citedRange&gt;&lt;/bibl&gt;</w:t>
            </w:r>
            <w:r>
              <w:rPr>
                <w:rStyle w:val="Codetext"/>
              </w:rPr>
              <w:t>; re-edited here by Arlo Griffiths from the Leiden estampage of the plate.</w:t>
            </w:r>
            <w:r>
              <w:rPr>
                <w:rStyle w:val="Codetext"/>
              </w:rPr>
              <w:br/>
              <w:t xml:space="preserve">  </w:t>
            </w:r>
            <w:r>
              <w:rPr>
                <w:rStyle w:val="Code"/>
              </w:rPr>
              <w:t>&lt;/p&gt;</w:t>
            </w:r>
            <w:r>
              <w:rPr>
                <w:rStyle w:val="Codetext"/>
              </w:rPr>
              <w:br/>
              <w:t xml:space="preserve">  </w:t>
            </w:r>
            <w:r>
              <w:rPr>
                <w:rStyle w:val="Code"/>
              </w:rPr>
              <w:t xml:space="preserve">&lt;listBibl </w:t>
            </w:r>
            <w:r>
              <w:rPr>
                <w:rStyle w:val="Codeattribute"/>
              </w:rPr>
              <w:t>type</w:t>
            </w:r>
            <w:r>
              <w:rPr>
                <w:rStyle w:val="Code"/>
              </w:rPr>
              <w:t>=</w:t>
            </w:r>
            <w:r>
              <w:rPr>
                <w:rStyle w:val="Codevalue"/>
              </w:rPr>
              <w:t>"primary"</w:t>
            </w:r>
            <w:r>
              <w:rPr>
                <w:rStyle w:val="Code"/>
              </w:rPr>
              <w:t>&gt;</w:t>
            </w:r>
            <w:r>
              <w:rPr>
                <w:rStyle w:val="Codetext"/>
              </w:rPr>
              <w:br/>
              <w:t xml:space="preserve">    </w:t>
            </w:r>
            <w:r>
              <w:rPr>
                <w:rStyle w:val="Code"/>
              </w:rPr>
              <w:t xml:space="preserve">&lt;bibl </w:t>
            </w:r>
            <w:r>
              <w:rPr>
                <w:rStyle w:val="Codeattribute"/>
              </w:rPr>
              <w:t>n</w:t>
            </w:r>
            <w:r>
              <w:rPr>
                <w:rStyle w:val="Code"/>
              </w:rPr>
              <w:t>=</w:t>
            </w:r>
            <w:r>
              <w:rPr>
                <w:rStyle w:val="Codevalue"/>
              </w:rPr>
              <w:t>"B"</w:t>
            </w:r>
            <w:r>
              <w:rPr>
                <w:rStyle w:val="Code"/>
              </w:rPr>
              <w:t>&gt;</w:t>
            </w:r>
            <w:r>
              <w:rPr>
                <w:rStyle w:val="Codetext"/>
              </w:rPr>
              <w:br/>
              <w:t xml:space="preserve">      </w:t>
            </w:r>
            <w:r>
              <w:rPr>
                <w:rStyle w:val="Code"/>
              </w:rPr>
              <w:t xml:space="preserve">&lt;ptr </w:t>
            </w:r>
            <w:r>
              <w:rPr>
                <w:rStyle w:val="Codeattribute"/>
              </w:rPr>
              <w:t>target</w:t>
            </w:r>
            <w:r>
              <w:rPr>
                <w:rStyle w:val="Code"/>
              </w:rPr>
              <w:t>=</w:t>
            </w:r>
            <w:r>
              <w:rPr>
                <w:rStyle w:val="Codevalue"/>
              </w:rPr>
              <w:t>"bib:Boechari1985-1986_01"</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"page"</w:t>
            </w:r>
            <w:r>
              <w:rPr>
                <w:rStyle w:val="Code"/>
              </w:rPr>
              <w:t>&gt;</w:t>
            </w:r>
            <w:r>
              <w:rPr>
                <w:rStyle w:val="Codetext"/>
              </w:rPr>
              <w:t>53</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"item"</w:t>
            </w:r>
            <w:r>
              <w:rPr>
                <w:rStyle w:val="Code"/>
              </w:rPr>
              <w:t>&gt;</w:t>
            </w:r>
            <w:r>
              <w:rPr>
                <w:rStyle w:val="Codetext"/>
              </w:rPr>
              <w:t>E.16</w:t>
            </w:r>
            <w:r>
              <w:rPr>
                <w:rStyle w:val="Code"/>
              </w:rPr>
              <w:t>&lt;/citedRange&gt;</w:t>
            </w:r>
            <w:r>
              <w:rPr>
                <w:rStyle w:val="Codetext"/>
              </w:rPr>
              <w:br/>
              <w:t xml:space="preserve">    </w:t>
            </w:r>
            <w:r>
              <w:rPr>
                <w:rStyle w:val="Code"/>
              </w:rPr>
              <w:t>&lt;/bibl&gt;</w:t>
            </w:r>
            <w:r>
              <w:rPr>
                <w:rStyle w:val="Codetext"/>
              </w:rPr>
              <w:br/>
              <w:t xml:space="preserve">    </w:t>
            </w:r>
            <w:r>
              <w:rPr>
                <w:rStyle w:val="Code"/>
              </w:rPr>
              <w:t xml:space="preserve">&lt;bibl </w:t>
            </w:r>
            <w:r>
              <w:rPr>
                <w:rStyle w:val="Codeattribute"/>
              </w:rPr>
              <w:t>n</w:t>
            </w:r>
            <w:r>
              <w:rPr>
                <w:rStyle w:val="Code"/>
              </w:rPr>
              <w:t>=</w:t>
            </w:r>
            <w:r>
              <w:rPr>
                <w:rStyle w:val="Codevalue"/>
              </w:rPr>
              <w:t>"CS"</w:t>
            </w:r>
            <w:r>
              <w:rPr>
                <w:rStyle w:val="Code"/>
              </w:rPr>
              <w:t>&gt;</w:t>
            </w:r>
            <w:r>
              <w:rPr>
                <w:rStyle w:val="Codetext"/>
              </w:rPr>
              <w:br/>
              <w:t xml:space="preserve">      </w:t>
            </w:r>
            <w:r>
              <w:rPr>
                <w:rStyle w:val="Code"/>
              </w:rPr>
              <w:t xml:space="preserve">&lt;ptr </w:t>
            </w:r>
            <w:r>
              <w:rPr>
                <w:rStyle w:val="Codeattribute"/>
              </w:rPr>
              <w:t>target</w:t>
            </w:r>
            <w:r>
              <w:rPr>
                <w:rStyle w:val="Code"/>
              </w:rPr>
              <w:t>=</w:t>
            </w:r>
            <w:r>
              <w:rPr>
                <w:rStyle w:val="Codevalue"/>
              </w:rPr>
              <w:t>"bib:CohenStuart1875_01"</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"page"</w:t>
            </w:r>
            <w:r>
              <w:rPr>
                <w:rStyle w:val="Code"/>
              </w:rPr>
              <w:t>&gt;</w:t>
            </w:r>
            <w:r>
              <w:rPr>
                <w:rStyle w:val="Codetext"/>
              </w:rPr>
              <w:t>23</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"item"</w:t>
            </w:r>
            <w:r>
              <w:rPr>
                <w:rStyle w:val="Code"/>
              </w:rPr>
              <w:t>&gt;</w:t>
            </w:r>
            <w:r>
              <w:rPr>
                <w:rStyle w:val="Codetext"/>
              </w:rPr>
              <w:t>XIII</w:t>
            </w:r>
            <w:r>
              <w:rPr>
                <w:rStyle w:val="Code"/>
              </w:rPr>
              <w:t>&lt;/citedRange&gt;</w:t>
            </w:r>
            <w:r>
              <w:rPr>
                <w:rStyle w:val="Codetext"/>
              </w:rPr>
              <w:br/>
              <w:t xml:space="preserve">    </w:t>
            </w:r>
            <w:r>
              <w:rPr>
                <w:rStyle w:val="Code"/>
              </w:rPr>
              <w:t>&lt;/bibl&gt;</w:t>
            </w:r>
            <w:r>
              <w:rPr>
                <w:rStyle w:val="Codetext"/>
              </w:rPr>
              <w:br/>
              <w:t xml:space="preserve">    </w:t>
            </w:r>
            <w:r>
              <w:rPr>
                <w:rStyle w:val="Code"/>
              </w:rPr>
              <w:t xml:space="preserve">&lt;bibl </w:t>
            </w:r>
            <w:r>
              <w:rPr>
                <w:rStyle w:val="Codeattribute"/>
              </w:rPr>
              <w:t>n</w:t>
            </w:r>
            <w:r>
              <w:rPr>
                <w:rStyle w:val="Code"/>
              </w:rPr>
              <w:t>=</w:t>
            </w:r>
            <w:r>
              <w:rPr>
                <w:rStyle w:val="Codevalue"/>
              </w:rPr>
              <w:t>"HH"</w:t>
            </w:r>
            <w:r>
              <w:rPr>
                <w:rStyle w:val="Code"/>
              </w:rPr>
              <w:t>&gt;</w:t>
            </w:r>
            <w:r>
              <w:rPr>
                <w:rStyle w:val="Codetext"/>
              </w:rPr>
              <w:br/>
              <w:t xml:space="preserve">      </w:t>
            </w:r>
            <w:r>
              <w:rPr>
                <w:rStyle w:val="Code"/>
              </w:rPr>
              <w:t xml:space="preserve">&lt;ptr </w:t>
            </w:r>
            <w:r>
              <w:rPr>
                <w:rStyle w:val="Codeattribute"/>
              </w:rPr>
              <w:t>target</w:t>
            </w:r>
            <w:r>
              <w:rPr>
                <w:rStyle w:val="Code"/>
              </w:rPr>
              <w:t>=</w:t>
            </w:r>
            <w:r>
              <w:rPr>
                <w:rStyle w:val="Codevalue"/>
              </w:rPr>
              <w:t>"bib:Huart+Hooiberg1875_01"</w:t>
            </w:r>
            <w:r>
              <w:rPr>
                <w:rStyle w:val="Code"/>
              </w:rPr>
              <w:t>/&gt;</w:t>
            </w:r>
            <w:r>
              <w:rPr>
                <w:rStyle w:val="Codetext"/>
              </w:rPr>
              <w:br/>
              <w:t xml:space="preserve">    </w:t>
            </w:r>
            <w:r>
              <w:rPr>
                <w:rStyle w:val="Code"/>
              </w:rPr>
              <w:t>&lt;/bibl&gt;</w:t>
            </w:r>
            <w:r>
              <w:rPr>
                <w:rStyle w:val="Codetext"/>
              </w:rPr>
              <w:br/>
              <w:t xml:space="preserve">  </w:t>
            </w:r>
            <w:r>
              <w:rPr>
                <w:rStyle w:val="Code"/>
              </w:rPr>
              <w:t>&lt;/listBibl&gt;</w:t>
            </w:r>
            <w:r>
              <w:rPr>
                <w:rStyle w:val="Codetext"/>
              </w:rPr>
              <w:br/>
              <w:t xml:space="preserve">  </w:t>
            </w:r>
            <w:r>
              <w:rPr>
                <w:rStyle w:val="Code"/>
              </w:rPr>
              <w:t xml:space="preserve">&lt;listBibl </w:t>
            </w:r>
            <w:r>
              <w:rPr>
                <w:rStyle w:val="Codeattribute"/>
              </w:rPr>
              <w:t>type</w:t>
            </w:r>
            <w:r>
              <w:rPr>
                <w:rStyle w:val="Code"/>
              </w:rPr>
              <w:t>=</w:t>
            </w:r>
            <w:r>
              <w:rPr>
                <w:rStyle w:val="Codevalue"/>
              </w:rPr>
              <w:t>"secondary"</w:t>
            </w:r>
            <w:r>
              <w:rPr>
                <w:rStyle w:val="Code"/>
              </w:rPr>
              <w:t>&gt;</w:t>
            </w:r>
            <w:r>
              <w:rPr>
                <w:rStyle w:val="Codetext"/>
              </w:rPr>
              <w:br/>
              <w:t xml:space="preserve">    </w:t>
            </w:r>
            <w:r>
              <w:rPr>
                <w:rStyle w:val="Code"/>
              </w:rPr>
              <w:t xml:space="preserve">&lt;bibl&gt;&lt;ptr </w:t>
            </w:r>
            <w:r>
              <w:rPr>
                <w:rStyle w:val="Codeattribute"/>
              </w:rPr>
              <w:t>target</w:t>
            </w:r>
            <w:r>
              <w:rPr>
                <w:rStyle w:val="Code"/>
              </w:rPr>
              <w:t>=</w:t>
            </w:r>
            <w:r>
              <w:rPr>
                <w:rStyle w:val="Codevalue"/>
              </w:rPr>
              <w:t>"bib:NBG08_1870"</w:t>
            </w:r>
            <w:r>
              <w:rPr>
                <w:rStyle w:val="Code"/>
              </w:rPr>
              <w:t>/&gt;&lt;date&gt;</w:t>
            </w:r>
            <w:r>
              <w:rPr>
                <w:rStyle w:val="Codetext"/>
              </w:rPr>
              <w:t>1870</w:t>
            </w:r>
            <w:r>
              <w:rPr>
                <w:rStyle w:val="Code"/>
              </w:rPr>
              <w:t>&lt;/date&gt;&lt;citedRange&gt;</w:t>
            </w:r>
            <w:r>
              <w:rPr>
                <w:rStyle w:val="Codetext"/>
              </w:rPr>
              <w:t>72, 78</w:t>
            </w:r>
            <w:r>
              <w:rPr>
                <w:rStyle w:val="Code"/>
              </w:rPr>
              <w:t>&lt;/citedRange&gt;&lt;/bibl&gt;</w:t>
            </w:r>
            <w:r>
              <w:rPr>
                <w:rStyle w:val="Codetext"/>
              </w:rPr>
              <w:br/>
              <w:t xml:space="preserve">    </w:t>
            </w:r>
            <w:r>
              <w:rPr>
                <w:rStyle w:val="Code"/>
              </w:rPr>
              <w:t xml:space="preserve">&lt;bibl&gt;&lt;ptr </w:t>
            </w:r>
            <w:r>
              <w:rPr>
                <w:rStyle w:val="Codeattribute"/>
              </w:rPr>
              <w:t>target</w:t>
            </w:r>
            <w:r>
              <w:rPr>
                <w:rStyle w:val="Code"/>
              </w:rPr>
              <w:t>=</w:t>
            </w:r>
            <w:r>
              <w:rPr>
                <w:rStyle w:val="Codevalue"/>
              </w:rPr>
              <w:t>"bib:Verbeek1891_01"</w:t>
            </w:r>
            <w:r>
              <w:rPr>
                <w:rStyle w:val="Code"/>
              </w:rPr>
              <w:t xml:space="preserve">/&gt;&lt;citedRange </w:t>
            </w:r>
            <w:r>
              <w:rPr>
                <w:rStyle w:val="Codeattribute"/>
              </w:rPr>
              <w:t>unit</w:t>
            </w:r>
            <w:r>
              <w:rPr>
                <w:rStyle w:val="Code"/>
              </w:rPr>
              <w:t>=</w:t>
            </w:r>
            <w:r>
              <w:rPr>
                <w:rStyle w:val="Codevalue"/>
              </w:rPr>
              <w:t>"page"</w:t>
            </w:r>
            <w:r>
              <w:rPr>
                <w:rStyle w:val="Code"/>
              </w:rPr>
              <w:t>&gt;</w:t>
            </w:r>
            <w:r>
              <w:rPr>
                <w:rStyle w:val="Codetext"/>
              </w:rPr>
              <w:t>149-150</w:t>
            </w:r>
            <w:r>
              <w:rPr>
                <w:rStyle w:val="Code"/>
              </w:rPr>
              <w:t>&lt;/citedRange&gt;</w:t>
            </w:r>
            <w:r>
              <w:rPr>
                <w:rStyle w:val="Codetext"/>
              </w:rPr>
              <w:t xml:space="preserve"> </w:t>
            </w:r>
            <w:r>
              <w:rPr>
                <w:rStyle w:val="Code"/>
              </w:rPr>
              <w:t xml:space="preserve">&lt;citedRange </w:t>
            </w:r>
            <w:r>
              <w:rPr>
                <w:rStyle w:val="Codeattribute"/>
              </w:rPr>
              <w:t>unit</w:t>
            </w:r>
            <w:r>
              <w:rPr>
                <w:rStyle w:val="Code"/>
              </w:rPr>
              <w:t>=</w:t>
            </w:r>
            <w:r>
              <w:rPr>
                <w:rStyle w:val="Codevalue"/>
              </w:rPr>
              <w:t>"item"</w:t>
            </w:r>
            <w:r>
              <w:rPr>
                <w:rStyle w:val="Code"/>
              </w:rPr>
              <w:t>&gt;</w:t>
            </w:r>
            <w:r>
              <w:rPr>
                <w:rStyle w:val="Codetext"/>
              </w:rPr>
              <w:t>276</w:t>
            </w:r>
            <w:r>
              <w:rPr>
                <w:rStyle w:val="Code"/>
              </w:rPr>
              <w:t>&lt;/citedRange&gt;&lt;/bibl&gt;</w:t>
            </w:r>
            <w:r>
              <w:rPr>
                <w:rStyle w:val="Codetext"/>
              </w:rPr>
              <w:br/>
              <w:t xml:space="preserve">    </w:t>
            </w:r>
            <w:r>
              <w:rPr>
                <w:rStyle w:val="Code"/>
              </w:rPr>
              <w:t xml:space="preserve">&lt;bibl&gt;&lt;ptr </w:t>
            </w:r>
            <w:r>
              <w:rPr>
                <w:rStyle w:val="Codeattribute"/>
              </w:rPr>
              <w:t>target</w:t>
            </w:r>
            <w:r>
              <w:rPr>
                <w:rStyle w:val="Code"/>
              </w:rPr>
              <w:t>=</w:t>
            </w:r>
            <w:r>
              <w:rPr>
                <w:rStyle w:val="Codevalue"/>
              </w:rPr>
              <w:t>"bib:Damais1970_01"</w:t>
            </w:r>
            <w:r>
              <w:rPr>
                <w:rStyle w:val="Code"/>
              </w:rPr>
              <w:t xml:space="preserve">/&gt;&lt;citedRange </w:t>
            </w:r>
            <w:r>
              <w:rPr>
                <w:rStyle w:val="Codeattribute"/>
              </w:rPr>
              <w:t>unit</w:t>
            </w:r>
            <w:r>
              <w:rPr>
                <w:rStyle w:val="Code"/>
              </w:rPr>
              <w:t>=</w:t>
            </w:r>
            <w:r>
              <w:rPr>
                <w:rStyle w:val="Codevalue"/>
              </w:rPr>
              <w:t>"page"</w:t>
            </w:r>
            <w:r>
              <w:rPr>
                <w:rStyle w:val="Code"/>
              </w:rPr>
              <w:t>&gt;</w:t>
            </w:r>
            <w:r>
              <w:rPr>
                <w:rStyle w:val="Codetext"/>
              </w:rPr>
              <w:t>48</w:t>
            </w:r>
            <w:r>
              <w:rPr>
                <w:rStyle w:val="Code"/>
              </w:rPr>
              <w:t xml:space="preserve">&lt;/citedRange&gt;&lt;citedRange </w:t>
            </w:r>
            <w:r>
              <w:rPr>
                <w:rStyle w:val="Codeattribute"/>
              </w:rPr>
              <w:t>unit</w:t>
            </w:r>
            <w:r>
              <w:rPr>
                <w:rStyle w:val="Code"/>
              </w:rPr>
              <w:t>=</w:t>
            </w:r>
            <w:r>
              <w:rPr>
                <w:rStyle w:val="Codevalue"/>
              </w:rPr>
              <w:t>"item"</w:t>
            </w:r>
            <w:r>
              <w:rPr>
                <w:rStyle w:val="Code"/>
              </w:rPr>
              <w:t>&gt;</w:t>
            </w:r>
            <w:r>
              <w:rPr>
                <w:rStyle w:val="Codetext"/>
              </w:rPr>
              <w:t>86</w:t>
            </w:r>
            <w:r>
              <w:rPr>
                <w:rStyle w:val="Code"/>
              </w:rPr>
              <w:t xml:space="preserve">&lt;/citedRange&gt;&lt;citedRange </w:t>
            </w:r>
            <w:r>
              <w:rPr>
                <w:rStyle w:val="Codeattribute"/>
              </w:rPr>
              <w:t>unit</w:t>
            </w:r>
            <w:r>
              <w:rPr>
                <w:rStyle w:val="Code"/>
              </w:rPr>
              <w:t>=</w:t>
            </w:r>
            <w:r>
              <w:rPr>
                <w:rStyle w:val="Codevalue"/>
              </w:rPr>
              <w:t>"note"</w:t>
            </w:r>
            <w:r>
              <w:rPr>
                <w:rStyle w:val="Code"/>
              </w:rPr>
              <w:t>&gt;</w:t>
            </w:r>
            <w:r>
              <w:rPr>
                <w:rStyle w:val="Codetext"/>
              </w:rPr>
              <w:t>13</w:t>
            </w:r>
            <w:r>
              <w:rPr>
                <w:rStyle w:val="Code"/>
              </w:rPr>
              <w:t>&lt;/citedRange&gt;&lt;/bibl&gt;</w:t>
            </w:r>
          </w:p>
          <w:p w14:paraId="6911AD9B" w14:textId="77777777">
            <w:pPr>
              <w:pStyle w:val="CodeParagraph"/>
            </w:pPr>
            <w:r>
              <w:rPr>
                <w:rStyle w:val="Codetext"/>
              </w:rPr>
              <w:t xml:space="preserve">  </w:t>
            </w:r>
            <w:r>
              <w:rPr>
                <w:rStyle w:val="Code"/>
              </w:rPr>
              <w:t>&lt;/listBibl&gt;</w:t>
            </w:r>
            <w:r>
              <w:rPr>
                <w:rStyle w:val="Codetext"/>
              </w:rPr>
              <w:br/>
            </w:r>
            <w:r>
              <w:rPr>
                <w:rStyle w:val="Code"/>
              </w:rPr>
              <w:t>&lt;/div&gt;</w:t>
            </w:r>
          </w:p>
        </w:tc>
      </w:tr>
    </w:tbl>
    <w:p w14:paraId="6D496AAE" w14:textId="77777777">
      <w:pPr>
        <w:pStyle w:val="Cmsor2"/>
      </w:pPr>
      <w:bookmarkStart w:id="916" w:name="_Ref233623221"/>
      <w:bookmarkStart w:id="917" w:name="_Toc243922777"/>
      <w:r>
        <w:t>The epigraphic lemma</w:t>
      </w:r>
      <w:bookmarkEnd w:id="916"/>
      <w:bookmarkEnd w:id="917"/>
    </w:p>
    <w:p w14:paraId="348E7FD6" w14:textId="0A34627A">
      <w:r>
        <w:rPr>
          <w:lang w:eastAsia="en-US" w:bidi="ar-SA"/>
        </w:rPr>
        <w:t xml:space="preserve">An epigraphic lemma (called by this name in Greek and Roman epigraphy) </w:t>
      </w:r>
      <w:r>
        <w:t xml:space="preserve">is a paragraph which explains the history of research leading up the present edition. Our epigraphic lemmas shall be encoded as a single </w:t>
      </w:r>
      <w:r>
        <w:rPr>
          <w:rStyle w:val="Code"/>
        </w:rPr>
        <w:t>&lt;p&gt;</w:t>
      </w:r>
      <w:r>
        <w:t xml:space="preserve"> </w:t>
      </w:r>
      <w:r>
        <w:lastRenderedPageBreak/>
        <w:t xml:space="preserve">element that is the first child of the bibliography division, containing freeform discursive English text, as illustrated in </w:t>
      </w:r>
      <w:r>
        <w:fldChar w:fldCharType="begin"/>
      </w:r>
      <w:r>
        <w:instrText xml:space="preserve"> REF _Ref233623329 \h </w:instrText>
      </w:r>
      <w:r>
        <w:fldChar w:fldCharType="separate"/>
      </w:r>
      <w:r>
        <w:t xml:space="preserve">Exhibit </w:t>
      </w:r>
      <w:r>
        <w:rPr>
          <w:noProof/>
        </w:rPr>
        <w:t>13.1</w:t>
      </w:r>
      <w:r>
        <w:t>.</w:t>
      </w:r>
      <w:r>
        <w:rPr>
          <w:noProof/>
        </w:rPr>
        <w:t>A</w:t>
      </w:r>
      <w:r>
        <w:fldChar w:fldCharType="end"/>
      </w:r>
      <w:r>
        <w:t xml:space="preserve">. </w:t>
      </w:r>
    </w:p>
    <w:p w14:paraId="59CAFA80" w14:textId="77777777">
      <w:pPr>
        <w:pStyle w:val="Lista"/>
      </w:pPr>
      <w:r>
        <w:t>the epigraphic lemma will normally be centred around a list of the principal publications pertaining to the study of the text and its translation, in ascending chronological order up to the one that most immediately precedes the present edition</w:t>
      </w:r>
    </w:p>
    <w:p w14:paraId="5AF8DE75" w14:textId="5EF54494">
      <w:pPr>
        <w:pStyle w:val="Lista2"/>
      </w:pPr>
      <w:r>
        <w:t>principal publications are typically the same as the items of the primary bibliography (§</w:t>
      </w:r>
      <w:r>
        <w:fldChar w:fldCharType="begin"/>
      </w:r>
      <w:r>
        <w:instrText xml:space="preserve"> REF _Ref63676627 \r \h </w:instrText>
      </w:r>
      <w:r>
        <w:fldChar w:fldCharType="separate"/>
      </w:r>
      <w:r>
        <w:t>13.3</w:t>
      </w:r>
      <w:r>
        <w:fldChar w:fldCharType="end"/>
      </w:r>
      <w:r>
        <w:t>), but early reports, facsimiles and translations without an accompanying edition may also be mentioned here</w:t>
      </w:r>
    </w:p>
    <w:p w14:paraId="187B262B" w14:textId="090F8B14">
      <w:pPr>
        <w:pStyle w:val="Lista2"/>
      </w:pPr>
      <w:r>
        <w:t xml:space="preserve">each reference must be encoded as a bibliographic citation </w:t>
      </w:r>
      <w:r>
        <w:rPr>
          <w:noProof/>
        </w:rPr>
        <w:t>(</w:t>
      </w:r>
      <w:r>
        <w:t>§</w:t>
      </w:r>
      <w:r>
        <w:fldChar w:fldCharType="begin"/>
      </w:r>
      <w:r>
        <w:instrText xml:space="preserve"> REF _Ref233877601 \r \h </w:instrText>
      </w:r>
      <w:r>
        <w:fldChar w:fldCharType="separate"/>
      </w:r>
      <w:r>
        <w:t>14.6.1</w:t>
      </w:r>
      <w:r>
        <w:fldChar w:fldCharType="end"/>
      </w:r>
      <w:r>
        <w:t xml:space="preserve">) </w:t>
      </w:r>
    </w:p>
    <w:p w14:paraId="4773F62B" w14:textId="77777777">
      <w:pPr>
        <w:pStyle w:val="Lista3"/>
      </w:pPr>
      <w:r>
        <w:t>the encoding can be copied and pasted from or to the structured bibliography, then edited as needed</w:t>
      </w:r>
    </w:p>
    <w:p w14:paraId="46B7B274" w14:textId="77777777">
      <w:pPr>
        <w:pStyle w:val="Lista2"/>
      </w:pPr>
      <w:r>
        <w:t>each reference must be integrated into a sentence explaining the relevance of the item</w:t>
      </w:r>
    </w:p>
    <w:p w14:paraId="1045D606" w14:textId="77777777">
      <w:pPr>
        <w:pStyle w:val="Lista3"/>
      </w:pPr>
      <w:r>
        <w:t>specify whether the item includes an edition, a facsimile or a translation of the text</w:t>
      </w:r>
    </w:p>
    <w:p w14:paraId="62305B66" w14:textId="77777777">
      <w:pPr>
        <w:pStyle w:val="Lista3"/>
      </w:pPr>
      <w:r>
        <w:t>for any publication that includes visual documentation, give a full account of such documentation in the epigraphic lemma (reproduction method, print quality, missing parts, etc.)</w:t>
      </w:r>
    </w:p>
    <w:p w14:paraId="742F533C" w14:textId="77777777">
      <w:pPr>
        <w:pStyle w:val="Lista3"/>
      </w:pPr>
      <w:r>
        <w:t>for editions, specify the kind and source of the visual documentation on which the edition was based</w:t>
      </w:r>
    </w:p>
    <w:p w14:paraId="56991650" w14:textId="77777777">
      <w:pPr>
        <w:pStyle w:val="Lista"/>
      </w:pPr>
      <w:r>
        <w:t>the epigraphic lemma shall end with the introduction of the present edition</w:t>
      </w:r>
    </w:p>
    <w:p w14:paraId="49F9DC18" w14:textId="77777777">
      <w:pPr>
        <w:pStyle w:val="Lista2"/>
      </w:pPr>
      <w:r>
        <w:t>this will be the only item of the epigraphic lemma for texts which have not been published before</w:t>
      </w:r>
    </w:p>
    <w:p w14:paraId="117D672D" w14:textId="0ED19D91">
      <w:pPr>
        <w:pStyle w:val="Lista2"/>
      </w:pPr>
      <w:r>
        <w:t xml:space="preserve">include your name (along with the names of any collaborators) in this item, stating in human-readable form the same information that has been encoded in the </w:t>
      </w:r>
      <w:r>
        <w:rPr>
          <w:rStyle w:val="Code"/>
        </w:rPr>
        <w:t>&lt;respStmt&gt;</w:t>
      </w:r>
      <w:r>
        <w:t xml:space="preserve"> (§</w:t>
      </w:r>
      <w:r>
        <w:fldChar w:fldCharType="begin"/>
      </w:r>
      <w:r>
        <w:instrText xml:space="preserve"> REF _Ref43990001 \w \h  \* MERGEFORMAT </w:instrText>
      </w:r>
      <w:r>
        <w:fldChar w:fldCharType="separate"/>
      </w:r>
      <w:r>
        <w:t>15.1.2</w:t>
      </w:r>
      <w:r>
        <w:fldChar w:fldCharType="end"/>
      </w:r>
      <w:r>
        <w:t>) and, if applicable, elaborating it</w:t>
      </w:r>
    </w:p>
    <w:p w14:paraId="12EBF6C0" w14:textId="77777777">
      <w:pPr>
        <w:pStyle w:val="Lista2"/>
      </w:pPr>
      <w:r>
        <w:t>specify the kind and source of the visual documentation on which your edition is based</w:t>
      </w:r>
    </w:p>
    <w:p w14:paraId="0165EF95" w14:textId="3391ED84">
      <w:pPr>
        <w:pStyle w:val="Lista3"/>
      </w:pPr>
      <w:r>
        <w:t>see also §</w:t>
      </w:r>
      <w:r>
        <w:fldChar w:fldCharType="begin"/>
      </w:r>
      <w:r>
        <w:instrText xml:space="preserve"> REF _Ref240361060 \r \h </w:instrText>
      </w:r>
      <w:r>
        <w:fldChar w:fldCharType="separate"/>
      </w:r>
      <w:r>
        <w:t>13.2.1</w:t>
      </w:r>
      <w:r>
        <w:fldChar w:fldCharType="end"/>
      </w:r>
      <w:r>
        <w:t xml:space="preserve"> and </w:t>
      </w:r>
      <w:r>
        <w:fldChar w:fldCharType="begin"/>
      </w:r>
      <w:r>
        <w:instrText xml:space="preserve"> REF _Ref240361012 \h </w:instrText>
      </w:r>
      <w:r>
        <w:fldChar w:fldCharType="separate"/>
      </w:r>
      <w:r>
        <w:t xml:space="preserve">Exhibit </w:t>
      </w:r>
      <w:r>
        <w:rPr>
          <w:noProof/>
        </w:rPr>
        <w:t>13.2</w:t>
      </w:r>
      <w:r>
        <w:t>.</w:t>
      </w:r>
      <w:r>
        <w:rPr>
          <w:noProof/>
        </w:rPr>
        <w:t>A</w:t>
      </w:r>
      <w:r>
        <w:fldChar w:fldCharType="end"/>
      </w:r>
    </w:p>
    <w:p w14:paraId="3EA4D3B6" w14:textId="77777777">
      <w:pPr>
        <w:pStyle w:val="Cmsor3"/>
      </w:pPr>
      <w:bookmarkStart w:id="918" w:name="_Ref240361060"/>
      <w:bookmarkStart w:id="919" w:name="_Toc243922778"/>
      <w:r>
        <w:t>Markup within the epigraphic lemma</w:t>
      </w:r>
      <w:bookmarkEnd w:id="918"/>
      <w:bookmarkEnd w:id="919"/>
    </w:p>
    <w:p w14:paraId="545AC9E1" w14:textId="560E223E">
      <w:pPr>
        <w:pStyle w:val="Lista"/>
      </w:pPr>
      <w:r>
        <w:rPr>
          <w:lang w:eastAsia="en-US" w:bidi="ar-SA"/>
        </w:rPr>
        <w:t xml:space="preserve">as free text, the epigraphic lemma may include the </w:t>
      </w:r>
      <w:r>
        <w:t>globally permitted miscellaneous markup elements discussed in §</w:t>
      </w:r>
      <w:r>
        <w:fldChar w:fldCharType="begin"/>
      </w:r>
      <w:r>
        <w:instrText xml:space="preserve"> REF _Ref43990225 \w \h  \* MERGEFORMAT </w:instrText>
      </w:r>
      <w:r>
        <w:fldChar w:fldCharType="separate"/>
      </w:r>
      <w:r>
        <w:t>14</w:t>
      </w:r>
      <w:r>
        <w:fldChar w:fldCharType="end"/>
      </w:r>
      <w:r>
        <w:t>, including in particular</w:t>
      </w:r>
    </w:p>
    <w:p w14:paraId="39FF9D19" w14:textId="3F028B96">
      <w:pPr>
        <w:pStyle w:val="Lista2"/>
        <w:rPr>
          <w:lang w:eastAsia="en-US" w:bidi="ar-SA"/>
        </w:rPr>
      </w:pPr>
      <w:r>
        <w:t>bibliographic citations (§</w:t>
      </w:r>
      <w:r>
        <w:fldChar w:fldCharType="begin"/>
      </w:r>
      <w:r>
        <w:instrText xml:space="preserve"> REF _Ref233877601 \r \h </w:instrText>
      </w:r>
      <w:r>
        <w:fldChar w:fldCharType="separate"/>
      </w:r>
      <w:r>
        <w:t>14.6.1</w:t>
      </w:r>
      <w:r>
        <w:fldChar w:fldCharType="end"/>
      </w:r>
      <w:r>
        <w:t>), which are mandatory as described in §</w:t>
      </w:r>
      <w:r>
        <w:fldChar w:fldCharType="begin"/>
      </w:r>
      <w:r>
        <w:instrText xml:space="preserve"> REF _Ref233623221 \r \h </w:instrText>
      </w:r>
      <w:r>
        <w:fldChar w:fldCharType="separate"/>
      </w:r>
      <w:r>
        <w:t>13.2</w:t>
      </w:r>
      <w:r>
        <w:fldChar w:fldCharType="end"/>
      </w:r>
      <w:r>
        <w:t xml:space="preserve"> above</w:t>
      </w:r>
    </w:p>
    <w:p w14:paraId="1E3A9230" w14:textId="42A68554">
      <w:pPr>
        <w:pStyle w:val="Lista2"/>
      </w:pPr>
      <w:r>
        <w:t>notes (§</w:t>
      </w:r>
      <w:r>
        <w:fldChar w:fldCharType="begin"/>
      </w:r>
      <w:r>
        <w:instrText xml:space="preserve"> REF _Ref43989684 \r \h </w:instrText>
      </w:r>
      <w:r>
        <w:fldChar w:fldCharType="separate"/>
      </w:r>
      <w:r>
        <w:t>14.5</w:t>
      </w:r>
      <w:r>
        <w:fldChar w:fldCharType="end"/>
      </w:r>
      <w:r>
        <w:t xml:space="preserve">) </w:t>
      </w:r>
    </w:p>
    <w:p w14:paraId="48070791" w14:textId="77777777">
      <w:pPr>
        <w:pStyle w:val="Lista3"/>
      </w:pPr>
      <w:r>
        <w:t xml:space="preserve">if you wish to add a note to a particular bibliographic citation, remember to place the </w:t>
      </w:r>
      <w:r>
        <w:rPr>
          <w:rStyle w:val="Code"/>
        </w:rPr>
        <w:t>&lt;note&gt;</w:t>
      </w:r>
      <w:r>
        <w:t xml:space="preserve"> element outside, and immediately after, the </w:t>
      </w:r>
      <w:r>
        <w:rPr>
          <w:rStyle w:val="Code"/>
        </w:rPr>
        <w:t>&lt;bibl&gt;</w:t>
      </w:r>
      <w:r>
        <w:t xml:space="preserve"> element</w:t>
      </w:r>
    </w:p>
    <w:p w14:paraId="50BA0E21" w14:textId="3A718B86">
      <w:pPr>
        <w:pStyle w:val="Lista2"/>
      </w:pPr>
      <w:r>
        <w:t>reference to websites (§</w:t>
      </w:r>
      <w:r>
        <w:fldChar w:fldCharType="begin"/>
      </w:r>
      <w:r>
        <w:instrText xml:space="preserve"> REF _Ref155689459 \r \h </w:instrText>
      </w:r>
      <w:r>
        <w:fldChar w:fldCharType="separate"/>
      </w:r>
      <w:r>
        <w:t>14.6.4.2</w:t>
      </w:r>
      <w:r>
        <w:fldChar w:fldCharType="end"/>
      </w:r>
      <w:r>
        <w:t>), especially when visual documentation or metadata have been made available in a public repository</w:t>
      </w:r>
    </w:p>
    <w:p w14:paraId="0CBCFAA2" w14:textId="772B1CED">
      <w:pPr>
        <w:pStyle w:val="Lista2"/>
      </w:pPr>
      <w:r>
        <w:t xml:space="preserve">see </w:t>
      </w:r>
      <w:r>
        <w:fldChar w:fldCharType="begin"/>
      </w:r>
      <w:r>
        <w:instrText xml:space="preserve"> REF _Ref240361012 \h </w:instrText>
      </w:r>
      <w:r>
        <w:fldChar w:fldCharType="separate"/>
      </w:r>
      <w:r>
        <w:t xml:space="preserve">Exhibit </w:t>
      </w:r>
      <w:r>
        <w:rPr>
          <w:noProof/>
        </w:rPr>
        <w:t>13.2</w:t>
      </w:r>
      <w:r>
        <w:t>.</w:t>
      </w:r>
      <w:r>
        <w:rPr>
          <w:noProof/>
        </w:rPr>
        <w:t>A</w:t>
      </w:r>
      <w:r>
        <w:fldChar w:fldCharType="end"/>
      </w:r>
      <w:r>
        <w:t xml:space="preserve"> for an illustration with various references</w:t>
      </w:r>
    </w:p>
    <w:tbl>
      <w:tblPr>
        <w:tblStyle w:val="CodeSampleTable"/>
        <w:tblW w:w="5000" w:type="pct"/>
        <w:tblLook w:val="04A0" w:firstRow="1" w:lastRow="0" w:firstColumn="1" w:lastColumn="0" w:noHBand="0" w:noVBand="1"/>
      </w:tblPr>
      <w:tblGrid>
        <w:gridCol w:w="9628"/>
      </w:tblGrid>
      <w:tr w14:paraId="7F124A22"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8E7C8E1" w14:textId="7CC24BA7">
            <w:pPr>
              <w:pStyle w:val="Kpalrs"/>
            </w:pPr>
            <w:bookmarkStart w:id="920" w:name="_Ref240361012"/>
            <w:r>
              <w:t xml:space="preserve">Exhibit </w:t>
            </w:r>
            <w:fldSimple w:instr=" STYLEREF 2 \s ">
              <w:r>
                <w:rPr>
                  <w:noProof/>
                </w:rPr>
                <w:t>13.2</w:t>
              </w:r>
            </w:fldSimple>
            <w:r>
              <w:t>.</w:t>
            </w:r>
            <w:fldSimple w:instr=" SEQ Exhibit \* ALPHABETIC \s 2 ">
              <w:r>
                <w:rPr>
                  <w:noProof/>
                </w:rPr>
                <w:t>A</w:t>
              </w:r>
            </w:fldSimple>
            <w:bookmarkEnd w:id="920"/>
            <w:r>
              <w:t>: epigraphic lemma with encoded external links</w:t>
            </w:r>
          </w:p>
        </w:tc>
      </w:tr>
      <w:tr w14:paraId="4C64183F" w14:textId="77777777">
        <w:tc>
          <w:tcPr>
            <w:tcW w:w="5000" w:type="pct"/>
          </w:tcPr>
          <w:p w14:paraId="7BB2F7DA" w14:textId="77777777">
            <w:pPr>
              <w:pStyle w:val="CodeParagraph"/>
              <w:rPr>
                <w:rStyle w:val="Code"/>
              </w:rPr>
            </w:pPr>
            <w:r>
              <w:rPr>
                <w:rStyle w:val="Code"/>
              </w:rPr>
              <w:t xml:space="preserve">&lt;div </w:t>
            </w:r>
            <w:r>
              <w:rPr>
                <w:rStyle w:val="Codeattribute"/>
              </w:rPr>
              <w:t>type</w:t>
            </w:r>
            <w:r>
              <w:rPr>
                <w:rStyle w:val="Code"/>
              </w:rPr>
              <w:t>=</w:t>
            </w:r>
            <w:r>
              <w:rPr>
                <w:rStyle w:val="Codevalue"/>
              </w:rPr>
              <w:t>"bibliography"</w:t>
            </w:r>
            <w:r>
              <w:rPr>
                <w:rStyle w:val="Code"/>
              </w:rPr>
              <w:t>&gt;</w:t>
            </w:r>
            <w:r>
              <w:rPr>
                <w:rStyle w:val="Codetext"/>
              </w:rPr>
              <w:br/>
              <w:t xml:space="preserve">  </w:t>
            </w:r>
            <w:r>
              <w:rPr>
                <w:rStyle w:val="Code"/>
              </w:rPr>
              <w:t>&lt;p&gt;</w:t>
            </w:r>
            <w:r>
              <w:rPr>
                <w:rStyle w:val="Codetext"/>
              </w:rPr>
              <w:t>First published, with translation into Dutch, by F. D. K. Bosch (</w:t>
            </w:r>
            <w:r>
              <w:rPr>
                <w:rStyle w:val="Code"/>
              </w:rPr>
              <w:t xml:space="preserve">&lt;bibl </w:t>
            </w:r>
            <w:r>
              <w:rPr>
                <w:rStyle w:val="Codeattribute"/>
              </w:rPr>
              <w:t>rend=</w:t>
            </w:r>
            <w:r>
              <w:rPr>
                <w:rStyle w:val="Codevalue"/>
              </w:rPr>
              <w:t>"omitname"</w:t>
            </w:r>
            <w:r>
              <w:rPr>
                <w:rStyle w:val="Code"/>
              </w:rPr>
              <w:t xml:space="preserve">&gt;&lt;ptr </w:t>
            </w:r>
            <w:r>
              <w:rPr>
                <w:rStyle w:val="Codeattribute"/>
              </w:rPr>
              <w:t>target=</w:t>
            </w:r>
            <w:r>
              <w:rPr>
                <w:rStyle w:val="Codevalue"/>
              </w:rPr>
              <w:t>"bib:Bosch1919-1921_02"</w:t>
            </w:r>
            <w:r>
              <w:rPr>
                <w:rStyle w:val="Code"/>
              </w:rPr>
              <w:t>/&gt;&lt;/bibl&gt;</w:t>
            </w:r>
            <w:r>
              <w:rPr>
                <w:rStyle w:val="Codetext"/>
              </w:rPr>
              <w:t xml:space="preserve">). A new edition by Arlo Griffiths was published, with translation into Indonesian, in </w:t>
            </w:r>
            <w:r>
              <w:rPr>
                <w:rStyle w:val="Code"/>
              </w:rPr>
              <w:t xml:space="preserve">&lt;bibl&gt;&lt;ptr </w:t>
            </w:r>
            <w:r>
              <w:rPr>
                <w:rStyle w:val="Codeattribute"/>
              </w:rPr>
              <w:t>target=</w:t>
            </w:r>
            <w:r>
              <w:rPr>
                <w:rStyle w:val="Codevalue"/>
              </w:rPr>
              <w:t>"bib:TitiSurtiNastiti+al2025_01"</w:t>
            </w:r>
            <w:r>
              <w:rPr>
                <w:rStyle w:val="Code"/>
              </w:rPr>
              <w:t>/&gt;&lt;/bibl&gt;</w:t>
            </w:r>
            <w:r>
              <w:rPr>
                <w:rStyle w:val="Codetext"/>
              </w:rPr>
              <w:t xml:space="preserve">, making use of available surrogates, notably the OD estampage (447, captured in photograph </w:t>
            </w:r>
            <w:r>
              <w:rPr>
                <w:rStyle w:val="Code"/>
              </w:rPr>
              <w:t xml:space="preserve">&lt;ref </w:t>
            </w:r>
            <w:r>
              <w:rPr>
                <w:rStyle w:val="Codeattribute"/>
              </w:rPr>
              <w:t>target=</w:t>
            </w:r>
            <w:r>
              <w:rPr>
                <w:rStyle w:val="Codevalue"/>
              </w:rPr>
              <w:t>"http://hdl.handle.net/1887.1/item:4101102"</w:t>
            </w:r>
            <w:r>
              <w:rPr>
                <w:rStyle w:val="Code"/>
              </w:rPr>
              <w:t>&gt;</w:t>
            </w:r>
            <w:r>
              <w:rPr>
                <w:rStyle w:val="Codetext"/>
              </w:rPr>
              <w:t>OD 3809</w:t>
            </w:r>
            <w:r>
              <w:rPr>
                <w:rStyle w:val="Code"/>
              </w:rPr>
              <w:t>&lt;/ref&gt;</w:t>
            </w:r>
            <w:r>
              <w:rPr>
                <w:rStyle w:val="Codetext"/>
              </w:rPr>
              <w:t xml:space="preserve">), the EFEO estampage (n. 2247), and BRIN-EFEO </w:t>
            </w:r>
            <w:r>
              <w:rPr>
                <w:rStyle w:val="Code"/>
              </w:rPr>
              <w:t xml:space="preserve">&lt;ref </w:t>
            </w:r>
            <w:r>
              <w:rPr>
                <w:rStyle w:val="Codeattribute"/>
              </w:rPr>
              <w:t>target=</w:t>
            </w:r>
            <w:r>
              <w:rPr>
                <w:rStyle w:val="Codevalue"/>
              </w:rPr>
              <w:t>"https://nakala.fr/10.34847/nkl.dccf5f0p"</w:t>
            </w:r>
            <w:r>
              <w:rPr>
                <w:rStyle w:val="Code"/>
              </w:rPr>
              <w:t>&gt;</w:t>
            </w:r>
            <w:r>
              <w:rPr>
                <w:rStyle w:val="Codetext"/>
              </w:rPr>
              <w:t>orthophotos</w:t>
            </w:r>
            <w:r>
              <w:rPr>
                <w:rStyle w:val="Code"/>
              </w:rPr>
              <w:t>&lt;/ref&gt;</w:t>
            </w:r>
            <w:r>
              <w:rPr>
                <w:rStyle w:val="Codetext"/>
              </w:rPr>
              <w:t xml:space="preserve">. That edition is reproduced here, with addition of an English translation. For a full listing of photographs of the statue and of surrogates of the inscription, bibliographic references and other metadata, see </w:t>
            </w:r>
            <w:r>
              <w:rPr>
                <w:rStyle w:val="Code"/>
              </w:rPr>
              <w:t xml:space="preserve">&lt;ref </w:t>
            </w:r>
            <w:r>
              <w:rPr>
                <w:rStyle w:val="Codeattribute"/>
              </w:rPr>
              <w:t>target=</w:t>
            </w:r>
            <w:r>
              <w:rPr>
                <w:rStyle w:val="Codevalue"/>
              </w:rPr>
              <w:t>"https://heurist.huma-num.fr/IDENK/INS-EN/00649"</w:t>
            </w:r>
            <w:r>
              <w:rPr>
                <w:rStyle w:val="Code"/>
              </w:rPr>
              <w:t>&gt;</w:t>
            </w:r>
            <w:r>
              <w:rPr>
                <w:rStyle w:val="Codetext"/>
              </w:rPr>
              <w:t>IDENK N. 649</w:t>
            </w:r>
            <w:r>
              <w:rPr>
                <w:rStyle w:val="Code"/>
              </w:rPr>
              <w:t>&lt;/ref&gt;</w:t>
            </w:r>
            <w:r>
              <w:rPr>
                <w:rStyle w:val="Codetext"/>
              </w:rPr>
              <w:t>.</w:t>
            </w:r>
            <w:r>
              <w:rPr>
                <w:rStyle w:val="Code"/>
              </w:rPr>
              <w:t>&lt;/p&gt;</w:t>
            </w:r>
            <w:r>
              <w:rPr>
                <w:rStyle w:val="Codetext"/>
              </w:rPr>
              <w:br/>
              <w:t xml:space="preserve">  </w:t>
            </w:r>
            <w:r>
              <w:rPr>
                <w:rStyle w:val="Code"/>
              </w:rPr>
              <w:t>...</w:t>
            </w:r>
          </w:p>
          <w:p w14:paraId="1BDB6FFE" w14:textId="77777777">
            <w:pPr>
              <w:pStyle w:val="CodeParagraph"/>
            </w:pPr>
            <w:r>
              <w:rPr>
                <w:rStyle w:val="Code"/>
              </w:rPr>
              <w:t>&lt;/div&gt;</w:t>
            </w:r>
          </w:p>
        </w:tc>
      </w:tr>
    </w:tbl>
    <w:p w14:paraId="081DF169" w14:textId="77777777">
      <w:pPr>
        <w:pStyle w:val="Cmsor2"/>
      </w:pPr>
      <w:bookmarkStart w:id="921" w:name="_hp16ctxmuxyv" w:colFirst="0" w:colLast="0"/>
      <w:bookmarkStart w:id="922" w:name="_Ref63676627"/>
      <w:bookmarkStart w:id="923" w:name="_Toc243922779"/>
      <w:bookmarkEnd w:id="921"/>
      <w:r>
        <w:t>The structured bibliography</w:t>
      </w:r>
      <w:bookmarkEnd w:id="922"/>
      <w:bookmarkEnd w:id="923"/>
    </w:p>
    <w:p w14:paraId="7FC2F4D3" w14:textId="03076FBD">
      <w:r>
        <w:t>The structured bibliography may not contain free text except in the form of notes. It is subdivided into a primary (§</w:t>
      </w:r>
      <w:r>
        <w:fldChar w:fldCharType="begin"/>
      </w:r>
      <w:r>
        <w:instrText xml:space="preserve"> REF _Ref233625697 \r \h </w:instrText>
      </w:r>
      <w:r>
        <w:fldChar w:fldCharType="separate"/>
      </w:r>
      <w:r>
        <w:t>13.3.1</w:t>
      </w:r>
      <w:r>
        <w:fldChar w:fldCharType="end"/>
      </w:r>
      <w:r>
        <w:t>) and a secondary section (§</w:t>
      </w:r>
      <w:r>
        <w:fldChar w:fldCharType="begin"/>
      </w:r>
      <w:r>
        <w:instrText xml:space="preserve"> REF _Ref233625847 \r \h </w:instrText>
      </w:r>
      <w:r>
        <w:fldChar w:fldCharType="separate"/>
      </w:r>
      <w:r>
        <w:t>13.3.2</w:t>
      </w:r>
      <w:r>
        <w:fldChar w:fldCharType="end"/>
      </w:r>
      <w:r>
        <w:t xml:space="preserve">), each of which is encoded as a </w:t>
      </w:r>
      <w:r>
        <w:rPr>
          <w:rStyle w:val="Code"/>
        </w:rPr>
        <w:t>&lt;listBibl&gt;</w:t>
      </w:r>
      <w:r>
        <w:t xml:space="preserve"> container</w:t>
      </w:r>
    </w:p>
    <w:p w14:paraId="75373EE1" w14:textId="77777777">
      <w:pPr>
        <w:pStyle w:val="Lista"/>
      </w:pPr>
      <w:r>
        <w:t xml:space="preserve">each such container must contain one </w:t>
      </w:r>
      <w:r>
        <w:rPr>
          <w:rStyle w:val="Code"/>
        </w:rPr>
        <w:t>&lt;bibl&gt;</w:t>
      </w:r>
      <w:r>
        <w:t xml:space="preserve"> element for each bibliographic entry, and nothing else</w:t>
      </w:r>
    </w:p>
    <w:p w14:paraId="6374443C" w14:textId="3E8C868E">
      <w:pPr>
        <w:pStyle w:val="Lista2"/>
      </w:pPr>
      <w:r>
        <w:t>the individual citations must be encoded as per §</w:t>
      </w:r>
      <w:r>
        <w:fldChar w:fldCharType="begin"/>
      </w:r>
      <w:r>
        <w:instrText xml:space="preserve"> REF _Ref233877601 \r \h </w:instrText>
      </w:r>
      <w:r>
        <w:fldChar w:fldCharType="separate"/>
      </w:r>
      <w:r>
        <w:t>14.6.1</w:t>
      </w:r>
      <w:r>
        <w:fldChar w:fldCharType="end"/>
      </w:r>
      <w:r>
        <w:t xml:space="preserve"> </w:t>
      </w:r>
    </w:p>
    <w:p w14:paraId="7E6A8D6E" w14:textId="5A1CF7C1">
      <w:pPr>
        <w:pStyle w:val="Lista2"/>
      </w:pPr>
      <w:r>
        <w:lastRenderedPageBreak/>
        <w:t>with the addition of a siglum (§</w:t>
      </w:r>
      <w:r>
        <w:fldChar w:fldCharType="begin"/>
      </w:r>
      <w:r>
        <w:instrText xml:space="preserve"> REF _Ref233625904 \r \h </w:instrText>
      </w:r>
      <w:r>
        <w:fldChar w:fldCharType="separate"/>
      </w:r>
      <w:r>
        <w:t>13.3.3</w:t>
      </w:r>
      <w:r>
        <w:fldChar w:fldCharType="end"/>
      </w:r>
      <w:r>
        <w:t>) for each item cited in your apparatus</w:t>
      </w:r>
    </w:p>
    <w:p w14:paraId="58C0BAC8" w14:textId="77777777">
      <w:pPr>
        <w:pStyle w:val="Lista"/>
      </w:pPr>
      <w:r>
        <w:t xml:space="preserve">should there be no bibliographic references available for either the primary or the secondary bibliography (typically when encoding a previously unedited document, or during work in progress), create one empty </w:t>
      </w:r>
      <w:r>
        <w:rPr>
          <w:rStyle w:val="Code"/>
        </w:rPr>
        <w:t>&lt;bibl/&gt;</w:t>
      </w:r>
      <w:r>
        <w:t xml:space="preserve"> element as a placeholder within the applicable </w:t>
      </w:r>
      <w:r>
        <w:rPr>
          <w:rStyle w:val="Code"/>
        </w:rPr>
        <w:t>&lt;listBibl&gt;</w:t>
      </w:r>
      <w:r>
        <w:t xml:space="preserve"> element</w:t>
      </w:r>
    </w:p>
    <w:p w14:paraId="74CA7461" w14:textId="1B780280">
      <w:pPr>
        <w:pStyle w:val="Lista"/>
      </w:pPr>
      <w:r>
        <w:t xml:space="preserve">when necessary, notes may be added to the bibliography in the form of a </w:t>
      </w:r>
      <w:r>
        <w:rPr>
          <w:rStyle w:val="Code"/>
        </w:rPr>
        <w:t>&lt;note&gt;</w:t>
      </w:r>
      <w:r>
        <w:t xml:space="preserve"> element encoded as per §</w:t>
      </w:r>
      <w:r>
        <w:fldChar w:fldCharType="begin"/>
      </w:r>
      <w:r>
        <w:instrText xml:space="preserve"> REF _Ref43989684 \r \h </w:instrText>
      </w:r>
      <w:r>
        <w:fldChar w:fldCharType="separate"/>
      </w:r>
      <w:r>
        <w:t>14.5</w:t>
      </w:r>
      <w:r>
        <w:fldChar w:fldCharType="end"/>
      </w:r>
    </w:p>
    <w:p w14:paraId="15DF9265" w14:textId="77777777">
      <w:pPr>
        <w:pStyle w:val="Lista2"/>
      </w:pPr>
      <w:r>
        <w:t xml:space="preserve">such a note must be the last child of a </w:t>
      </w:r>
      <w:r>
        <w:rPr>
          <w:rStyle w:val="Code"/>
        </w:rPr>
        <w:t>&lt;bibl&gt;</w:t>
      </w:r>
      <w:r>
        <w:t xml:space="preserve"> element, and may not be created between </w:t>
      </w:r>
      <w:r>
        <w:rPr>
          <w:rStyle w:val="Code"/>
        </w:rPr>
        <w:t>&lt;bibl&gt;</w:t>
      </w:r>
      <w:r>
        <w:t xml:space="preserve"> elements, nor at a non-ultimate position within a </w:t>
      </w:r>
      <w:r>
        <w:rPr>
          <w:rStyle w:val="Code"/>
        </w:rPr>
        <w:t>&lt;bibl&gt;</w:t>
      </w:r>
      <w:r>
        <w:t xml:space="preserve"> element</w:t>
      </w:r>
    </w:p>
    <w:p w14:paraId="3CFFE88F" w14:textId="77777777">
      <w:pPr>
        <w:pStyle w:val="Cmsor3"/>
      </w:pPr>
      <w:bookmarkStart w:id="924" w:name="_Ref233625697"/>
      <w:bookmarkStart w:id="925" w:name="_Toc243922780"/>
      <w:r>
        <w:t>The primary bibliography</w:t>
      </w:r>
      <w:bookmarkEnd w:id="924"/>
      <w:bookmarkEnd w:id="925"/>
    </w:p>
    <w:p w14:paraId="408994CF" w14:textId="77777777">
      <w:pPr>
        <w:pStyle w:val="Lista"/>
        <w:rPr>
          <w:lang w:eastAsia="en-US" w:bidi="ar-SA"/>
        </w:rPr>
      </w:pPr>
      <w:r>
        <w:rPr>
          <w:lang w:eastAsia="en-US" w:bidi="ar-SA"/>
        </w:rPr>
        <w:t xml:space="preserve">the primary bibliography of a DHARMA edition collects any and all known </w:t>
      </w:r>
      <w:r>
        <w:t>independent integral editions of the document</w:t>
      </w:r>
    </w:p>
    <w:p w14:paraId="791EA163" w14:textId="77777777">
      <w:pPr>
        <w:pStyle w:val="Lista"/>
      </w:pPr>
      <w:r>
        <w:t xml:space="preserve">the container for the primary bibliography is the element </w:t>
      </w:r>
      <w:r>
        <w:rPr>
          <w:rStyle w:val="Code"/>
        </w:rPr>
        <w:t xml:space="preserve">&lt;listBibl </w:t>
      </w:r>
      <w:r>
        <w:rPr>
          <w:rStyle w:val="Codeattribute"/>
        </w:rPr>
        <w:t>type</w:t>
      </w:r>
      <w:r>
        <w:rPr>
          <w:rStyle w:val="Code"/>
        </w:rPr>
        <w:t>=</w:t>
      </w:r>
      <w:r>
        <w:rPr>
          <w:rStyle w:val="Codevalue"/>
        </w:rPr>
        <w:t>"primary"</w:t>
      </w:r>
      <w:r>
        <w:rPr>
          <w:rStyle w:val="Code"/>
        </w:rPr>
        <w:t>&gt;</w:t>
      </w:r>
      <w:r>
        <w:t xml:space="preserve">, placed immediately after the </w:t>
      </w:r>
      <w:r>
        <w:rPr>
          <w:rStyle w:val="Code"/>
        </w:rPr>
        <w:t>&lt;p&gt;</w:t>
      </w:r>
      <w:r>
        <w:t xml:space="preserve"> element containing the epigraphic lemma</w:t>
      </w:r>
    </w:p>
    <w:p w14:paraId="27224B27" w14:textId="77777777">
      <w:pPr>
        <w:pStyle w:val="Cmsor3"/>
      </w:pPr>
      <w:bookmarkStart w:id="926" w:name="_Ref233625847"/>
      <w:bookmarkStart w:id="927" w:name="_Ref233623410"/>
      <w:bookmarkStart w:id="928" w:name="_Ref43989610"/>
      <w:bookmarkStart w:id="929" w:name="_Toc243922781"/>
      <w:r>
        <w:t>The secondary bibliography</w:t>
      </w:r>
      <w:bookmarkEnd w:id="926"/>
      <w:bookmarkEnd w:id="929"/>
    </w:p>
    <w:p w14:paraId="69A9D821" w14:textId="77777777">
      <w:pPr>
        <w:pStyle w:val="Lista"/>
      </w:pPr>
      <w:r>
        <w:t>the secondary bibliography of a DHARMA edition collects any publications relevant to the inscription other than independent integral editions, such as</w:t>
      </w:r>
    </w:p>
    <w:p w14:paraId="33D55656" w14:textId="77777777">
      <w:pPr>
        <w:pStyle w:val="Lista2"/>
      </w:pPr>
      <w:r>
        <w:t xml:space="preserve">re-publications of previous editions </w:t>
      </w:r>
      <w:r>
        <w:rPr>
          <w:noProof/>
        </w:rPr>
        <w:t>(</w:t>
      </w:r>
      <w:r>
        <w:t>without new insights)</w:t>
      </w:r>
    </w:p>
    <w:p w14:paraId="1A5DEDBF" w14:textId="77777777">
      <w:pPr>
        <w:pStyle w:val="Lista2"/>
      </w:pPr>
      <w:r>
        <w:t xml:space="preserve">reports </w:t>
      </w:r>
      <w:r>
        <w:rPr>
          <w:noProof/>
        </w:rPr>
        <w:t>(</w:t>
      </w:r>
      <w:r>
        <w:t>ARIE, etc.)</w:t>
      </w:r>
    </w:p>
    <w:p w14:paraId="20767D53" w14:textId="77777777">
      <w:pPr>
        <w:pStyle w:val="Lista2"/>
      </w:pPr>
      <w:r>
        <w:t>partial readings or translations</w:t>
      </w:r>
    </w:p>
    <w:p w14:paraId="7CB290D2" w14:textId="77777777">
      <w:pPr>
        <w:pStyle w:val="Lista2"/>
      </w:pPr>
      <w:r>
        <w:t>descriptions/discussions of the inscription’s content, the support, specific readings, etc.</w:t>
      </w:r>
    </w:p>
    <w:p w14:paraId="696AC6EA" w14:textId="77777777">
      <w:pPr>
        <w:pStyle w:val="Lista"/>
      </w:pPr>
      <w:r>
        <w:t xml:space="preserve">the container for the secondary bibliography is the element </w:t>
      </w:r>
      <w:r>
        <w:rPr>
          <w:rStyle w:val="Code"/>
        </w:rPr>
        <w:t xml:space="preserve">&lt;listBibl </w:t>
      </w:r>
      <w:r>
        <w:rPr>
          <w:rStyle w:val="Codeattribute"/>
        </w:rPr>
        <w:t>type</w:t>
      </w:r>
      <w:r>
        <w:rPr>
          <w:rStyle w:val="Code"/>
        </w:rPr>
        <w:t>=</w:t>
      </w:r>
      <w:r>
        <w:rPr>
          <w:rStyle w:val="Codevalue"/>
        </w:rPr>
        <w:t>"secondary"</w:t>
      </w:r>
      <w:r>
        <w:rPr>
          <w:rStyle w:val="Code"/>
        </w:rPr>
        <w:t>&gt;</w:t>
      </w:r>
      <w:r>
        <w:t>, placed immediately after the primary bibliography</w:t>
      </w:r>
    </w:p>
    <w:p w14:paraId="405DFE50" w14:textId="77777777">
      <w:pPr>
        <w:pStyle w:val="Cmsor3"/>
      </w:pPr>
      <w:bookmarkStart w:id="930" w:name="_Ref233625904"/>
      <w:bookmarkStart w:id="931" w:name="_Ref233636572"/>
      <w:bookmarkStart w:id="932" w:name="_Toc243922782"/>
      <w:r>
        <w:t>Bibliographic sigla</w:t>
      </w:r>
      <w:bookmarkEnd w:id="930"/>
      <w:bookmarkEnd w:id="932"/>
    </w:p>
    <w:p w14:paraId="70F20DD7" w14:textId="212A2203">
      <w:r>
        <w:t xml:space="preserve">If your apparatus cites a previous publication as the </w:t>
      </w:r>
      <w:r>
        <w:rPr>
          <w:rStyle w:val="Codeattribute"/>
        </w:rPr>
        <w:t>@source</w:t>
      </w:r>
      <w:r>
        <w:t xml:space="preserve"> of a lemma (§</w:t>
      </w:r>
      <w:r>
        <w:fldChar w:fldCharType="begin"/>
      </w:r>
      <w:r>
        <w:instrText xml:space="preserve"> REF _Ref233625530 \r \h </w:instrText>
      </w:r>
      <w:r>
        <w:fldChar w:fldCharType="separate"/>
      </w:r>
      <w:r>
        <w:t>10.3.3</w:t>
      </w:r>
      <w:r>
        <w:fldChar w:fldCharType="end"/>
      </w:r>
      <w:r>
        <w:t>) or an alternative reading (§</w:t>
      </w:r>
      <w:r>
        <w:fldChar w:fldCharType="begin"/>
      </w:r>
      <w:r>
        <w:instrText xml:space="preserve"> REF _Ref233625579 \r \h </w:instrText>
      </w:r>
      <w:r>
        <w:fldChar w:fldCharType="separate"/>
      </w:r>
      <w:r>
        <w:t>10.4.3</w:t>
      </w:r>
      <w:r>
        <w:fldChar w:fldCharType="end"/>
      </w:r>
      <w:r>
        <w:t xml:space="preserve">), then the full citation of each such publication in your bibliography division must include a manually encoded siglum </w:t>
      </w:r>
      <w:r>
        <w:rPr>
          <w:noProof/>
        </w:rPr>
        <w:t>(</w:t>
      </w:r>
      <w:r>
        <w:t>an abbreviation by which they will be shown in the apparatus). This applies regardless of whether the full citation is in your primary bibliography or the secondary one.</w:t>
      </w:r>
    </w:p>
    <w:p w14:paraId="1109D596" w14:textId="77777777">
      <w:pPr>
        <w:pStyle w:val="Lista"/>
      </w:pPr>
      <w:r>
        <w:t xml:space="preserve">the siglum must be encoded in the attribute </w:t>
      </w:r>
      <w:r>
        <w:rPr>
          <w:rStyle w:val="Codeattribute"/>
        </w:rPr>
        <w:t>@n</w:t>
      </w:r>
      <w:r>
        <w:t xml:space="preserve"> on the relevant </w:t>
      </w:r>
      <w:r>
        <w:rPr>
          <w:rStyle w:val="Code"/>
        </w:rPr>
        <w:t>&lt;bibl&gt;</w:t>
      </w:r>
      <w:r>
        <w:t xml:space="preserve"> item</w:t>
      </w:r>
    </w:p>
    <w:p w14:paraId="4153A54C" w14:textId="77777777">
      <w:pPr>
        <w:pStyle w:val="Lista"/>
      </w:pPr>
      <w:r>
        <w:t>sigla may be assigned to publications arbitrarily, provided that they are unique within an XML document and reasonably straightforward for the reader to understand</w:t>
      </w:r>
    </w:p>
    <w:p w14:paraId="40F92B3A" w14:textId="77777777">
      <w:pPr>
        <w:pStyle w:val="Lista"/>
      </w:pPr>
      <w:r>
        <w:t>the following guidelines apply to creating sigla, but feel free to deviate from these whenever you feel you have good reason to</w:t>
      </w:r>
    </w:p>
    <w:p w14:paraId="31FC2903" w14:textId="77777777">
      <w:pPr>
        <w:pStyle w:val="Lista2"/>
      </w:pPr>
      <w:r>
        <w:t>sigla should be kept as short and simple as feasible</w:t>
      </w:r>
    </w:p>
    <w:p w14:paraId="31BE22DF" w14:textId="77777777">
      <w:pPr>
        <w:pStyle w:val="Lista2"/>
      </w:pPr>
      <w:r>
        <w:t>for the sake of clarity, letters of the English alphabet and numbers are preferred in sigla, but symbol characters and letters with diacritics may be used whenever you feel they are necessary</w:t>
      </w:r>
    </w:p>
    <w:p w14:paraId="664C8320" w14:textId="77777777">
      <w:pPr>
        <w:pStyle w:val="Lista3"/>
      </w:pPr>
      <w:r>
        <w:t xml:space="preserve">except that the characters </w:t>
      </w:r>
      <w:r>
        <w:rPr>
          <w:rStyle w:val="Codetext"/>
        </w:rPr>
        <w:t>&amp;</w:t>
      </w:r>
      <w:r>
        <w:t xml:space="preserve">, </w:t>
      </w:r>
      <w:r>
        <w:rPr>
          <w:rStyle w:val="Codetext"/>
        </w:rPr>
        <w:t>&lt;</w:t>
      </w:r>
      <w:r>
        <w:t xml:space="preserve"> and </w:t>
      </w:r>
      <w:r>
        <w:rPr>
          <w:rStyle w:val="Codetext"/>
        </w:rPr>
        <w:t>&gt;</w:t>
      </w:r>
      <w:r>
        <w:t xml:space="preserve"> must be avoided to eliminate interference with code processing</w:t>
      </w:r>
    </w:p>
    <w:p w14:paraId="204F52B8" w14:textId="77777777">
      <w:pPr>
        <w:pStyle w:val="Lista3"/>
      </w:pPr>
      <w:r>
        <w:t xml:space="preserve">the character </w:t>
      </w:r>
      <w:r>
        <w:rPr>
          <w:rStyle w:val="Codetext"/>
        </w:rPr>
        <w:t>+</w:t>
      </w:r>
      <w:r>
        <w:t xml:space="preserve"> will be transformed to </w:t>
      </w:r>
      <w:r>
        <w:rPr>
          <w:rStyle w:val="Code"/>
        </w:rPr>
        <w:t>&amp;</w:t>
      </w:r>
      <w:r>
        <w:t xml:space="preserve"> in the display of sigla, and is recommended for the sigla of multi-author editions</w:t>
      </w:r>
    </w:p>
    <w:p w14:paraId="1E252C7F" w14:textId="3EB7AA32">
      <w:pPr>
        <w:pStyle w:val="Lista2"/>
      </w:pPr>
      <w:r>
        <w:t xml:space="preserve">generally, use only the initial of the surname of the author, as in </w:t>
      </w:r>
      <w:r>
        <w:fldChar w:fldCharType="begin"/>
      </w:r>
      <w:r>
        <w:instrText xml:space="preserve"> REF _Ref233637912 \h </w:instrText>
      </w:r>
      <w:r>
        <w:fldChar w:fldCharType="separate"/>
      </w:r>
      <w:r>
        <w:t xml:space="preserve">Exhibit </w:t>
      </w:r>
      <w:r>
        <w:rPr>
          <w:noProof/>
        </w:rPr>
        <w:t>13.3</w:t>
      </w:r>
      <w:r>
        <w:t>.</w:t>
      </w:r>
      <w:r>
        <w:rPr>
          <w:noProof/>
        </w:rPr>
        <w:t>A</w:t>
      </w:r>
      <w:r>
        <w:fldChar w:fldCharType="end"/>
      </w:r>
    </w:p>
    <w:p w14:paraId="1328BAD6" w14:textId="77777777">
      <w:pPr>
        <w:pStyle w:val="Lista3"/>
      </w:pPr>
      <w:r>
        <w:t>e.g. “F” for “Fleet”</w:t>
      </w:r>
    </w:p>
    <w:p w14:paraId="1C946E26" w14:textId="77777777">
      <w:pPr>
        <w:pStyle w:val="Lista2"/>
      </w:pPr>
      <w:r>
        <w:t xml:space="preserve">for names beginning with </w:t>
      </w:r>
      <w:r>
        <w:rPr>
          <w:noProof/>
        </w:rPr>
        <w:t>Sh</w:t>
      </w:r>
      <w:r>
        <w:t>, Ch and aspirates, use only the first initial unless you find this disturbing</w:t>
      </w:r>
    </w:p>
    <w:p w14:paraId="05526972" w14:textId="77777777">
      <w:pPr>
        <w:pStyle w:val="Lista3"/>
      </w:pPr>
      <w:r>
        <w:t>e.g. “C” for “Chhabra”</w:t>
      </w:r>
    </w:p>
    <w:p w14:paraId="45A3F263" w14:textId="77777777">
      <w:pPr>
        <w:pStyle w:val="Lista2"/>
      </w:pPr>
      <w:r>
        <w:t>for publications with more than one author, use the initial of the surname of each author</w:t>
      </w:r>
    </w:p>
    <w:p w14:paraId="3D968DBE" w14:textId="77777777">
      <w:pPr>
        <w:pStyle w:val="Lista3"/>
      </w:pPr>
      <w:r>
        <w:t xml:space="preserve">it is recommended that you use a </w:t>
      </w:r>
      <w:r>
        <w:rPr>
          <w:rStyle w:val="Codetext"/>
        </w:rPr>
        <w:t>+</w:t>
      </w:r>
      <w:r>
        <w:t xml:space="preserve"> sign between these initials, which will be rendered in display as an </w:t>
      </w:r>
      <w:r>
        <w:rPr>
          <w:rStyle w:val="Code"/>
        </w:rPr>
        <w:t>&amp;</w:t>
      </w:r>
      <w:r>
        <w:t xml:space="preserve"> sign</w:t>
      </w:r>
    </w:p>
    <w:p w14:paraId="53C87A54" w14:textId="77777777">
      <w:pPr>
        <w:pStyle w:val="Lista3"/>
      </w:pPr>
      <w:r>
        <w:t>e.g. “S+G” for “Sircar and Gai”, displayed as “S&amp;G”</w:t>
      </w:r>
    </w:p>
    <w:p w14:paraId="4D09CD38" w14:textId="77777777">
      <w:pPr>
        <w:pStyle w:val="Lista2"/>
      </w:pPr>
      <w:r>
        <w:t>feel free to use more than one initial whenever you find this desirable</w:t>
      </w:r>
    </w:p>
    <w:p w14:paraId="0C12BBFB" w14:textId="77777777">
      <w:pPr>
        <w:pStyle w:val="Lista2"/>
      </w:pPr>
      <w:r>
        <w:t>additional initials are required (instead of optional) when this serves the purpose of disambiguation</w:t>
      </w:r>
    </w:p>
    <w:p w14:paraId="45C24F78" w14:textId="77777777">
      <w:pPr>
        <w:pStyle w:val="Lista3"/>
      </w:pPr>
      <w:r>
        <w:lastRenderedPageBreak/>
        <w:t>e.g. “DRB” and “RGB” to distinguish “Devadatta Ramakrishna Bhandarkar” from “Ramakrishna Gopal Bhandarkar”</w:t>
      </w:r>
    </w:p>
    <w:p w14:paraId="4A6F8CC7" w14:textId="77777777">
      <w:pPr>
        <w:pStyle w:val="Lista3"/>
      </w:pPr>
      <w:r>
        <w:t>if initials are not sufficient for disambiguation, include part or whole of the authors’ last names in sigla, as most practicable</w:t>
      </w:r>
    </w:p>
    <w:p w14:paraId="3478947F" w14:textId="77777777">
      <w:pPr>
        <w:pStyle w:val="Lista2"/>
      </w:pPr>
      <w:r>
        <w:t>should you need sigla for two or more publications of the same author (or the same combination of authors), add disambiguation to the sigla in the form of a serial number (e.g. “C1”, “C2”) or the year of publication (e.g. “C1911”, “C1913”)</w:t>
      </w:r>
    </w:p>
    <w:p w14:paraId="10E59CB0" w14:textId="6A7E2996">
      <w:pPr>
        <w:pStyle w:val="Lista2"/>
      </w:pPr>
      <w:r>
        <w:t xml:space="preserve">for publications that do not have a named author (as is the case with certain journal-type publications, for which see ZG §4.4.2), use the journal abbreviation, as in </w:t>
      </w:r>
      <w:r>
        <w:fldChar w:fldCharType="begin"/>
      </w:r>
      <w:r>
        <w:instrText xml:space="preserve"> REF _Ref233286760 \h </w:instrText>
      </w:r>
      <w:r>
        <w:fldChar w:fldCharType="separate"/>
      </w:r>
      <w:r>
        <w:t xml:space="preserve">Exhibit </w:t>
      </w:r>
      <w:r>
        <w:rPr>
          <w:noProof/>
        </w:rPr>
        <w:t>13.3</w:t>
      </w:r>
      <w:r>
        <w:t>.</w:t>
      </w:r>
      <w:r>
        <w:rPr>
          <w:noProof/>
        </w:rPr>
        <w:t>B</w:t>
      </w:r>
      <w:r>
        <w:fldChar w:fldCharType="end"/>
      </w:r>
    </w:p>
    <w:p w14:paraId="731825B8" w14:textId="127B08D2">
      <w:pPr>
        <w:pStyle w:val="Lista3"/>
      </w:pPr>
      <w:r>
        <w:t>or, if disambiguation is needed, use the journal abbreviation and the year (i.e. the Zotero Short Title, ZG §4.10)</w:t>
      </w:r>
    </w:p>
    <w:tbl>
      <w:tblPr>
        <w:tblStyle w:val="CodeSampleTable"/>
        <w:tblW w:w="5000" w:type="pct"/>
        <w:tblLook w:val="04A0" w:firstRow="1" w:lastRow="0" w:firstColumn="1" w:lastColumn="0" w:noHBand="0" w:noVBand="1"/>
      </w:tblPr>
      <w:tblGrid>
        <w:gridCol w:w="9628"/>
      </w:tblGrid>
      <w:tr w14:paraId="47F0140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06BF058" w14:textId="3D5A1F00">
            <w:pPr>
              <w:pStyle w:val="Kpalrs"/>
            </w:pPr>
            <w:bookmarkStart w:id="933" w:name="_Ref233637912"/>
            <w:r>
              <w:t xml:space="preserve">Exhibit </w:t>
            </w:r>
            <w:fldSimple w:instr=" STYLEREF 2 \s ">
              <w:r>
                <w:rPr>
                  <w:noProof/>
                </w:rPr>
                <w:t>13.3</w:t>
              </w:r>
            </w:fldSimple>
            <w:r>
              <w:t>.</w:t>
            </w:r>
            <w:fldSimple w:instr=" SEQ Exhibit \* ALPHABETIC \s 2 ">
              <w:r>
                <w:rPr>
                  <w:noProof/>
                </w:rPr>
                <w:t>A</w:t>
              </w:r>
            </w:fldSimple>
            <w:bookmarkEnd w:id="933"/>
            <w:r>
              <w:t>: bibliographic citation with a siglum, within the primary bibliography</w:t>
            </w:r>
          </w:p>
        </w:tc>
      </w:tr>
      <w:tr w14:paraId="03124713" w14:textId="77777777">
        <w:tc>
          <w:tcPr>
            <w:tcW w:w="5000" w:type="pct"/>
          </w:tcPr>
          <w:p w14:paraId="603DCD0D" w14:textId="77777777">
            <w:pPr>
              <w:pStyle w:val="CodeParagraph"/>
              <w:rPr>
                <w:rStyle w:val="Code"/>
              </w:rPr>
            </w:pPr>
            <w:r>
              <w:rPr>
                <w:rStyle w:val="Code"/>
              </w:rPr>
              <w:t xml:space="preserve">&lt;bibl </w:t>
            </w:r>
            <w:r>
              <w:rPr>
                <w:rStyle w:val="Codeattribute"/>
              </w:rPr>
              <w:t>n</w:t>
            </w:r>
            <w:r>
              <w:rPr>
                <w:rStyle w:val="Code"/>
              </w:rPr>
              <w:t>=</w:t>
            </w:r>
            <w:r>
              <w:rPr>
                <w:rStyle w:val="Codevalue"/>
              </w:rPr>
              <w:t>"H"</w:t>
            </w:r>
            <w:r>
              <w:rPr>
                <w:rStyle w:val="Code"/>
              </w:rPr>
              <w:t>&gt;</w:t>
            </w:r>
          </w:p>
          <w:p w14:paraId="3DF055F9" w14:textId="77777777">
            <w:pPr>
              <w:pStyle w:val="CodeParagraph"/>
              <w:rPr>
                <w:rStyle w:val="Code"/>
              </w:rPr>
            </w:pPr>
            <w:r>
              <w:rPr>
                <w:rStyle w:val="Code"/>
              </w:rPr>
              <w:t xml:space="preserve">  &lt;ptr </w:t>
            </w:r>
            <w:r>
              <w:rPr>
                <w:rStyle w:val="Codeattribute"/>
              </w:rPr>
              <w:t>target</w:t>
            </w:r>
            <w:r>
              <w:rPr>
                <w:rStyle w:val="Code"/>
              </w:rPr>
              <w:t>=</w:t>
            </w:r>
            <w:r>
              <w:rPr>
                <w:rStyle w:val="Codevalue"/>
              </w:rPr>
              <w:t>"bib:Hultzsch1913-1914_01"</w:t>
            </w:r>
            <w:r>
              <w:rPr>
                <w:rStyle w:val="Code"/>
              </w:rPr>
              <w:t>/&gt;</w:t>
            </w:r>
          </w:p>
          <w:p w14:paraId="481EFAA9" w14:textId="77777777">
            <w:pPr>
              <w:pStyle w:val="CodeParagraph"/>
              <w:rPr>
                <w:rStyle w:val="Code"/>
              </w:rPr>
            </w:pPr>
            <w:r>
              <w:rPr>
                <w:rStyle w:val="Code"/>
              </w:rPr>
              <w:t xml:space="preserve">  &lt;citedRange </w:t>
            </w:r>
            <w:r>
              <w:rPr>
                <w:rStyle w:val="Codeattribute"/>
              </w:rPr>
              <w:t>unit</w:t>
            </w:r>
            <w:r>
              <w:rPr>
                <w:rStyle w:val="Code"/>
              </w:rPr>
              <w:t>=</w:t>
            </w:r>
            <w:r>
              <w:rPr>
                <w:rStyle w:val="Codevalue"/>
              </w:rPr>
              <w:t>"page"</w:t>
            </w:r>
            <w:r>
              <w:rPr>
                <w:rStyle w:val="Code"/>
              </w:rPr>
              <w:t>&gt;</w:t>
            </w:r>
            <w:r>
              <w:rPr>
                <w:rStyle w:val="Codetext"/>
              </w:rPr>
              <w:t>225-226</w:t>
            </w:r>
            <w:r>
              <w:rPr>
                <w:rStyle w:val="Code"/>
              </w:rPr>
              <w:t>&lt;/citedRange&gt;</w:t>
            </w:r>
          </w:p>
          <w:p w14:paraId="678310FD" w14:textId="77777777">
            <w:pPr>
              <w:pStyle w:val="CodeParagraph"/>
              <w:rPr>
                <w:rStyle w:val="Code"/>
              </w:rPr>
            </w:pPr>
            <w:r>
              <w:rPr>
                <w:rStyle w:val="Code"/>
              </w:rPr>
              <w:t xml:space="preserve">  &lt;citedRange </w:t>
            </w:r>
            <w:r>
              <w:rPr>
                <w:rStyle w:val="Codeattribute"/>
              </w:rPr>
              <w:t>unit</w:t>
            </w:r>
            <w:r>
              <w:rPr>
                <w:rStyle w:val="Code"/>
              </w:rPr>
              <w:t>=</w:t>
            </w:r>
            <w:r>
              <w:rPr>
                <w:rStyle w:val="Codevalue"/>
              </w:rPr>
              <w:t>"item"</w:t>
            </w:r>
            <w:r>
              <w:rPr>
                <w:rStyle w:val="Code"/>
              </w:rPr>
              <w:t>&gt;</w:t>
            </w:r>
            <w:r>
              <w:rPr>
                <w:rStyle w:val="Codetext"/>
              </w:rPr>
              <w:t>B</w:t>
            </w:r>
            <w:r>
              <w:rPr>
                <w:rStyle w:val="Code"/>
              </w:rPr>
              <w:t>&lt;/citedRange&gt;</w:t>
            </w:r>
          </w:p>
          <w:p w14:paraId="2A2FB3D2" w14:textId="77777777">
            <w:pPr>
              <w:pStyle w:val="CodeParagraph"/>
              <w:rPr>
                <w:rFonts w:ascii="Consolas" w:hAnsi="Consolas" w:cs="Consolas"/>
                <w:noProof/>
                <w:color w:val="002060"/>
                <w:shd w:val="clear" w:color="auto" w:fill="F2F2F2" w:themeFill="background1" w:themeFillShade="F2"/>
              </w:rPr>
            </w:pPr>
            <w:r>
              <w:rPr>
                <w:rStyle w:val="Code"/>
              </w:rPr>
              <w:t>&lt;/bibl&gt;</w:t>
            </w:r>
          </w:p>
        </w:tc>
      </w:tr>
    </w:tbl>
    <w:p w14:paraId="6F3D57D3" w14:textId="77777777">
      <w:bookmarkStart w:id="934" w:name="_mjrrg3ve8nta" w:colFirst="0" w:colLast="0"/>
      <w:bookmarkEnd w:id="934"/>
    </w:p>
    <w:tbl>
      <w:tblPr>
        <w:tblStyle w:val="CodeSampleTable"/>
        <w:tblW w:w="5000" w:type="pct"/>
        <w:tblLook w:val="04A0" w:firstRow="1" w:lastRow="0" w:firstColumn="1" w:lastColumn="0" w:noHBand="0" w:noVBand="1"/>
      </w:tblPr>
      <w:tblGrid>
        <w:gridCol w:w="9628"/>
      </w:tblGrid>
      <w:tr w14:paraId="2286577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F5F3524" w14:textId="28E05BD7">
            <w:pPr>
              <w:pStyle w:val="Kpalrs"/>
            </w:pPr>
            <w:bookmarkStart w:id="935" w:name="_Ref233286760"/>
            <w:r>
              <w:t xml:space="preserve">Exhibit </w:t>
            </w:r>
            <w:fldSimple w:instr=" STYLEREF 2 \s ">
              <w:r>
                <w:rPr>
                  <w:noProof/>
                </w:rPr>
                <w:t>13.3</w:t>
              </w:r>
            </w:fldSimple>
            <w:r>
              <w:t>.</w:t>
            </w:r>
            <w:fldSimple w:instr=" SEQ Exhibit \* ALPHABETIC \s 2 ">
              <w:r>
                <w:rPr>
                  <w:noProof/>
                </w:rPr>
                <w:t>B</w:t>
              </w:r>
            </w:fldSimple>
            <w:bookmarkEnd w:id="935"/>
            <w:r>
              <w:t>: bibliographic citation of ARIE with a siglum, within the primary bibliography</w:t>
            </w:r>
          </w:p>
        </w:tc>
      </w:tr>
      <w:tr w14:paraId="28AD1E6E" w14:textId="77777777">
        <w:tc>
          <w:tcPr>
            <w:tcW w:w="5000" w:type="pct"/>
          </w:tcPr>
          <w:p w14:paraId="16D5F1E2" w14:textId="77777777">
            <w:pPr>
              <w:pStyle w:val="CodeParagraph"/>
              <w:rPr>
                <w:rStyle w:val="Code"/>
              </w:rPr>
            </w:pPr>
            <w:r>
              <w:rPr>
                <w:rStyle w:val="Code"/>
              </w:rPr>
              <w:t xml:space="preserve">&lt;bibl </w:t>
            </w:r>
            <w:r>
              <w:rPr>
                <w:rStyle w:val="Codeattribute"/>
              </w:rPr>
              <w:t>n</w:t>
            </w:r>
            <w:r>
              <w:rPr>
                <w:rStyle w:val="Code"/>
              </w:rPr>
              <w:t>="ARIE"&gt;</w:t>
            </w:r>
            <w:r>
              <w:rPr>
                <w:rStyle w:val="Code"/>
              </w:rPr>
              <w:br/>
              <w:t xml:space="preserve">  &lt;ptr </w:t>
            </w:r>
            <w:r>
              <w:rPr>
                <w:rStyle w:val="Codeattribute"/>
              </w:rPr>
              <w:t>target</w:t>
            </w:r>
            <w:r>
              <w:rPr>
                <w:rStyle w:val="Code"/>
              </w:rPr>
              <w:t>=</w:t>
            </w:r>
            <w:r>
              <w:rPr>
                <w:rStyle w:val="Codevalue"/>
              </w:rPr>
              <w:t>"bib:ARIE1904-1905"</w:t>
            </w:r>
            <w:r>
              <w:rPr>
                <w:rStyle w:val="Code"/>
              </w:rPr>
              <w:t>/&gt;</w:t>
            </w:r>
            <w:r>
              <w:rPr>
                <w:rStyle w:val="Code"/>
              </w:rPr>
              <w:br/>
              <w:t xml:space="preserve">  &lt;citedRange </w:t>
            </w:r>
            <w:r>
              <w:rPr>
                <w:rStyle w:val="Codeattribute"/>
              </w:rPr>
              <w:t>unit</w:t>
            </w:r>
            <w:r>
              <w:rPr>
                <w:rStyle w:val="Code"/>
              </w:rPr>
              <w:t>=</w:t>
            </w:r>
            <w:r>
              <w:rPr>
                <w:rStyle w:val="Codevalue"/>
              </w:rPr>
              <w:t>"page"</w:t>
            </w:r>
            <w:r>
              <w:rPr>
                <w:rStyle w:val="Code"/>
              </w:rPr>
              <w:t>&gt;</w:t>
            </w:r>
            <w:r>
              <w:rPr>
                <w:rStyle w:val="Codetext"/>
              </w:rPr>
              <w:t>33, 39</w:t>
            </w:r>
            <w:r>
              <w:rPr>
                <w:rStyle w:val="Code"/>
              </w:rPr>
              <w:t>&lt;/citedRange&gt;</w:t>
            </w:r>
            <w:r>
              <w:rPr>
                <w:rStyle w:val="Code"/>
              </w:rPr>
              <w:br/>
              <w:t xml:space="preserve">  &lt;citedRange </w:t>
            </w:r>
            <w:r>
              <w:rPr>
                <w:rStyle w:val="Codeattribute"/>
              </w:rPr>
              <w:t>unit</w:t>
            </w:r>
            <w:r>
              <w:rPr>
                <w:rStyle w:val="Code"/>
              </w:rPr>
              <w:t>=</w:t>
            </w:r>
            <w:r>
              <w:rPr>
                <w:rStyle w:val="Codevalue"/>
              </w:rPr>
              <w:t>"appendix"</w:t>
            </w:r>
            <w:r>
              <w:rPr>
                <w:rStyle w:val="Code"/>
              </w:rPr>
              <w:t>&gt;</w:t>
            </w:r>
            <w:r>
              <w:rPr>
                <w:rStyle w:val="Codetext"/>
              </w:rPr>
              <w:t>B/1905</w:t>
            </w:r>
            <w:r>
              <w:rPr>
                <w:rStyle w:val="Code"/>
              </w:rPr>
              <w:t>&lt;/citedRange&gt;</w:t>
            </w:r>
            <w:r>
              <w:rPr>
                <w:rStyle w:val="Code"/>
              </w:rPr>
              <w:br/>
              <w:t xml:space="preserve">  &lt;citedRange </w:t>
            </w:r>
            <w:r>
              <w:rPr>
                <w:rStyle w:val="Codeattribute"/>
              </w:rPr>
              <w:t>unit</w:t>
            </w:r>
            <w:r>
              <w:rPr>
                <w:rStyle w:val="Code"/>
              </w:rPr>
              <w:t>=</w:t>
            </w:r>
            <w:r>
              <w:rPr>
                <w:rStyle w:val="Codevalue"/>
              </w:rPr>
              <w:t>"item"</w:t>
            </w:r>
            <w:r>
              <w:rPr>
                <w:rStyle w:val="Code"/>
              </w:rPr>
              <w:t>&gt;</w:t>
            </w:r>
            <w:r>
              <w:rPr>
                <w:rStyle w:val="Codetext"/>
              </w:rPr>
              <w:t>56</w:t>
            </w:r>
            <w:r>
              <w:rPr>
                <w:rStyle w:val="Code"/>
              </w:rPr>
              <w:t>&lt;/citedRange&gt;</w:t>
            </w:r>
            <w:r>
              <w:rPr>
                <w:rStyle w:val="Code"/>
              </w:rPr>
              <w:br/>
              <w:t>&lt;/bibl&gt;</w:t>
            </w:r>
          </w:p>
        </w:tc>
      </w:tr>
    </w:tbl>
    <w:p w14:paraId="6D33FF4B" w14:textId="77777777">
      <w:pPr>
        <w:pStyle w:val="Cmsor1"/>
      </w:pPr>
      <w:bookmarkStart w:id="936" w:name="_v37b3rvxgvz" w:colFirst="0" w:colLast="0"/>
      <w:bookmarkStart w:id="937" w:name="_80cu70li1mlm" w:colFirst="0" w:colLast="0"/>
      <w:bookmarkStart w:id="938" w:name="_s2c4wh2r29fy" w:colFirst="0" w:colLast="0"/>
      <w:bookmarkStart w:id="939" w:name="_Ref43990225"/>
      <w:bookmarkStart w:id="940" w:name="_Toc243922783"/>
      <w:bookmarkEnd w:id="927"/>
      <w:bookmarkEnd w:id="928"/>
      <w:bookmarkEnd w:id="931"/>
      <w:bookmarkEnd w:id="936"/>
      <w:bookmarkEnd w:id="937"/>
      <w:bookmarkEnd w:id="938"/>
      <w:r>
        <w:lastRenderedPageBreak/>
        <w:t>Globally available markup outside the edition</w:t>
      </w:r>
      <w:bookmarkEnd w:id="939"/>
      <w:bookmarkEnd w:id="940"/>
    </w:p>
    <w:p w14:paraId="7ED5D415" w14:textId="77777777">
      <w:pPr>
        <w:rPr>
          <w:lang w:eastAsia="en-US" w:bidi="ar-SA"/>
        </w:rPr>
      </w:pPr>
      <w:r>
        <w:rPr>
          <w:lang w:eastAsia="en-US" w:bidi="ar-SA"/>
        </w:rPr>
        <w:t>This section introduces markup solutions that may be used in various parts of the XML document other than the edition division. Some of the same solutions are also available within the edition division, but only in the specific circumstances explicitly discussed in the sections concerning the encoding of the edition.</w:t>
      </w:r>
    </w:p>
    <w:p w14:paraId="6C3622EF" w14:textId="77777777">
      <w:pPr>
        <w:pStyle w:val="Cmsor2"/>
      </w:pPr>
      <w:bookmarkStart w:id="941" w:name="_vn3bfilgag1u" w:colFirst="0" w:colLast="0"/>
      <w:bookmarkStart w:id="942" w:name="_Ref43990337"/>
      <w:bookmarkStart w:id="943" w:name="_Toc243922784"/>
      <w:bookmarkEnd w:id="941"/>
      <w:r>
        <w:t>Using editorial markup outside the edition</w:t>
      </w:r>
      <w:bookmarkEnd w:id="942"/>
      <w:bookmarkEnd w:id="943"/>
    </w:p>
    <w:p w14:paraId="73E72E05" w14:textId="50258829">
      <w:r>
        <w:t xml:space="preserve">As a rule, the XML elements pertaining to the text edition </w:t>
      </w:r>
      <w:r>
        <w:rPr>
          <w:noProof/>
        </w:rPr>
        <w:t>(</w:t>
      </w:r>
      <w:r>
        <w:t>§</w:t>
      </w:r>
      <w:r>
        <w:fldChar w:fldCharType="begin"/>
      </w:r>
      <w:r>
        <w:instrText xml:space="preserve"> REF _Ref43978632 \r \h  \* MERGEFORMAT </w:instrText>
      </w:r>
      <w:r>
        <w:fldChar w:fldCharType="separate"/>
      </w:r>
      <w:r>
        <w:t>3</w:t>
      </w:r>
      <w:r>
        <w:fldChar w:fldCharType="end"/>
      </w:r>
      <w:r>
        <w:t xml:space="preserve"> to §</w:t>
      </w:r>
      <w:r>
        <w:fldChar w:fldCharType="begin"/>
      </w:r>
      <w:r>
        <w:instrText xml:space="preserve"> REF _Ref232002354 \r \h </w:instrText>
      </w:r>
      <w:r>
        <w:fldChar w:fldCharType="separate"/>
      </w:r>
      <w:r>
        <w:t>9</w:t>
      </w:r>
      <w:r>
        <w:fldChar w:fldCharType="end"/>
      </w:r>
      <w:r>
        <w:t>) should be avoided outside the edition division of your XML file, except as explicitly endorsed in the following sections of §</w:t>
      </w:r>
      <w:r>
        <w:fldChar w:fldCharType="begin"/>
      </w:r>
      <w:r>
        <w:instrText xml:space="preserve"> REF _Ref43990225 \w \h  \* MERGEFORMAT </w:instrText>
      </w:r>
      <w:r>
        <w:fldChar w:fldCharType="separate"/>
      </w:r>
      <w:r>
        <w:t>14</w:t>
      </w:r>
      <w:r>
        <w:fldChar w:fldCharType="end"/>
      </w:r>
      <w:r>
        <w:t xml:space="preserve"> and, for specific divisions of the XML file, viz. the apparatus (§</w:t>
      </w:r>
      <w:r>
        <w:fldChar w:fldCharType="begin"/>
      </w:r>
      <w:r>
        <w:instrText xml:space="preserve"> REF _Ref233640654 \r \h </w:instrText>
      </w:r>
      <w:r>
        <w:fldChar w:fldCharType="separate"/>
      </w:r>
      <w:r>
        <w:t>10.6</w:t>
      </w:r>
      <w:r>
        <w:fldChar w:fldCharType="end"/>
      </w:r>
      <w:r>
        <w:t>) and the translation (§</w:t>
      </w:r>
      <w:r>
        <w:fldChar w:fldCharType="begin"/>
      </w:r>
      <w:r>
        <w:instrText xml:space="preserve"> REF _Ref233640670 \r \h </w:instrText>
      </w:r>
      <w:r>
        <w:fldChar w:fldCharType="separate"/>
      </w:r>
      <w:r>
        <w:t>11.4</w:t>
      </w:r>
      <w:r>
        <w:fldChar w:fldCharType="end"/>
      </w:r>
      <w:r>
        <w:t xml:space="preserve">). When you cite an excerpt from your edition in other parts of the XML document, we generally recommend that you present the excerpt without any editorial markup, in its “curated” form obtained after any scribal and editorial interventions. However, sometimes you may deem it essential to cite a diplomatic reading with all its intricacies, particularly in a note or commentary section discussing the editorial difficulties connected to a reading, or in a translation when replicating an unintelligible stretch of text </w:t>
      </w:r>
      <w:r>
        <w:rPr>
          <w:noProof/>
        </w:rPr>
        <w:t>(</w:t>
      </w:r>
      <w:r>
        <w:t>§</w:t>
      </w:r>
      <w:r>
        <w:fldChar w:fldCharType="begin"/>
      </w:r>
      <w:r>
        <w:instrText xml:space="preserve"> REF _Ref43990112 \w \h  \* MERGEFORMAT </w:instrText>
      </w:r>
      <w:r>
        <w:fldChar w:fldCharType="separate"/>
      </w:r>
      <w:r>
        <w:t>11.4.3</w:t>
      </w:r>
      <w:r>
        <w:fldChar w:fldCharType="end"/>
      </w:r>
      <w:r>
        <w:t xml:space="preserve">). In such cases, you may use editorial markup outside the edition division, limited to features whose replication is deemed essential in the context </w:t>
      </w:r>
      <w:r>
        <w:rPr>
          <w:noProof/>
        </w:rPr>
        <w:t>(</w:t>
      </w:r>
      <w:r>
        <w:t>i.e. without an obligation to replicate all editorial markup).</w:t>
      </w:r>
    </w:p>
    <w:p w14:paraId="06DD781F" w14:textId="5F049C0F">
      <w:pPr>
        <w:pStyle w:val="Lista"/>
      </w:pPr>
      <w:r>
        <w:t xml:space="preserve">foreign-language citations within a stretch of modern-language text must always be tagged as </w:t>
      </w:r>
      <w:r>
        <w:rPr>
          <w:rStyle w:val="Code"/>
        </w:rPr>
        <w:t>&lt;foreign&gt;</w:t>
      </w:r>
      <w:r>
        <w:t xml:space="preserve"> </w:t>
      </w:r>
      <w:r>
        <w:rPr>
          <w:noProof/>
        </w:rPr>
        <w:t>(</w:t>
      </w:r>
      <w:r>
        <w:t>§</w:t>
      </w:r>
      <w:r>
        <w:fldChar w:fldCharType="begin"/>
      </w:r>
      <w:r>
        <w:instrText xml:space="preserve"> REF _Ref43986658 \w \h  \* MERGEFORMAT </w:instrText>
      </w:r>
      <w:r>
        <w:fldChar w:fldCharType="separate"/>
      </w:r>
      <w:r>
        <w:t>14.4.2</w:t>
      </w:r>
      <w:r>
        <w:fldChar w:fldCharType="end"/>
      </w:r>
      <w:r>
        <w:t>), so all markup pertaining to the citation must be within these tags</w:t>
      </w:r>
    </w:p>
    <w:p w14:paraId="7955EBF0" w14:textId="77777777">
      <w:pPr>
        <w:pStyle w:val="Lista"/>
      </w:pPr>
      <w:r>
        <w:t xml:space="preserve">tags for the edition’s block-level containers </w:t>
      </w:r>
      <w:r>
        <w:rPr>
          <w:noProof/>
        </w:rPr>
        <w:t>(</w:t>
      </w:r>
      <w:r>
        <w:rPr>
          <w:rStyle w:val="Code"/>
        </w:rPr>
        <w:t>&lt;p&gt;</w:t>
      </w:r>
      <w:r>
        <w:t xml:space="preserve">, </w:t>
      </w:r>
      <w:r>
        <w:rPr>
          <w:rStyle w:val="Code"/>
        </w:rPr>
        <w:t>&lt;ab&gt;</w:t>
      </w:r>
      <w:r>
        <w:t xml:space="preserve">, </w:t>
      </w:r>
      <w:r>
        <w:rPr>
          <w:rStyle w:val="Code"/>
        </w:rPr>
        <w:t>&lt;lg&gt;</w:t>
      </w:r>
      <w:r>
        <w:t xml:space="preserve"> and </w:t>
      </w:r>
      <w:r>
        <w:rPr>
          <w:rStyle w:val="Code"/>
        </w:rPr>
        <w:t>&lt;l&gt;</w:t>
      </w:r>
      <w:r>
        <w:t>) must not be included in citations</w:t>
      </w:r>
    </w:p>
    <w:p w14:paraId="70495C9B" w14:textId="77777777">
      <w:pPr>
        <w:pStyle w:val="Lista"/>
      </w:pPr>
      <w:r>
        <w:t>the following encoding solutions may be included in citations</w:t>
      </w:r>
    </w:p>
    <w:p w14:paraId="4972A16A" w14:textId="1789A637">
      <w:pPr>
        <w:pStyle w:val="Lista2"/>
      </w:pPr>
      <w:r>
        <w:t>milestone elements for extrinsic structure (§</w:t>
      </w:r>
      <w:r>
        <w:fldChar w:fldCharType="begin"/>
      </w:r>
      <w:r>
        <w:instrText xml:space="preserve"> REF _Ref225327729 \r \h </w:instrText>
      </w:r>
      <w:r>
        <w:fldChar w:fldCharType="separate"/>
      </w:r>
      <w:r>
        <w:t>4.3</w:t>
      </w:r>
      <w:r>
        <w:fldChar w:fldCharType="end"/>
      </w:r>
      <w:r>
        <w:t>)</w:t>
      </w:r>
    </w:p>
    <w:p w14:paraId="4DA74A21" w14:textId="77777777">
      <w:pPr>
        <w:pStyle w:val="Lista3"/>
      </w:pPr>
      <w:r>
        <w:t>to reduce code clutter, feel free to remove all attributes from such elements</w:t>
      </w:r>
    </w:p>
    <w:p w14:paraId="25D3C009" w14:textId="0418468C">
      <w:pPr>
        <w:pStyle w:val="Lista2"/>
      </w:pPr>
      <w:r>
        <w:t xml:space="preserve">any markup pertaining to the received text </w:t>
      </w:r>
      <w:r>
        <w:rPr>
          <w:noProof/>
        </w:rPr>
        <w:t>(</w:t>
      </w:r>
      <w:r>
        <w:t>§</w:t>
      </w:r>
      <w:r>
        <w:fldChar w:fldCharType="begin"/>
      </w:r>
      <w:r>
        <w:instrText xml:space="preserve"> REF _Ref232171176 \r \h </w:instrText>
      </w:r>
      <w:r>
        <w:fldChar w:fldCharType="separate"/>
      </w:r>
      <w:r>
        <w:t>5</w:t>
      </w:r>
      <w:r>
        <w:fldChar w:fldCharType="end"/>
      </w:r>
      <w:r>
        <w:t>)</w:t>
      </w:r>
    </w:p>
    <w:p w14:paraId="477AF043" w14:textId="53FDB45E">
      <w:pPr>
        <w:pStyle w:val="Lista2"/>
      </w:pPr>
      <w:r>
        <w:t xml:space="preserve">any markup pertaining to legibility issues </w:t>
      </w:r>
      <w:r>
        <w:rPr>
          <w:noProof/>
        </w:rPr>
        <w:t>(</w:t>
      </w:r>
      <w:r>
        <w:t>§</w:t>
      </w:r>
      <w:r>
        <w:fldChar w:fldCharType="begin"/>
      </w:r>
      <w:r>
        <w:instrText xml:space="preserve"> REF _Ref231895504 \r \h </w:instrText>
      </w:r>
      <w:r>
        <w:fldChar w:fldCharType="separate"/>
      </w:r>
      <w:r>
        <w:t>6</w:t>
      </w:r>
      <w:r>
        <w:fldChar w:fldCharType="end"/>
      </w:r>
      <w:r>
        <w:t>)</w:t>
      </w:r>
    </w:p>
    <w:p w14:paraId="52600FC2" w14:textId="02D05CF4">
      <w:pPr>
        <w:pStyle w:val="Lista2"/>
      </w:pPr>
      <w:r>
        <w:t xml:space="preserve">any markup pertaining to modern editorial intervention </w:t>
      </w:r>
      <w:r>
        <w:rPr>
          <w:noProof/>
        </w:rPr>
        <w:t>(</w:t>
      </w:r>
      <w:r>
        <w:t>§</w:t>
      </w:r>
      <w:r>
        <w:fldChar w:fldCharType="begin"/>
      </w:r>
      <w:r>
        <w:instrText xml:space="preserve"> REF _Ref43978565 \r \h  \* MERGEFORMAT </w:instrText>
      </w:r>
      <w:r>
        <w:fldChar w:fldCharType="separate"/>
      </w:r>
      <w:r>
        <w:t>7</w:t>
      </w:r>
      <w:r>
        <w:fldChar w:fldCharType="end"/>
      </w:r>
      <w:r>
        <w:t>)</w:t>
      </w:r>
    </w:p>
    <w:p w14:paraId="4A496203" w14:textId="7803B28C">
      <w:pPr>
        <w:pStyle w:val="Lista2"/>
      </w:pPr>
      <w:r>
        <w:t xml:space="preserve">any markup pertaining to language, script and visual characteristics </w:t>
      </w:r>
      <w:r>
        <w:rPr>
          <w:noProof/>
        </w:rPr>
        <w:t>(</w:t>
      </w:r>
      <w:r>
        <w:t>§</w:t>
      </w:r>
      <w:r>
        <w:fldChar w:fldCharType="begin"/>
      </w:r>
      <w:r>
        <w:instrText xml:space="preserve"> REF _Ref232171213 \r \h </w:instrText>
      </w:r>
      <w:r>
        <w:fldChar w:fldCharType="separate"/>
      </w:r>
      <w:r>
        <w:t>7.9</w:t>
      </w:r>
      <w:r>
        <w:fldChar w:fldCharType="end"/>
      </w:r>
      <w:r>
        <w:t>)</w:t>
      </w:r>
    </w:p>
    <w:p w14:paraId="7C41F370" w14:textId="42370860">
      <w:pPr>
        <w:pStyle w:val="Lista2"/>
      </w:pPr>
      <w:r>
        <w:t>interpretive and analytical markup (§</w:t>
      </w:r>
      <w:r>
        <w:fldChar w:fldCharType="begin"/>
      </w:r>
      <w:r>
        <w:instrText xml:space="preserve"> REF _Ref232002354 \r \h </w:instrText>
      </w:r>
      <w:r>
        <w:fldChar w:fldCharType="separate"/>
      </w:r>
      <w:r>
        <w:t>9</w:t>
      </w:r>
      <w:r>
        <w:fldChar w:fldCharType="end"/>
      </w:r>
      <w:r>
        <w:t>)</w:t>
      </w:r>
    </w:p>
    <w:p w14:paraId="0925148A" w14:textId="77777777">
      <w:pPr>
        <w:pStyle w:val="Lista"/>
      </w:pPr>
      <w:r>
        <w:t>none of the above items are mandatory to retain: instead, reduce code clutter by retaining only markup relevant to the discussion of the citation</w:t>
      </w:r>
    </w:p>
    <w:p w14:paraId="6E91A78E" w14:textId="77777777">
      <w:pPr>
        <w:pStyle w:val="Lista"/>
      </w:pPr>
      <w:r>
        <w:t>when copying and pasting encoded text from your edition, pay attention to the beginning and end of phrase-level elements, which may not coincide with your excerpt</w:t>
      </w:r>
    </w:p>
    <w:p w14:paraId="64D5DFFB" w14:textId="77777777">
      <w:pPr>
        <w:pStyle w:val="Lista2"/>
      </w:pPr>
      <w:r>
        <w:t>add the start-tag for retained markup commencing before and ending inside your citation</w:t>
      </w:r>
    </w:p>
    <w:p w14:paraId="7BFE8183" w14:textId="77777777">
      <w:pPr>
        <w:pStyle w:val="Lista2"/>
      </w:pPr>
      <w:r>
        <w:t>add the end-tag for retained markup commencing inside your citation and ending after it</w:t>
      </w:r>
    </w:p>
    <w:p w14:paraId="6DBB7CEB" w14:textId="77777777">
      <w:pPr>
        <w:pStyle w:val="Lista2"/>
      </w:pPr>
      <w:r>
        <w:t>add start and end-tags for retained markup in a citation snipped from within a longer stretch of phrase-level markup</w:t>
      </w:r>
    </w:p>
    <w:p w14:paraId="4CB426CD" w14:textId="77777777">
      <w:pPr>
        <w:pStyle w:val="Cmsor2"/>
      </w:pPr>
      <w:bookmarkStart w:id="944" w:name="_a0ie3m4iw2wx" w:colFirst="0" w:colLast="0"/>
      <w:bookmarkStart w:id="945" w:name="_Toc243922785"/>
      <w:bookmarkEnd w:id="944"/>
      <w:r>
        <w:t>Character formatting</w:t>
      </w:r>
      <w:bookmarkEnd w:id="945"/>
    </w:p>
    <w:p w14:paraId="05522C27" w14:textId="7CBB3CC9">
      <w:r>
        <w:t xml:space="preserve">Given the principle of conceptual markup </w:t>
      </w:r>
      <w:r>
        <w:rPr>
          <w:noProof/>
        </w:rPr>
        <w:t>(</w:t>
      </w:r>
      <w:r>
        <w:t>§</w:t>
      </w:r>
      <w:r>
        <w:fldChar w:fldCharType="begin"/>
      </w:r>
      <w:r>
        <w:instrText xml:space="preserve"> REF _Ref233641527 \r \h </w:instrText>
      </w:r>
      <w:r>
        <w:fldChar w:fldCharType="separate"/>
      </w:r>
      <w:r>
        <w:t>2.2.1</w:t>
      </w:r>
      <w:r>
        <w:fldChar w:fldCharType="end"/>
      </w:r>
      <w:r>
        <w:t xml:space="preserve">), it will not normally be necessary for you to apply character formatting as such: all essential formatting will be handled globally through external stylesheets and governed by the XML tags you create. For instance, instead of italicising foreign words and titles, you tag them as </w:t>
      </w:r>
      <w:r>
        <w:rPr>
          <w:rStyle w:val="Code"/>
        </w:rPr>
        <w:t>&lt;foreign&gt;</w:t>
      </w:r>
      <w:r>
        <w:t xml:space="preserve"> (§</w:t>
      </w:r>
      <w:r>
        <w:fldChar w:fldCharType="begin"/>
      </w:r>
      <w:r>
        <w:instrText xml:space="preserve"> REF _Ref43986658 \r \h </w:instrText>
      </w:r>
      <w:r>
        <w:fldChar w:fldCharType="separate"/>
      </w:r>
      <w:r>
        <w:t>14.4.2</w:t>
      </w:r>
      <w:r>
        <w:fldChar w:fldCharType="end"/>
      </w:r>
      <w:r>
        <w:t xml:space="preserve">) or </w:t>
      </w:r>
      <w:r>
        <w:rPr>
          <w:rStyle w:val="Code"/>
        </w:rPr>
        <w:t>&lt;title&gt;</w:t>
      </w:r>
      <w:r>
        <w:t xml:space="preserve"> (§</w:t>
      </w:r>
      <w:r>
        <w:fldChar w:fldCharType="begin"/>
      </w:r>
      <w:r>
        <w:instrText xml:space="preserve"> REF _Ref233796804 \r \h </w:instrText>
      </w:r>
      <w:r>
        <w:fldChar w:fldCharType="separate"/>
      </w:r>
      <w:r>
        <w:t>14.7.1</w:t>
      </w:r>
      <w:r>
        <w:fldChar w:fldCharType="end"/>
      </w:r>
      <w:r>
        <w:t>) respectively. That said, you may occasionally find it useful to encode simple local formatting instructions without any specific semantic classification. For this purpose, only outside the edition</w:t>
      </w:r>
      <w:r>
        <w:rPr>
          <w:rStyle w:val="Lbjegyzet-hivatkozs"/>
        </w:rPr>
        <w:footnoteReference w:id="40"/>
      </w:r>
      <w:r>
        <w:t xml:space="preserve"> and mainly within the commentary division, you may use the element </w:t>
      </w:r>
      <w:r>
        <w:rPr>
          <w:rStyle w:val="Code"/>
        </w:rPr>
        <w:t>&lt;hi&gt;</w:t>
      </w:r>
      <w:r>
        <w:t xml:space="preserve"> </w:t>
      </w:r>
      <w:r>
        <w:rPr>
          <w:noProof/>
        </w:rPr>
        <w:t>(</w:t>
      </w:r>
      <w:r>
        <w:t>signifying typographic highlighting) with attributes as specified in the following subsections.</w:t>
      </w:r>
    </w:p>
    <w:p w14:paraId="3C748180" w14:textId="77777777">
      <w:pPr>
        <w:pStyle w:val="Cmsor3"/>
      </w:pPr>
      <w:bookmarkStart w:id="946" w:name="_79u3x92o5v7r" w:colFirst="0" w:colLast="0"/>
      <w:bookmarkStart w:id="947" w:name="_Toc243922786"/>
      <w:bookmarkEnd w:id="946"/>
      <w:r>
        <w:lastRenderedPageBreak/>
        <w:t>Emphasis</w:t>
      </w:r>
      <w:bookmarkEnd w:id="947"/>
    </w:p>
    <w:p w14:paraId="5C98E137" w14:textId="77777777">
      <w:pPr>
        <w:pStyle w:val="Lista"/>
      </w:pPr>
      <w:r>
        <w:t xml:space="preserve">to add italic or bold emphasis to any segment of text, wrap it in </w:t>
      </w:r>
      <w:r>
        <w:rPr>
          <w:rStyle w:val="Code"/>
        </w:rPr>
        <w:t>&lt;hi&gt;</w:t>
      </w:r>
      <w:r>
        <w:t xml:space="preserve"> with the attribute </w:t>
      </w:r>
      <w:r>
        <w:rPr>
          <w:rStyle w:val="Codeattribute"/>
        </w:rPr>
        <w:t>@rend</w:t>
      </w:r>
      <w:r>
        <w:t xml:space="preserve"> taking one of the following values:</w:t>
      </w:r>
    </w:p>
    <w:p w14:paraId="7004F363" w14:textId="77777777">
      <w:pPr>
        <w:pStyle w:val="Lista2"/>
      </w:pPr>
      <w:r>
        <w:rPr>
          <w:rStyle w:val="Codevalue"/>
        </w:rPr>
        <w:t>"italic"</w:t>
      </w:r>
    </w:p>
    <w:p w14:paraId="08FA1933" w14:textId="77777777">
      <w:pPr>
        <w:pStyle w:val="Lista2"/>
        <w:rPr>
          <w:rStyle w:val="Codevalue"/>
          <w:rFonts w:ascii="Gentium" w:eastAsiaTheme="minorEastAsia" w:hAnsi="Gentium" w:cs="Tiro Devanagari Sanskrit"/>
          <w:noProof w:val="0"/>
          <w:color w:val="auto"/>
          <w:shd w:val="clear" w:color="auto" w:fill="auto"/>
        </w:rPr>
      </w:pPr>
      <w:r>
        <w:rPr>
          <w:rStyle w:val="Codevalue"/>
        </w:rPr>
        <w:t>"bold"</w:t>
      </w:r>
    </w:p>
    <w:p w14:paraId="7DA5734B" w14:textId="77777777">
      <w:pPr>
        <w:pStyle w:val="Cmsor3"/>
      </w:pPr>
      <w:bookmarkStart w:id="948" w:name="_Toc243922787"/>
      <w:r>
        <w:t>Subscript and superscript</w:t>
      </w:r>
      <w:bookmarkEnd w:id="948"/>
    </w:p>
    <w:p w14:paraId="4F45062C" w14:textId="77777777">
      <w:pPr>
        <w:pStyle w:val="Lista"/>
      </w:pPr>
      <w:r>
        <w:t xml:space="preserve">to format any characters as subscript or superscript, wrap them in </w:t>
      </w:r>
      <w:r>
        <w:rPr>
          <w:rStyle w:val="Code"/>
        </w:rPr>
        <w:t>&lt;hi&gt;</w:t>
      </w:r>
      <w:r>
        <w:t xml:space="preserve"> with the attribute </w:t>
      </w:r>
      <w:r>
        <w:rPr>
          <w:rStyle w:val="Codeattribute"/>
        </w:rPr>
        <w:t>@rend</w:t>
      </w:r>
      <w:r>
        <w:t xml:space="preserve"> taking one of the following values:</w:t>
      </w:r>
    </w:p>
    <w:p w14:paraId="260A9EA0" w14:textId="77777777">
      <w:pPr>
        <w:pStyle w:val="Lista2"/>
      </w:pPr>
      <w:r>
        <w:rPr>
          <w:rStyle w:val="Codevalue"/>
        </w:rPr>
        <w:t>"italic"</w:t>
      </w:r>
    </w:p>
    <w:p w14:paraId="00743566" w14:textId="77777777">
      <w:pPr>
        <w:pStyle w:val="Lista2"/>
      </w:pPr>
      <w:r>
        <w:rPr>
          <w:rStyle w:val="Codevalue"/>
        </w:rPr>
        <w:t>"bold"</w:t>
      </w:r>
    </w:p>
    <w:p w14:paraId="0531324C" w14:textId="77777777">
      <w:pPr>
        <w:pStyle w:val="Lista2"/>
      </w:pPr>
      <w:r>
        <w:rPr>
          <w:rStyle w:val="Codevalue"/>
        </w:rPr>
        <w:t>"subscript"</w:t>
      </w:r>
    </w:p>
    <w:p w14:paraId="4B632F7A" w14:textId="77777777">
      <w:pPr>
        <w:pStyle w:val="Lista2"/>
      </w:pPr>
      <w:r>
        <w:rPr>
          <w:rStyle w:val="Codevalue"/>
        </w:rPr>
        <w:t>"superscript"</w:t>
      </w:r>
    </w:p>
    <w:p w14:paraId="3721448E" w14:textId="77777777">
      <w:pPr>
        <w:pStyle w:val="Cmsor3"/>
      </w:pPr>
      <w:bookmarkStart w:id="949" w:name="_Ref233727983"/>
      <w:bookmarkStart w:id="950" w:name="_Toc243922788"/>
      <w:r>
        <w:t>Grantha script</w:t>
      </w:r>
      <w:bookmarkEnd w:id="949"/>
      <w:bookmarkEnd w:id="950"/>
    </w:p>
    <w:p w14:paraId="124FBF06" w14:textId="77777777">
      <w:pPr>
        <w:pStyle w:val="Lista"/>
      </w:pPr>
      <w:r>
        <w:t xml:space="preserve">in text cited from your edition or from another primary text, transliterated characters originally written in the Grantha script may be distinguished from surrounding characters by wrapping them in </w:t>
      </w:r>
      <w:r>
        <w:rPr>
          <w:rStyle w:val="Code"/>
        </w:rPr>
        <w:t xml:space="preserve">&lt;hi </w:t>
      </w:r>
      <w:r>
        <w:rPr>
          <w:rStyle w:val="Codeattribute"/>
        </w:rPr>
        <w:t>rend</w:t>
      </w:r>
      <w:r>
        <w:rPr>
          <w:rStyle w:val="Code"/>
        </w:rPr>
        <w:t>=</w:t>
      </w:r>
      <w:r>
        <w:rPr>
          <w:rStyle w:val="Codevalue"/>
        </w:rPr>
        <w:t>"grantha"</w:t>
      </w:r>
      <w:r>
        <w:rPr>
          <w:rStyle w:val="Code"/>
        </w:rPr>
        <w:t>&gt;</w:t>
      </w:r>
    </w:p>
    <w:p w14:paraId="18600EF1" w14:textId="4F17D67C">
      <w:pPr>
        <w:pStyle w:val="Lista2"/>
      </w:pPr>
      <w:r>
        <w:t xml:space="preserve">doing so does not replace the </w:t>
      </w:r>
      <w:r>
        <w:rPr>
          <w:rStyle w:val="Code"/>
        </w:rPr>
        <w:t>&lt;foreign&gt;</w:t>
      </w:r>
      <w:r>
        <w:t xml:space="preserve"> tag </w:t>
      </w:r>
      <w:r>
        <w:rPr>
          <w:noProof/>
        </w:rPr>
        <w:t>(</w:t>
      </w:r>
      <w:r>
        <w:t>§</w:t>
      </w:r>
      <w:r>
        <w:fldChar w:fldCharType="begin"/>
      </w:r>
      <w:r>
        <w:instrText xml:space="preserve"> REF _Ref43986658 \w \h  \* MERGEFORMAT </w:instrText>
      </w:r>
      <w:r>
        <w:fldChar w:fldCharType="separate"/>
      </w:r>
      <w:r>
        <w:t>14.4.2</w:t>
      </w:r>
      <w:r>
        <w:fldChar w:fldCharType="end"/>
      </w:r>
      <w:r>
        <w:t>) required for quoting such text outside the edition</w:t>
      </w:r>
    </w:p>
    <w:p w14:paraId="3829EB26" w14:textId="7D916766">
      <w:pPr>
        <w:pStyle w:val="Lista2"/>
      </w:pPr>
      <w:r>
        <w:t>within the edition itself, Grantha script must be encoded as per §</w:t>
      </w:r>
      <w:r>
        <w:fldChar w:fldCharType="begin"/>
      </w:r>
      <w:r>
        <w:instrText xml:space="preserve"> REF _Ref233642045 \r \h </w:instrText>
      </w:r>
      <w:r>
        <w:fldChar w:fldCharType="separate"/>
      </w:r>
      <w:r>
        <w:t>8.2.3.5</w:t>
      </w:r>
      <w:r>
        <w:fldChar w:fldCharType="end"/>
      </w:r>
    </w:p>
    <w:p w14:paraId="3B2EE21A" w14:textId="77777777">
      <w:pPr>
        <w:pStyle w:val="Cmsor3"/>
      </w:pPr>
      <w:bookmarkStart w:id="951" w:name="_w8m7jrrw5g8k" w:colFirst="0" w:colLast="0"/>
      <w:bookmarkStart w:id="952" w:name="_Ref122447347"/>
      <w:bookmarkStart w:id="953" w:name="_Ref43978966"/>
      <w:bookmarkStart w:id="954" w:name="_Ref56419954"/>
      <w:bookmarkStart w:id="955" w:name="_Toc243922789"/>
      <w:bookmarkEnd w:id="951"/>
      <w:r>
        <w:t>Highlighting for review</w:t>
      </w:r>
      <w:bookmarkEnd w:id="952"/>
      <w:bookmarkEnd w:id="955"/>
    </w:p>
    <w:p w14:paraId="10A4DC5C" w14:textId="77777777">
      <w:r>
        <w:t xml:space="preserve">You may sometimes want to highlight parts of your texts to which you wish to return later or draw the attention of a colleague reviewing your work. </w:t>
      </w:r>
    </w:p>
    <w:p w14:paraId="1FA671E4" w14:textId="77777777">
      <w:pPr>
        <w:pStyle w:val="Lista"/>
      </w:pPr>
      <w:r>
        <w:t xml:space="preserve">to highlight a segment of text for review, wrap it in </w:t>
      </w:r>
      <w:r>
        <w:rPr>
          <w:rStyle w:val="Code"/>
        </w:rPr>
        <w:t>&lt;hi</w:t>
      </w:r>
      <w:r>
        <w:rPr>
          <w:rStyle w:val="Codeattribute"/>
        </w:rPr>
        <w:t xml:space="preserve"> rend=</w:t>
      </w:r>
      <w:r>
        <w:rPr>
          <w:rStyle w:val="Codevalue"/>
        </w:rPr>
        <w:t>"check"</w:t>
      </w:r>
      <w:r>
        <w:rPr>
          <w:rStyle w:val="Code"/>
        </w:rPr>
        <w:t>&gt;</w:t>
      </w:r>
    </w:p>
    <w:p w14:paraId="4F6C01B5" w14:textId="77777777">
      <w:pPr>
        <w:pStyle w:val="Lista"/>
      </w:pPr>
      <w:r>
        <w:t>highlighting is available in the edition division as well as elsewhere in your XML document</w:t>
      </w:r>
    </w:p>
    <w:p w14:paraId="7D8A5A56" w14:textId="77777777">
      <w:pPr>
        <w:pStyle w:val="Lista2"/>
      </w:pPr>
      <w:r>
        <w:t>this encoding may be freely combined with other phrase-level markup so long as overlaps are avoided</w:t>
      </w:r>
    </w:p>
    <w:p w14:paraId="3FB8906D" w14:textId="77777777">
      <w:pPr>
        <w:pStyle w:val="Lista2"/>
      </w:pPr>
      <w:r>
        <w:t xml:space="preserve">if the segment you wish to highlight coincides with some editorial markup, preferably use </w:t>
      </w:r>
      <w:r>
        <w:rPr>
          <w:rStyle w:val="Code"/>
        </w:rPr>
        <w:t>&lt;hi&gt;</w:t>
      </w:r>
      <w:r>
        <w:t xml:space="preserve"> on the outside and nest the other markup within that</w:t>
      </w:r>
    </w:p>
    <w:p w14:paraId="268970C1" w14:textId="77777777">
      <w:pPr>
        <w:pStyle w:val="Lista3"/>
      </w:pPr>
      <w:r>
        <w:t xml:space="preserve">e.g. </w:t>
      </w:r>
      <w:r>
        <w:rPr>
          <w:rStyle w:val="Codetext"/>
        </w:rPr>
        <w:t>vidvi</w:t>
      </w:r>
      <w:r>
        <w:rPr>
          <w:rStyle w:val="Code"/>
        </w:rPr>
        <w:t xml:space="preserve">&lt;hi </w:t>
      </w:r>
      <w:r>
        <w:rPr>
          <w:rStyle w:val="Codeattribute"/>
        </w:rPr>
        <w:t>rend</w:t>
      </w:r>
      <w:r>
        <w:rPr>
          <w:rStyle w:val="Codetext"/>
        </w:rPr>
        <w:t>=</w:t>
      </w:r>
      <w:r>
        <w:rPr>
          <w:rStyle w:val="Codevalue"/>
        </w:rPr>
        <w:t>"check"</w:t>
      </w:r>
      <w:r>
        <w:rPr>
          <w:rStyle w:val="Code"/>
        </w:rPr>
        <w:t xml:space="preserve">&gt;&lt;unclear </w:t>
      </w:r>
      <w:r>
        <w:rPr>
          <w:rStyle w:val="Codeattribute"/>
        </w:rPr>
        <w:t>cert</w:t>
      </w:r>
      <w:r>
        <w:rPr>
          <w:rStyle w:val="Codetext"/>
        </w:rPr>
        <w:t>=</w:t>
      </w:r>
      <w:r>
        <w:rPr>
          <w:rStyle w:val="Codevalue"/>
        </w:rPr>
        <w:t>"low"</w:t>
      </w:r>
      <w:r>
        <w:rPr>
          <w:rStyle w:val="Code"/>
        </w:rPr>
        <w:t>&gt;</w:t>
      </w:r>
      <w:r>
        <w:rPr>
          <w:rStyle w:val="Codetext"/>
        </w:rPr>
        <w:t>ṭsu</w:t>
      </w:r>
      <w:r>
        <w:rPr>
          <w:rStyle w:val="Code"/>
        </w:rPr>
        <w:t>&lt;/unclear&gt;&lt;/hi&gt;</w:t>
      </w:r>
    </w:p>
    <w:p w14:paraId="01B756B6" w14:textId="77777777">
      <w:pPr>
        <w:pStyle w:val="Lista"/>
      </w:pPr>
      <w:r>
        <w:t>as this encoding serves only for internal review, it is strongly recommended that you remove it from any digital editions you consider completed</w:t>
      </w:r>
    </w:p>
    <w:p w14:paraId="7186393D" w14:textId="77777777">
      <w:pPr>
        <w:pStyle w:val="Cmsor2"/>
      </w:pPr>
      <w:bookmarkStart w:id="956" w:name="_Ref233789547"/>
      <w:bookmarkStart w:id="957" w:name="_Toc243922790"/>
      <w:r>
        <w:t>Block-level containers outside the edition</w:t>
      </w:r>
      <w:bookmarkEnd w:id="956"/>
      <w:bookmarkEnd w:id="957"/>
    </w:p>
    <w:p w14:paraId="454ED10C" w14:textId="77777777">
      <w:pPr>
        <w:pStyle w:val="Cmsor3"/>
      </w:pPr>
      <w:bookmarkStart w:id="958" w:name="_Ref233793815"/>
      <w:bookmarkStart w:id="959" w:name="_Toc243922791"/>
      <w:r>
        <w:t>Paragraphs</w:t>
      </w:r>
      <w:bookmarkEnd w:id="958"/>
      <w:bookmarkEnd w:id="959"/>
    </w:p>
    <w:p w14:paraId="7BB69BE3" w14:textId="0F18E89E">
      <w:pPr>
        <w:rPr>
          <w:lang w:eastAsia="en-US" w:bidi="ar-SA"/>
        </w:rPr>
      </w:pPr>
      <w:r>
        <w:rPr>
          <w:lang w:eastAsia="en-US" w:bidi="ar-SA"/>
        </w:rPr>
        <w:t>Segmenting text into paragraphs will usually not be necessary outside the sections where paragraphs are explicitly called for and pre-created in our encoding templates, namely the translation (§</w:t>
      </w:r>
      <w:r>
        <w:rPr>
          <w:lang w:eastAsia="en-US" w:bidi="ar-SA"/>
        </w:rPr>
        <w:fldChar w:fldCharType="begin"/>
      </w:r>
      <w:r>
        <w:rPr>
          <w:lang w:eastAsia="en-US" w:bidi="ar-SA"/>
        </w:rPr>
        <w:instrText xml:space="preserve"> REF _Ref233792737 \r \h </w:instrText>
      </w:r>
      <w:r>
        <w:rPr>
          <w:lang w:eastAsia="en-US" w:bidi="ar-SA"/>
        </w:rPr>
      </w:r>
      <w:r>
        <w:rPr>
          <w:lang w:eastAsia="en-US" w:bidi="ar-SA"/>
        </w:rPr>
        <w:fldChar w:fldCharType="separate"/>
      </w:r>
      <w:r>
        <w:rPr>
          <w:lang w:eastAsia="en-US" w:bidi="ar-SA"/>
        </w:rPr>
        <w:t>11.2.2</w:t>
      </w:r>
      <w:r>
        <w:rPr>
          <w:lang w:eastAsia="en-US" w:bidi="ar-SA"/>
        </w:rPr>
        <w:fldChar w:fldCharType="end"/>
      </w:r>
      <w:r>
        <w:rPr>
          <w:lang w:eastAsia="en-US" w:bidi="ar-SA"/>
        </w:rPr>
        <w:t>), the commentary (§</w:t>
      </w:r>
      <w:r>
        <w:rPr>
          <w:lang w:eastAsia="en-US" w:bidi="ar-SA"/>
        </w:rPr>
        <w:fldChar w:fldCharType="begin"/>
      </w:r>
      <w:r>
        <w:rPr>
          <w:lang w:eastAsia="en-US" w:bidi="ar-SA"/>
        </w:rPr>
        <w:instrText xml:space="preserve"> REF _Ref233792738 \r \h </w:instrText>
      </w:r>
      <w:r>
        <w:rPr>
          <w:lang w:eastAsia="en-US" w:bidi="ar-SA"/>
        </w:rPr>
      </w:r>
      <w:r>
        <w:rPr>
          <w:lang w:eastAsia="en-US" w:bidi="ar-SA"/>
        </w:rPr>
        <w:fldChar w:fldCharType="separate"/>
      </w:r>
      <w:r>
        <w:rPr>
          <w:lang w:eastAsia="en-US" w:bidi="ar-SA"/>
        </w:rPr>
        <w:t>12.1</w:t>
      </w:r>
      <w:r>
        <w:rPr>
          <w:lang w:eastAsia="en-US" w:bidi="ar-SA"/>
        </w:rPr>
        <w:fldChar w:fldCharType="end"/>
      </w:r>
      <w:r>
        <w:rPr>
          <w:lang w:eastAsia="en-US" w:bidi="ar-SA"/>
        </w:rPr>
        <w:t>) and the epigraphic lemma (§</w:t>
      </w:r>
      <w:r>
        <w:rPr>
          <w:lang w:eastAsia="en-US" w:bidi="ar-SA"/>
        </w:rPr>
        <w:fldChar w:fldCharType="begin"/>
      </w:r>
      <w:r>
        <w:rPr>
          <w:lang w:eastAsia="en-US" w:bidi="ar-SA"/>
        </w:rPr>
        <w:instrText xml:space="preserve"> REF _Ref233623221 \r \h </w:instrText>
      </w:r>
      <w:r>
        <w:rPr>
          <w:lang w:eastAsia="en-US" w:bidi="ar-SA"/>
        </w:rPr>
      </w:r>
      <w:r>
        <w:rPr>
          <w:lang w:eastAsia="en-US" w:bidi="ar-SA"/>
        </w:rPr>
        <w:fldChar w:fldCharType="separate"/>
      </w:r>
      <w:r>
        <w:rPr>
          <w:lang w:eastAsia="en-US" w:bidi="ar-SA"/>
        </w:rPr>
        <w:t>13.2</w:t>
      </w:r>
      <w:r>
        <w:rPr>
          <w:lang w:eastAsia="en-US" w:bidi="ar-SA"/>
        </w:rPr>
        <w:fldChar w:fldCharType="end"/>
      </w:r>
      <w:r>
        <w:rPr>
          <w:lang w:eastAsia="en-US" w:bidi="ar-SA"/>
        </w:rPr>
        <w:t>).</w:t>
      </w:r>
    </w:p>
    <w:p w14:paraId="27874E33" w14:textId="77777777">
      <w:pPr>
        <w:pStyle w:val="Lista"/>
      </w:pPr>
      <w:r>
        <w:t xml:space="preserve">when you see the need to do so, paragraphs (i.e. </w:t>
      </w:r>
      <w:r>
        <w:rPr>
          <w:rStyle w:val="Code"/>
        </w:rPr>
        <w:t>&lt;p&gt;</w:t>
      </w:r>
      <w:r>
        <w:t xml:space="preserve"> elements) may also be created within the following elements</w:t>
      </w:r>
    </w:p>
    <w:p w14:paraId="0CCFC263" w14:textId="32B7F3D8">
      <w:pPr>
        <w:pStyle w:val="Lista2"/>
      </w:pPr>
      <w:r>
        <w:t>notes (§</w:t>
      </w:r>
      <w:r>
        <w:fldChar w:fldCharType="begin"/>
      </w:r>
      <w:r>
        <w:instrText xml:space="preserve"> REF _Ref43989684 \r \h </w:instrText>
      </w:r>
      <w:r>
        <w:fldChar w:fldCharType="separate"/>
      </w:r>
      <w:r>
        <w:t>14.5</w:t>
      </w:r>
      <w:r>
        <w:fldChar w:fldCharType="end"/>
      </w:r>
      <w:r>
        <w:t>) in any part of the file except the critical apparatus</w:t>
      </w:r>
    </w:p>
    <w:p w14:paraId="19610ADC" w14:textId="1A9A3A31">
      <w:pPr>
        <w:pStyle w:val="Lista2"/>
      </w:pPr>
      <w:r>
        <w:t>block quotes (§</w:t>
      </w:r>
      <w:r>
        <w:fldChar w:fldCharType="begin"/>
      </w:r>
      <w:r>
        <w:instrText xml:space="preserve"> REF _Ref233793283 \r \h </w:instrText>
      </w:r>
      <w:r>
        <w:fldChar w:fldCharType="separate"/>
      </w:r>
      <w:r>
        <w:t>14.3.3</w:t>
      </w:r>
      <w:r>
        <w:fldChar w:fldCharType="end"/>
      </w:r>
      <w:r>
        <w:t>)</w:t>
      </w:r>
    </w:p>
    <w:p w14:paraId="3AEA6AEC" w14:textId="703306BD">
      <w:pPr>
        <w:pStyle w:val="Lista2"/>
      </w:pPr>
      <w:r>
        <w:t>hand notes (§</w:t>
      </w:r>
      <w:r>
        <w:fldChar w:fldCharType="begin"/>
      </w:r>
      <w:r>
        <w:instrText xml:space="preserve"> REF _Ref231980025 \r \h </w:instrText>
      </w:r>
      <w:r>
        <w:fldChar w:fldCharType="separate"/>
      </w:r>
      <w:r>
        <w:t>15.2.1.2</w:t>
      </w:r>
      <w:r>
        <w:fldChar w:fldCharType="end"/>
      </w:r>
      <w:r>
        <w:t>) in the TEI header</w:t>
      </w:r>
    </w:p>
    <w:p w14:paraId="4E14A0C6" w14:textId="77777777">
      <w:pPr>
        <w:pStyle w:val="Lista"/>
      </w:pPr>
      <w:r>
        <w:t xml:space="preserve">if you wish to segment one of the above elements into several paragraphs, keep in mind that the </w:t>
      </w:r>
      <w:r>
        <w:rPr>
          <w:rStyle w:val="Code"/>
        </w:rPr>
        <w:t>&lt;p&gt;</w:t>
      </w:r>
      <w:r>
        <w:t xml:space="preserve"> elements must tessellate</w:t>
      </w:r>
    </w:p>
    <w:p w14:paraId="086898E2" w14:textId="77777777">
      <w:pPr>
        <w:pStyle w:val="Lista2"/>
      </w:pPr>
      <w:r>
        <w:t xml:space="preserve">thus, if a </w:t>
      </w:r>
      <w:r>
        <w:rPr>
          <w:rStyle w:val="Code"/>
        </w:rPr>
        <w:t>&lt;p&gt;</w:t>
      </w:r>
      <w:r>
        <w:t xml:space="preserve"> element is present within one of these containers, then all the content of the note or hand note must be wrapped within one </w:t>
      </w:r>
      <w:r>
        <w:rPr>
          <w:rStyle w:val="Code"/>
        </w:rPr>
        <w:t>&lt;p&gt;</w:t>
      </w:r>
      <w:r>
        <w:t xml:space="preserve"> element or another</w:t>
      </w:r>
    </w:p>
    <w:p w14:paraId="2FBDDE7C" w14:textId="77777777">
      <w:pPr>
        <w:pStyle w:val="Cmsor3"/>
      </w:pPr>
      <w:bookmarkStart w:id="960" w:name="_Toc243922792"/>
      <w:r>
        <w:lastRenderedPageBreak/>
        <w:t>Verse containers</w:t>
      </w:r>
      <w:bookmarkEnd w:id="960"/>
    </w:p>
    <w:p w14:paraId="220D005C" w14:textId="77777777">
      <w:pPr>
        <w:pStyle w:val="Cmsor4"/>
      </w:pPr>
      <w:bookmarkStart w:id="961" w:name="_Ref233793993"/>
      <w:r>
        <w:t>Stanza containers</w:t>
      </w:r>
      <w:bookmarkEnd w:id="961"/>
    </w:p>
    <w:p w14:paraId="67D37D92" w14:textId="0448C270">
      <w:pPr>
        <w:pStyle w:val="Lista"/>
      </w:pPr>
      <w:r>
        <w:t xml:space="preserve">outside the edition, the use of the stanza container </w:t>
      </w:r>
      <w:r>
        <w:rPr>
          <w:rStyle w:val="Code"/>
        </w:rPr>
        <w:t>&lt;lg&gt;</w:t>
      </w:r>
      <w:r>
        <w:t xml:space="preserve"> is only permitted in a block quote (§</w:t>
      </w:r>
      <w:r>
        <w:fldChar w:fldCharType="begin"/>
      </w:r>
      <w:r>
        <w:instrText xml:space="preserve"> REF _Ref233793283 \r \h </w:instrText>
      </w:r>
      <w:r>
        <w:fldChar w:fldCharType="separate"/>
      </w:r>
      <w:r>
        <w:t>14.3.3</w:t>
      </w:r>
      <w:r>
        <w:fldChar w:fldCharType="end"/>
      </w:r>
      <w:r>
        <w:t xml:space="preserve">), intended for the citation of verse from primary sources as illustrated in </w:t>
      </w:r>
      <w:r>
        <w:fldChar w:fldCharType="begin"/>
      </w:r>
      <w:r>
        <w:instrText xml:space="preserve"> REF _Ref233795218 \h </w:instrText>
      </w:r>
      <w:r>
        <w:fldChar w:fldCharType="separate"/>
      </w:r>
      <w:r>
        <w:t xml:space="preserve">Exhibit </w:t>
      </w:r>
      <w:r>
        <w:rPr>
          <w:noProof/>
        </w:rPr>
        <w:t>14.3</w:t>
      </w:r>
      <w:r>
        <w:t>.</w:t>
      </w:r>
      <w:r>
        <w:rPr>
          <w:noProof/>
        </w:rPr>
        <w:t>A</w:t>
      </w:r>
      <w:r>
        <w:fldChar w:fldCharType="end"/>
      </w:r>
    </w:p>
    <w:p w14:paraId="37853410" w14:textId="27ADF961">
      <w:pPr>
        <w:pStyle w:val="Lista2"/>
      </w:pPr>
      <w:r>
        <w:t xml:space="preserve">when using </w:t>
      </w:r>
      <w:r>
        <w:rPr>
          <w:rStyle w:val="Code"/>
        </w:rPr>
        <w:t>&lt;lg&gt;</w:t>
      </w:r>
      <w:r>
        <w:t xml:space="preserve"> in this manner, add the attribute </w:t>
      </w:r>
      <w:r>
        <w:rPr>
          <w:rStyle w:val="Codeattribute"/>
        </w:rPr>
        <w:t>@xml:lang</w:t>
      </w:r>
      <w:r>
        <w:t xml:space="preserve"> to encode the language of the stanza as per §</w:t>
      </w:r>
      <w:r>
        <w:fldChar w:fldCharType="begin"/>
      </w:r>
      <w:r>
        <w:instrText xml:space="preserve"> REF _Ref43986658 \r \h </w:instrText>
      </w:r>
      <w:r>
        <w:fldChar w:fldCharType="separate"/>
      </w:r>
      <w:r>
        <w:t>14.4.2</w:t>
      </w:r>
      <w:r>
        <w:fldChar w:fldCharType="end"/>
      </w:r>
    </w:p>
    <w:p w14:paraId="0C2B247B" w14:textId="77777777">
      <w:pPr>
        <w:pStyle w:val="Lista2"/>
      </w:pPr>
      <w:r>
        <w:t>unlike stanzas in the edition, no further attributes are required in this case</w:t>
      </w:r>
    </w:p>
    <w:p w14:paraId="6E232DEA" w14:textId="77777777">
      <w:pPr>
        <w:pStyle w:val="Lista"/>
      </w:pPr>
      <w:r>
        <w:t xml:space="preserve">to apply verse formatting to text in a modern language, such as a translated stanza, use a </w:t>
      </w:r>
      <w:r>
        <w:rPr>
          <w:rStyle w:val="Code"/>
        </w:rPr>
        <w:t>&lt;p&gt;</w:t>
      </w:r>
      <w:r>
        <w:t xml:space="preserve"> element with the attribute </w:t>
      </w:r>
      <w:r>
        <w:rPr>
          <w:rStyle w:val="Codeattribute"/>
        </w:rPr>
        <w:t>@rend=</w:t>
      </w:r>
      <w:r>
        <w:rPr>
          <w:rStyle w:val="Codevalue"/>
        </w:rPr>
        <w:t>"stanza"</w:t>
      </w:r>
    </w:p>
    <w:p w14:paraId="56A562CB" w14:textId="626D5C98">
      <w:pPr>
        <w:pStyle w:val="Lista2"/>
      </w:pPr>
      <w:r>
        <w:t xml:space="preserve">this is possible wherever </w:t>
      </w:r>
      <w:r>
        <w:rPr>
          <w:rStyle w:val="Code"/>
        </w:rPr>
        <w:t>&lt;p&gt;</w:t>
      </w:r>
      <w:r>
        <w:t xml:space="preserve"> elements are permitted outside the edition (§</w:t>
      </w:r>
      <w:r>
        <w:fldChar w:fldCharType="begin"/>
      </w:r>
      <w:r>
        <w:instrText xml:space="preserve"> REF _Ref233793815 \r \h </w:instrText>
      </w:r>
      <w:r>
        <w:fldChar w:fldCharType="separate"/>
      </w:r>
      <w:r>
        <w:t>14.3.1</w:t>
      </w:r>
      <w:r>
        <w:fldChar w:fldCharType="end"/>
      </w:r>
      <w:r>
        <w:t xml:space="preserve">) </w:t>
      </w:r>
    </w:p>
    <w:p w14:paraId="21CBD818" w14:textId="77777777">
      <w:pPr>
        <w:pStyle w:val="Cmsor4"/>
      </w:pPr>
      <w:bookmarkStart w:id="962" w:name="_Ref233988137"/>
      <w:r>
        <w:t>Verse lines</w:t>
      </w:r>
      <w:bookmarkEnd w:id="962"/>
    </w:p>
    <w:p w14:paraId="242DDC19" w14:textId="6B81752B">
      <w:pPr>
        <w:pStyle w:val="Lista"/>
      </w:pPr>
      <w:r>
        <w:t xml:space="preserve">outside the edition, verse lines encoded with the </w:t>
      </w:r>
      <w:r>
        <w:rPr>
          <w:rStyle w:val="Code"/>
        </w:rPr>
        <w:t>&lt;l&gt;</w:t>
      </w:r>
      <w:r>
        <w:t xml:space="preserve"> element must be within an applicable container (§</w:t>
      </w:r>
      <w:r>
        <w:fldChar w:fldCharType="begin"/>
      </w:r>
      <w:r>
        <w:instrText xml:space="preserve"> REF _Ref233793993 \r \h </w:instrText>
      </w:r>
      <w:r>
        <w:fldChar w:fldCharType="separate"/>
      </w:r>
      <w:r>
        <w:t>14.3.2.1</w:t>
      </w:r>
      <w:r>
        <w:fldChar w:fldCharType="end"/>
      </w:r>
      <w:r>
        <w:t>) and can and must be encoded when you use a stanza container</w:t>
      </w:r>
    </w:p>
    <w:p w14:paraId="0E617A96" w14:textId="77777777">
      <w:pPr>
        <w:pStyle w:val="Lista"/>
      </w:pPr>
      <w:r>
        <w:t xml:space="preserve">within the stanza container, </w:t>
      </w:r>
      <w:r>
        <w:rPr>
          <w:rStyle w:val="Code"/>
        </w:rPr>
        <w:t>&lt;l&gt;</w:t>
      </w:r>
      <w:r>
        <w:t xml:space="preserve"> elements must tessellate, i.e. the container must not contain text outside an </w:t>
      </w:r>
      <w:r>
        <w:rPr>
          <w:rStyle w:val="Code"/>
        </w:rPr>
        <w:t>&lt;l&gt;</w:t>
      </w:r>
      <w:r>
        <w:t xml:space="preserve"> element</w:t>
      </w:r>
    </w:p>
    <w:p w14:paraId="4CA87541" w14:textId="77777777">
      <w:pPr>
        <w:pStyle w:val="Lista"/>
      </w:pPr>
      <w:r>
        <w:t xml:space="preserve">no attributes are required on </w:t>
      </w:r>
      <w:r>
        <w:rPr>
          <w:rStyle w:val="Code"/>
        </w:rPr>
        <w:t>&lt;l&gt;</w:t>
      </w:r>
      <w:r>
        <w:t xml:space="preserve"> elements when used in this manner</w:t>
      </w:r>
    </w:p>
    <w:p w14:paraId="75A71142" w14:textId="77777777">
      <w:pPr>
        <w:pStyle w:val="Cmsor3"/>
      </w:pPr>
      <w:bookmarkStart w:id="963" w:name="_Ref233793283"/>
      <w:bookmarkStart w:id="964" w:name="_Ref233279232"/>
      <w:bookmarkStart w:id="965" w:name="_Toc243922793"/>
      <w:bookmarkEnd w:id="953"/>
      <w:r>
        <w:t>Block quotes</w:t>
      </w:r>
      <w:bookmarkEnd w:id="963"/>
      <w:bookmarkEnd w:id="965"/>
    </w:p>
    <w:p w14:paraId="254DF83B" w14:textId="130134B4">
      <w:pPr>
        <w:rPr>
          <w:lang w:eastAsia="en-US" w:bidi="ar-SA"/>
        </w:rPr>
      </w:pPr>
      <w:r>
        <w:rPr>
          <w:lang w:eastAsia="en-US" w:bidi="ar-SA"/>
        </w:rPr>
        <w:t xml:space="preserve">As and when necessary, block quotes </w:t>
      </w:r>
      <w:r>
        <w:t xml:space="preserve">may be created at any point where a </w:t>
      </w:r>
      <w:r>
        <w:rPr>
          <w:rStyle w:val="Code"/>
        </w:rPr>
        <w:t>&lt;p&gt;</w:t>
      </w:r>
      <w:r>
        <w:t xml:space="preserve"> element is permitted outside the edition (§</w:t>
      </w:r>
      <w:r>
        <w:fldChar w:fldCharType="begin"/>
      </w:r>
      <w:r>
        <w:instrText xml:space="preserve"> REF _Ref233793815 \r \h </w:instrText>
      </w:r>
      <w:r>
        <w:fldChar w:fldCharType="separate"/>
      </w:r>
      <w:r>
        <w:t>14.3.1</w:t>
      </w:r>
      <w:r>
        <w:fldChar w:fldCharType="end"/>
      </w:r>
      <w:r>
        <w:t xml:space="preserve">). To do so, use the following encoding as illustrated in </w:t>
      </w:r>
      <w:r>
        <w:fldChar w:fldCharType="begin"/>
      </w:r>
      <w:r>
        <w:instrText xml:space="preserve"> REF _Ref233795218 \h </w:instrText>
      </w:r>
      <w:r>
        <w:fldChar w:fldCharType="separate"/>
      </w:r>
      <w:r>
        <w:t xml:space="preserve">Exhibit </w:t>
      </w:r>
      <w:r>
        <w:rPr>
          <w:noProof/>
        </w:rPr>
        <w:t>14.3</w:t>
      </w:r>
      <w:r>
        <w:t>.</w:t>
      </w:r>
      <w:r>
        <w:rPr>
          <w:noProof/>
        </w:rPr>
        <w:t>A</w:t>
      </w:r>
      <w:r>
        <w:fldChar w:fldCharType="end"/>
      </w:r>
      <w:r>
        <w:t>.</w:t>
      </w:r>
    </w:p>
    <w:p w14:paraId="3B38AE99" w14:textId="77777777">
      <w:pPr>
        <w:pStyle w:val="Lista"/>
      </w:pPr>
      <w:r>
        <w:t xml:space="preserve">within a pre-existing </w:t>
      </w:r>
      <w:r>
        <w:rPr>
          <w:rStyle w:val="Code"/>
        </w:rPr>
        <w:t>&lt;p&gt;</w:t>
      </w:r>
      <w:r>
        <w:t xml:space="preserve"> or </w:t>
      </w:r>
      <w:r>
        <w:rPr>
          <w:rStyle w:val="Code"/>
        </w:rPr>
        <w:t>&lt;note&gt;</w:t>
      </w:r>
      <w:r>
        <w:t xml:space="preserve"> element, encode a quote, using</w:t>
      </w:r>
    </w:p>
    <w:p w14:paraId="088F0225" w14:textId="784CFC9E">
      <w:pPr>
        <w:pStyle w:val="Lista2"/>
      </w:pPr>
      <w:r>
        <w:t xml:space="preserve">either </w:t>
      </w:r>
      <w:r>
        <w:rPr>
          <w:rStyle w:val="Code"/>
        </w:rPr>
        <w:t>&lt;q&gt;</w:t>
      </w:r>
      <w:r>
        <w:t xml:space="preserve"> for generic quoted text (§</w:t>
      </w:r>
      <w:r>
        <w:fldChar w:fldCharType="begin"/>
      </w:r>
      <w:r>
        <w:instrText xml:space="preserve"> REF _Ref233880809 \r \h </w:instrText>
      </w:r>
      <w:r>
        <w:fldChar w:fldCharType="separate"/>
      </w:r>
      <w:r>
        <w:t>14.6.3.1</w:t>
      </w:r>
      <w:r>
        <w:fldChar w:fldCharType="end"/>
      </w:r>
      <w:r>
        <w:t>)</w:t>
      </w:r>
    </w:p>
    <w:p w14:paraId="715201C2" w14:textId="373DFF25">
      <w:pPr>
        <w:pStyle w:val="Lista2"/>
      </w:pPr>
      <w:r>
        <w:t xml:space="preserve">or </w:t>
      </w:r>
      <w:r>
        <w:rPr>
          <w:rStyle w:val="Code"/>
        </w:rPr>
        <w:t>&lt;quote&gt;</w:t>
      </w:r>
      <w:r>
        <w:t xml:space="preserve"> wrapped in </w:t>
      </w:r>
      <w:r>
        <w:rPr>
          <w:rStyle w:val="Code"/>
        </w:rPr>
        <w:t>&lt;cit&gt;</w:t>
      </w:r>
      <w:r>
        <w:t xml:space="preserve"> for a quotation attributed to a source (§</w:t>
      </w:r>
      <w:r>
        <w:fldChar w:fldCharType="begin"/>
      </w:r>
      <w:r>
        <w:instrText xml:space="preserve"> REF _Ref233880854 \r \h </w:instrText>
      </w:r>
      <w:r>
        <w:fldChar w:fldCharType="separate"/>
      </w:r>
      <w:r>
        <w:t>14.6.3.2</w:t>
      </w:r>
      <w:r>
        <w:fldChar w:fldCharType="end"/>
      </w:r>
      <w:r>
        <w:t>)</w:t>
      </w:r>
    </w:p>
    <w:p w14:paraId="721A51C8" w14:textId="77777777">
      <w:pPr>
        <w:pStyle w:val="Lista"/>
      </w:pPr>
      <w:r>
        <w:t xml:space="preserve">add the attribute </w:t>
      </w:r>
      <w:r>
        <w:rPr>
          <w:rStyle w:val="Codeattribute"/>
        </w:rPr>
        <w:t>@rend</w:t>
      </w:r>
      <w:r>
        <w:rPr>
          <w:rStyle w:val="Codetext"/>
        </w:rPr>
        <w:t>=</w:t>
      </w:r>
      <w:r>
        <w:rPr>
          <w:rStyle w:val="Codevalue"/>
        </w:rPr>
        <w:t>"block"</w:t>
      </w:r>
      <w:r>
        <w:t xml:space="preserve"> to the </w:t>
      </w:r>
      <w:r>
        <w:rPr>
          <w:rStyle w:val="Code"/>
        </w:rPr>
        <w:t>&lt;q&gt;</w:t>
      </w:r>
      <w:r>
        <w:t xml:space="preserve"> or </w:t>
      </w:r>
      <w:r>
        <w:rPr>
          <w:rStyle w:val="Code"/>
        </w:rPr>
        <w:t>&lt;quote&gt;</w:t>
      </w:r>
      <w:r>
        <w:t xml:space="preserve"> element</w:t>
      </w:r>
    </w:p>
    <w:p w14:paraId="4A1CA831" w14:textId="301076AD">
      <w:pPr>
        <w:pStyle w:val="Lista"/>
      </w:pPr>
      <w:r>
        <w:t>the parent element may contain additional text before as well as after the block quote</w:t>
      </w:r>
    </w:p>
    <w:tbl>
      <w:tblPr>
        <w:tblStyle w:val="CodeSampleTable"/>
        <w:tblW w:w="5000" w:type="pct"/>
        <w:tblLook w:val="04A0" w:firstRow="1" w:lastRow="0" w:firstColumn="1" w:lastColumn="0" w:noHBand="0" w:noVBand="1"/>
      </w:tblPr>
      <w:tblGrid>
        <w:gridCol w:w="9628"/>
      </w:tblGrid>
      <w:tr w14:paraId="21321B49"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86D390A" w14:textId="2C70E347">
            <w:pPr>
              <w:pStyle w:val="Kpalrs"/>
            </w:pPr>
            <w:bookmarkStart w:id="966" w:name="_Ref233795218"/>
            <w:bookmarkStart w:id="967" w:name="_Ref233795217"/>
            <w:r>
              <w:t xml:space="preserve">Exhibit </w:t>
            </w:r>
            <w:fldSimple w:instr=" STYLEREF 2 \s ">
              <w:r>
                <w:rPr>
                  <w:noProof/>
                </w:rPr>
                <w:t>14.3</w:t>
              </w:r>
            </w:fldSimple>
            <w:r>
              <w:t>.</w:t>
            </w:r>
            <w:fldSimple w:instr=" SEQ Exhibit \* ALPHABETIC \s 2 ">
              <w:r>
                <w:rPr>
                  <w:noProof/>
                </w:rPr>
                <w:t>A</w:t>
              </w:r>
            </w:fldSimple>
            <w:bookmarkEnd w:id="966"/>
            <w:r>
              <w:t>: block quote with stanza quotation</w:t>
            </w:r>
            <w:bookmarkEnd w:id="967"/>
          </w:p>
        </w:tc>
      </w:tr>
      <w:tr w14:paraId="440C8997" w14:textId="77777777">
        <w:tc>
          <w:tcPr>
            <w:tcW w:w="5000" w:type="pct"/>
          </w:tcPr>
          <w:p w14:paraId="1A4D9384" w14:textId="77777777">
            <w:pPr>
              <w:pStyle w:val="CodeParagraph"/>
              <w:keepNext/>
              <w:rPr>
                <w:rStyle w:val="Codetext"/>
              </w:rPr>
            </w:pPr>
            <w:r>
              <w:rPr>
                <w:rStyle w:val="Code"/>
              </w:rPr>
              <w:t>&lt;p&gt;</w:t>
            </w:r>
            <w:r>
              <w:rPr>
                <w:rStyle w:val="Codetext"/>
              </w:rPr>
              <w:t>In further support ... crucial elements that we also see in ours:</w:t>
            </w:r>
          </w:p>
          <w:p w14:paraId="2D20FA2F" w14:textId="77777777">
            <w:pPr>
              <w:pStyle w:val="CodeParagraph"/>
              <w:keepNext/>
              <w:rPr>
                <w:rStyle w:val="Code"/>
              </w:rPr>
            </w:pPr>
            <w:r>
              <w:rPr>
                <w:rStyle w:val="Code"/>
              </w:rPr>
              <w:t xml:space="preserve">  &lt;q </w:t>
            </w:r>
            <w:r>
              <w:rPr>
                <w:rStyle w:val="Codeattribute"/>
              </w:rPr>
              <w:t>rend=</w:t>
            </w:r>
            <w:r>
              <w:rPr>
                <w:rStyle w:val="Codevalue"/>
              </w:rPr>
              <w:t>"block"</w:t>
            </w:r>
            <w:r>
              <w:rPr>
                <w:rStyle w:val="Code"/>
              </w:rPr>
              <w:t>&gt;</w:t>
            </w:r>
          </w:p>
          <w:p w14:paraId="652A9EA2" w14:textId="77777777">
            <w:pPr>
              <w:pStyle w:val="CodeParagraph"/>
              <w:keepNext/>
              <w:rPr>
                <w:rStyle w:val="Code"/>
              </w:rPr>
            </w:pPr>
            <w:r>
              <w:rPr>
                <w:rStyle w:val="Code"/>
              </w:rPr>
              <w:t xml:space="preserve">    &lt;lg </w:t>
            </w:r>
            <w:r>
              <w:rPr>
                <w:rStyle w:val="Codeattribute"/>
              </w:rPr>
              <w:t>xml:lang=</w:t>
            </w:r>
            <w:r>
              <w:rPr>
                <w:rStyle w:val="Codevalue"/>
              </w:rPr>
              <w:t>"san-Latn"</w:t>
            </w:r>
            <w:r>
              <w:rPr>
                <w:rStyle w:val="Code"/>
              </w:rPr>
              <w:t>&gt;</w:t>
            </w:r>
          </w:p>
          <w:p w14:paraId="2F14AA95" w14:textId="77777777">
            <w:pPr>
              <w:pStyle w:val="CodeParagraph"/>
              <w:keepNext/>
              <w:rPr>
                <w:rStyle w:val="Code"/>
              </w:rPr>
            </w:pPr>
            <w:r>
              <w:rPr>
                <w:rStyle w:val="Code"/>
              </w:rPr>
              <w:t xml:space="preserve">      &lt;l&gt;</w:t>
            </w:r>
            <w:r>
              <w:rPr>
                <w:rStyle w:val="Codetext"/>
              </w:rPr>
              <w:t>āsādya śaktiṁ vivudhopanītāṁ māheśvarīṁ jñānamayīm amoghām</w:t>
            </w:r>
            <w:r>
              <w:rPr>
                <w:rStyle w:val="Code"/>
              </w:rPr>
              <w:t>&lt;/l&gt;</w:t>
            </w:r>
          </w:p>
          <w:p w14:paraId="46E0E807" w14:textId="77777777">
            <w:pPr>
              <w:pStyle w:val="CodeParagraph"/>
              <w:keepNext/>
              <w:rPr>
                <w:rStyle w:val="Code"/>
              </w:rPr>
            </w:pPr>
            <w:r>
              <w:rPr>
                <w:rStyle w:val="Code"/>
              </w:rPr>
              <w:t xml:space="preserve">      &lt;l&gt;</w:t>
            </w:r>
            <w:r>
              <w:rPr>
                <w:rStyle w:val="Codetext"/>
              </w:rPr>
              <w:t xml:space="preserve">kumārabhāve vijitārivarggo yo dīpayām āsa mahendralakṣmīm || </w:t>
            </w:r>
            <w:r>
              <w:rPr>
                <w:rStyle w:val="Code"/>
              </w:rPr>
              <w:t>&lt;/l&gt;</w:t>
            </w:r>
          </w:p>
          <w:p w14:paraId="3D321C7A" w14:textId="77777777">
            <w:pPr>
              <w:pStyle w:val="CodeParagraph"/>
              <w:keepNext/>
              <w:rPr>
                <w:rStyle w:val="Code"/>
              </w:rPr>
            </w:pPr>
            <w:r>
              <w:rPr>
                <w:rStyle w:val="Code"/>
              </w:rPr>
              <w:t xml:space="preserve">    &lt;/lg&gt;</w:t>
            </w:r>
          </w:p>
          <w:p w14:paraId="467B362F" w14:textId="77777777">
            <w:pPr>
              <w:pStyle w:val="CodeParagraph"/>
              <w:keepNext/>
              <w:rPr>
                <w:rStyle w:val="Codetext"/>
              </w:rPr>
            </w:pPr>
            <w:r>
              <w:rPr>
                <w:rStyle w:val="Codetext"/>
              </w:rPr>
              <w:t xml:space="preserve">  After attaining the Power of Maheśvara...</w:t>
            </w:r>
          </w:p>
          <w:p w14:paraId="7FDA75F2" w14:textId="77777777">
            <w:pPr>
              <w:pStyle w:val="CodeParagraph"/>
              <w:keepNext/>
              <w:rPr>
                <w:rStyle w:val="Code"/>
              </w:rPr>
            </w:pPr>
            <w:r>
              <w:rPr>
                <w:rStyle w:val="Code"/>
              </w:rPr>
              <w:t xml:space="preserve">  &lt;/q&gt;</w:t>
            </w:r>
          </w:p>
          <w:p w14:paraId="7AEBD30D" w14:textId="77777777">
            <w:pPr>
              <w:pStyle w:val="CodeParagraph"/>
              <w:keepNext/>
              <w:rPr>
                <w:rStyle w:val="Code"/>
              </w:rPr>
            </w:pPr>
            <w:r>
              <w:rPr>
                <w:rStyle w:val="Codetext"/>
              </w:rPr>
              <w:t>Mahendra is both the name of King Rājendravarman's father, Mahendravarman...</w:t>
            </w:r>
            <w:r>
              <w:rPr>
                <w:rStyle w:val="Code"/>
              </w:rPr>
              <w:t>&lt;/p&gt;</w:t>
            </w:r>
          </w:p>
        </w:tc>
      </w:tr>
      <w:tr w14:paraId="5AFA41A0" w14:textId="77777777">
        <w:tc>
          <w:tcPr>
            <w:tcW w:w="5000" w:type="pct"/>
          </w:tcPr>
          <w:p w14:paraId="3007470A" w14:textId="77777777">
            <w:pPr>
              <w:pStyle w:val="TableNote"/>
            </w:pPr>
            <w:r>
              <w:t>display:</w:t>
            </w:r>
          </w:p>
          <w:p w14:paraId="223D14AA" w14:textId="77777777">
            <w:pPr>
              <w:pStyle w:val="Tabletext"/>
            </w:pPr>
            <w:r>
              <w:t>In further support ... crucial elements that we also see in ours:</w:t>
            </w:r>
          </w:p>
          <w:p w14:paraId="1C4E82EB" w14:textId="77777777">
            <w:pPr>
              <w:pStyle w:val="Tabletext"/>
              <w:spacing w:before="120"/>
              <w:rPr>
                <w:rStyle w:val="ForeignIndic"/>
              </w:rPr>
            </w:pPr>
            <w:r>
              <w:rPr>
                <w:rStyle w:val="ForeignIndic"/>
              </w:rPr>
              <w:t xml:space="preserve">        āsādya śaktiṁ vivudhopanītāṁ māheśvarīṁ jñānamayīm amoghām</w:t>
            </w:r>
            <w:r>
              <w:rPr>
                <w:rStyle w:val="ForeignIndic"/>
              </w:rPr>
              <w:br/>
              <w:t xml:space="preserve">        kumārabhāve vijitārivarggo yo dīpayām āsa mahendralakṣmīm ||</w:t>
            </w:r>
          </w:p>
          <w:p w14:paraId="0B013DF4" w14:textId="77777777">
            <w:pPr>
              <w:pStyle w:val="Tabletext"/>
              <w:spacing w:before="120"/>
            </w:pPr>
            <w:r>
              <w:t xml:space="preserve">    After attaining the Power of Maheśvara...</w:t>
            </w:r>
          </w:p>
          <w:p w14:paraId="49B25F2E" w14:textId="77777777">
            <w:pPr>
              <w:pStyle w:val="Tabletext"/>
              <w:spacing w:before="120"/>
              <w:rPr>
                <w:rStyle w:val="ForeignIndic"/>
              </w:rPr>
            </w:pPr>
            <w:r>
              <w:rPr>
                <w:rStyle w:val="ForeignIndic"/>
              </w:rPr>
              <w:t>Mahendra is both the name of King Rājendravarman’s father, Mahendravarman</w:t>
            </w:r>
          </w:p>
        </w:tc>
      </w:tr>
    </w:tbl>
    <w:p w14:paraId="1E308779" w14:textId="77777777">
      <w:pPr>
        <w:pStyle w:val="Cmsor3"/>
      </w:pPr>
      <w:bookmarkStart w:id="968" w:name="_Toc243922794"/>
      <w:r>
        <w:t>Lists</w:t>
      </w:r>
      <w:bookmarkEnd w:id="954"/>
      <w:bookmarkEnd w:id="964"/>
      <w:bookmarkEnd w:id="968"/>
    </w:p>
    <w:p w14:paraId="46C9FB8F" w14:textId="066BCD6E">
      <w:r>
        <w:t xml:space="preserve">Should you need to format some text as a structured list, the following markup may be used at any point where a </w:t>
      </w:r>
      <w:r>
        <w:rPr>
          <w:rStyle w:val="Code"/>
        </w:rPr>
        <w:t>&lt;p&gt;</w:t>
      </w:r>
      <w:r>
        <w:t xml:space="preserve"> element is permitted outside the edition (§</w:t>
      </w:r>
      <w:r>
        <w:fldChar w:fldCharType="begin"/>
      </w:r>
      <w:r>
        <w:instrText xml:space="preserve"> REF _Ref233793815 \r \h </w:instrText>
      </w:r>
      <w:r>
        <w:fldChar w:fldCharType="separate"/>
      </w:r>
      <w:r>
        <w:t>14.3.1</w:t>
      </w:r>
      <w:r>
        <w:fldChar w:fldCharType="end"/>
      </w:r>
      <w:r>
        <w:t>), particularly in the commentary, translation or certain parts of the TEI header such as the hand description (§</w:t>
      </w:r>
      <w:r>
        <w:fldChar w:fldCharType="begin"/>
      </w:r>
      <w:r>
        <w:instrText xml:space="preserve"> REF _Ref43987455 \r \h </w:instrText>
      </w:r>
      <w:r>
        <w:fldChar w:fldCharType="separate"/>
      </w:r>
      <w:r>
        <w:t>15.2.1</w:t>
      </w:r>
      <w:r>
        <w:fldChar w:fldCharType="end"/>
      </w:r>
      <w:r>
        <w:t>). Special considerations for the use of lists in the edition division are given in §</w:t>
      </w:r>
      <w:r>
        <w:fldChar w:fldCharType="begin"/>
      </w:r>
      <w:r>
        <w:instrText xml:space="preserve"> REF _Ref168563127 \r \h </w:instrText>
      </w:r>
      <w:r>
        <w:fldChar w:fldCharType="separate"/>
      </w:r>
      <w:r>
        <w:t>3.2.1.3</w:t>
      </w:r>
      <w:r>
        <w:fldChar w:fldCharType="end"/>
      </w:r>
      <w:r>
        <w:t>.</w:t>
      </w:r>
    </w:p>
    <w:p w14:paraId="4DC4652E" w14:textId="77777777">
      <w:pPr>
        <w:pStyle w:val="Lista"/>
      </w:pPr>
      <w:r>
        <w:t xml:space="preserve">to encode a list, create a </w:t>
      </w:r>
      <w:r>
        <w:rPr>
          <w:rStyle w:val="Code"/>
        </w:rPr>
        <w:t>&lt;list&gt;</w:t>
      </w:r>
      <w:r>
        <w:t xml:space="preserve"> element within an already existing </w:t>
      </w:r>
      <w:r>
        <w:rPr>
          <w:rStyle w:val="Code"/>
        </w:rPr>
        <w:t>&lt;p&gt;</w:t>
      </w:r>
      <w:r>
        <w:t xml:space="preserve"> element</w:t>
      </w:r>
    </w:p>
    <w:p w14:paraId="026A7373" w14:textId="77777777">
      <w:pPr>
        <w:pStyle w:val="Lista2"/>
      </w:pPr>
      <w:r>
        <w:rPr>
          <w:rStyle w:val="Code"/>
        </w:rPr>
        <w:lastRenderedPageBreak/>
        <w:t>&lt;list&gt;</w:t>
      </w:r>
      <w:r>
        <w:t xml:space="preserve"> elements are not required to tessellate, so a </w:t>
      </w:r>
      <w:r>
        <w:rPr>
          <w:rStyle w:val="Code"/>
        </w:rPr>
        <w:t>&lt;p&gt;</w:t>
      </w:r>
      <w:r>
        <w:t xml:space="preserve"> element may contain text alongside (i.e. before and/or after) a list</w:t>
      </w:r>
    </w:p>
    <w:p w14:paraId="48DBBF2B" w14:textId="77777777">
      <w:pPr>
        <w:pStyle w:val="Lista"/>
      </w:pPr>
      <w:r>
        <w:t xml:space="preserve">within </w:t>
      </w:r>
      <w:r>
        <w:rPr>
          <w:rStyle w:val="Code"/>
        </w:rPr>
        <w:t>&lt;list&gt;</w:t>
      </w:r>
      <w:r>
        <w:t xml:space="preserve">, create an </w:t>
      </w:r>
      <w:r>
        <w:rPr>
          <w:rStyle w:val="Code"/>
        </w:rPr>
        <w:t>&lt;item&gt;</w:t>
      </w:r>
      <w:r>
        <w:t xml:space="preserve"> element as a container for each list item</w:t>
      </w:r>
    </w:p>
    <w:p w14:paraId="3141BDE6" w14:textId="5DBD01B6">
      <w:pPr>
        <w:pStyle w:val="Lista2"/>
      </w:pPr>
      <w:r>
        <w:rPr>
          <w:rStyle w:val="Code"/>
        </w:rPr>
        <w:t>&lt;item&gt;</w:t>
      </w:r>
      <w:r>
        <w:t xml:space="preserve"> elements are required to tessellate, so a </w:t>
      </w:r>
      <w:r>
        <w:rPr>
          <w:rStyle w:val="Code"/>
        </w:rPr>
        <w:t>&lt;list&gt;</w:t>
      </w:r>
      <w:r>
        <w:t xml:space="preserve"> cannot contain anything outside an </w:t>
      </w:r>
      <w:r>
        <w:rPr>
          <w:rStyle w:val="Code"/>
        </w:rPr>
        <w:t>&lt;item&gt;</w:t>
      </w:r>
      <w:r>
        <w:t xml:space="preserve"> except for paired lists (§</w:t>
      </w:r>
      <w:r>
        <w:fldChar w:fldCharType="begin"/>
      </w:r>
      <w:r>
        <w:instrText xml:space="preserve"> REF _Ref233645526 \r \h </w:instrText>
      </w:r>
      <w:r>
        <w:fldChar w:fldCharType="separate"/>
      </w:r>
      <w:r>
        <w:t>14.3.4.1</w:t>
      </w:r>
      <w:r>
        <w:fldChar w:fldCharType="end"/>
      </w:r>
      <w:r>
        <w:t>)</w:t>
      </w:r>
    </w:p>
    <w:p w14:paraId="421EF2E7" w14:textId="77777777">
      <w:pPr>
        <w:pStyle w:val="Lista"/>
      </w:pPr>
      <w:r>
        <w:t xml:space="preserve">the formatting of the list may be specified by adding the attribute </w:t>
      </w:r>
      <w:r>
        <w:rPr>
          <w:rStyle w:val="Codeattribute"/>
        </w:rPr>
        <w:t>@rend</w:t>
      </w:r>
      <w:r>
        <w:t xml:space="preserve"> to the </w:t>
      </w:r>
      <w:r>
        <w:rPr>
          <w:rStyle w:val="Code"/>
        </w:rPr>
        <w:t>&lt;list&gt;</w:t>
      </w:r>
      <w:r>
        <w:t xml:space="preserve"> element, with one of the following values</w:t>
      </w:r>
    </w:p>
    <w:p w14:paraId="3859534C" w14:textId="77777777">
      <w:pPr>
        <w:pStyle w:val="Lista2"/>
      </w:pPr>
      <w:r>
        <w:rPr>
          <w:rStyle w:val="Codevalue"/>
        </w:rPr>
        <w:t>"plain"</w:t>
      </w:r>
      <w:r>
        <w:t xml:space="preserve"> for a plain list</w:t>
      </w:r>
    </w:p>
    <w:p w14:paraId="55DD5A1B" w14:textId="77777777">
      <w:pPr>
        <w:pStyle w:val="Lista3"/>
      </w:pPr>
      <w:r>
        <w:t xml:space="preserve">this is the default value, so using </w:t>
      </w:r>
      <w:r>
        <w:rPr>
          <w:rStyle w:val="Code"/>
        </w:rPr>
        <w:t>&lt;list&gt;</w:t>
      </w:r>
      <w:r>
        <w:t xml:space="preserve"> without </w:t>
      </w:r>
      <w:r>
        <w:rPr>
          <w:rStyle w:val="Codeattribute"/>
        </w:rPr>
        <w:t>@rend</w:t>
      </w:r>
      <w:r>
        <w:t xml:space="preserve"> will produce a plain list and </w:t>
      </w:r>
      <w:r>
        <w:rPr>
          <w:rStyle w:val="Codeattribute"/>
        </w:rPr>
        <w:t>@rend=</w:t>
      </w:r>
      <w:r>
        <w:rPr>
          <w:rStyle w:val="Codevalue"/>
        </w:rPr>
        <w:t>"plain"</w:t>
      </w:r>
      <w:r>
        <w:t xml:space="preserve"> need not be explicitly encoded</w:t>
      </w:r>
    </w:p>
    <w:p w14:paraId="27D6B34C" w14:textId="5429B0C2">
      <w:pPr>
        <w:pStyle w:val="Lista2"/>
      </w:pPr>
      <w:r>
        <w:rPr>
          <w:rStyle w:val="Codevalue"/>
        </w:rPr>
        <w:t>"bulleted"</w:t>
      </w:r>
      <w:r>
        <w:t xml:space="preserve"> to create a bulleted list (illustrated in the nested list in </w:t>
      </w:r>
      <w:r>
        <w:rPr>
          <w:lang w:eastAsia="en-US" w:bidi="ar-SA"/>
        </w:rPr>
        <w:fldChar w:fldCharType="begin"/>
      </w:r>
      <w:r>
        <w:rPr>
          <w:lang w:eastAsia="en-US" w:bidi="ar-SA"/>
        </w:rPr>
        <w:instrText xml:space="preserve"> REF _Ref233646064 \h </w:instrText>
      </w:r>
      <w:r>
        <w:rPr>
          <w:lang w:eastAsia="en-US" w:bidi="ar-SA"/>
        </w:rPr>
      </w:r>
      <w:r>
        <w:rPr>
          <w:lang w:eastAsia="en-US" w:bidi="ar-SA"/>
        </w:rPr>
        <w:fldChar w:fldCharType="separate"/>
      </w:r>
      <w:r>
        <w:t xml:space="preserve">Exhibit </w:t>
      </w:r>
      <w:r>
        <w:rPr>
          <w:noProof/>
        </w:rPr>
        <w:t>14.3</w:t>
      </w:r>
      <w:r>
        <w:t>.</w:t>
      </w:r>
      <w:r>
        <w:rPr>
          <w:noProof/>
        </w:rPr>
        <w:t>C</w:t>
      </w:r>
      <w:r>
        <w:rPr>
          <w:lang w:eastAsia="en-US" w:bidi="ar-SA"/>
        </w:rPr>
        <w:fldChar w:fldCharType="end"/>
      </w:r>
      <w:r>
        <w:rPr>
          <w:lang w:eastAsia="en-US" w:bidi="ar-SA"/>
        </w:rPr>
        <w:t>)</w:t>
      </w:r>
    </w:p>
    <w:p w14:paraId="72A93D41" w14:textId="77777777">
      <w:pPr>
        <w:pStyle w:val="Lista2"/>
      </w:pPr>
      <w:r>
        <w:rPr>
          <w:rStyle w:val="Codevalue"/>
        </w:rPr>
        <w:t>"numbered"</w:t>
      </w:r>
      <w:r>
        <w:t xml:space="preserve"> to create an auto-numbered list</w:t>
      </w:r>
    </w:p>
    <w:p w14:paraId="619FCDDD" w14:textId="77777777">
      <w:pPr>
        <w:pStyle w:val="Cmsor4"/>
      </w:pPr>
      <w:bookmarkStart w:id="969" w:name="_Ref233645526"/>
      <w:r>
        <w:t>Paired lists</w:t>
      </w:r>
      <w:bookmarkEnd w:id="969"/>
    </w:p>
    <w:p w14:paraId="4AA97CD0" w14:textId="0E76BB2B">
      <w:pPr>
        <w:rPr>
          <w:lang w:eastAsia="en-US" w:bidi="ar-SA"/>
        </w:rPr>
      </w:pPr>
      <w:r>
        <w:rPr>
          <w:lang w:eastAsia="en-US" w:bidi="ar-SA"/>
        </w:rPr>
        <w:t xml:space="preserve">If and only if you deem this degree of complexity essential for presenting a translation or commentary clearly, lists may be set up so that headwords (such as names, terms or entries) are paired with extensions (such as roles, shares, definitions or descriptions). Such lists shall be encoded as described below and illustrated in </w:t>
      </w:r>
      <w:r>
        <w:rPr>
          <w:lang w:eastAsia="en-US" w:bidi="ar-SA"/>
        </w:rPr>
        <w:fldChar w:fldCharType="begin"/>
      </w:r>
      <w:r>
        <w:rPr>
          <w:lang w:eastAsia="en-US" w:bidi="ar-SA"/>
        </w:rPr>
        <w:instrText xml:space="preserve"> REF _Ref233646042 \h </w:instrText>
      </w:r>
      <w:r>
        <w:rPr>
          <w:lang w:eastAsia="en-US" w:bidi="ar-SA"/>
        </w:rPr>
      </w:r>
      <w:r>
        <w:rPr>
          <w:lang w:eastAsia="en-US" w:bidi="ar-SA"/>
        </w:rPr>
        <w:fldChar w:fldCharType="separate"/>
      </w:r>
      <w:r>
        <w:t xml:space="preserve">Exhibit </w:t>
      </w:r>
      <w:r>
        <w:rPr>
          <w:noProof/>
        </w:rPr>
        <w:t>14.3</w:t>
      </w:r>
      <w:r>
        <w:t>.</w:t>
      </w:r>
      <w:r>
        <w:rPr>
          <w:noProof/>
        </w:rPr>
        <w:t>B</w:t>
      </w:r>
      <w:r>
        <w:rPr>
          <w:lang w:eastAsia="en-US" w:bidi="ar-SA"/>
        </w:rPr>
        <w:fldChar w:fldCharType="end"/>
      </w:r>
      <w:r>
        <w:rPr>
          <w:lang w:eastAsia="en-US" w:bidi="ar-SA"/>
        </w:rPr>
        <w:t>.</w:t>
      </w:r>
    </w:p>
    <w:p w14:paraId="6326161F" w14:textId="77777777">
      <w:pPr>
        <w:pStyle w:val="Lista"/>
      </w:pPr>
      <w:r>
        <w:t xml:space="preserve">use the </w:t>
      </w:r>
      <w:r>
        <w:rPr>
          <w:rStyle w:val="Code"/>
        </w:rPr>
        <w:t>&lt;list&gt;</w:t>
      </w:r>
      <w:r>
        <w:t xml:space="preserve"> element with the attribute </w:t>
      </w:r>
      <w:r>
        <w:rPr>
          <w:rStyle w:val="Codeattribute"/>
        </w:rPr>
        <w:t>@rend=</w:t>
      </w:r>
      <w:r>
        <w:rPr>
          <w:rStyle w:val="Codevalue"/>
        </w:rPr>
        <w:t>"paired"</w:t>
      </w:r>
      <w:r>
        <w:t xml:space="preserve"> </w:t>
      </w:r>
    </w:p>
    <w:p w14:paraId="472B85F1" w14:textId="77777777">
      <w:pPr>
        <w:pStyle w:val="Lista"/>
      </w:pPr>
      <w:r>
        <w:t xml:space="preserve">wrap each headword in the element </w:t>
      </w:r>
      <w:r>
        <w:rPr>
          <w:rStyle w:val="Code"/>
        </w:rPr>
        <w:t>&lt;label&gt;</w:t>
      </w:r>
      <w:r>
        <w:t xml:space="preserve"> </w:t>
      </w:r>
    </w:p>
    <w:p w14:paraId="6BBE50DB" w14:textId="77777777">
      <w:pPr>
        <w:pStyle w:val="Lista"/>
        <w:rPr>
          <w:rStyle w:val="Code"/>
          <w:rFonts w:ascii="Gentium" w:hAnsi="Gentium" w:cs="Tiro Devanagari Sanskrit"/>
          <w:noProof w:val="0"/>
          <w:color w:val="auto"/>
          <w:shd w:val="clear" w:color="auto" w:fill="auto"/>
        </w:rPr>
      </w:pPr>
      <w:r>
        <w:t xml:space="preserve">wrap each extension in the element </w:t>
      </w:r>
      <w:r>
        <w:rPr>
          <w:rStyle w:val="Code"/>
        </w:rPr>
        <w:t>&lt;item&gt;</w:t>
      </w:r>
    </w:p>
    <w:p w14:paraId="7F30C762" w14:textId="77777777">
      <w:pPr>
        <w:pStyle w:val="Lista"/>
      </w:pPr>
      <w:r>
        <w:t xml:space="preserve">unlike other lists, </w:t>
      </w:r>
      <w:r>
        <w:rPr>
          <w:rStyle w:val="Code"/>
        </w:rPr>
        <w:t>&lt;label&gt;</w:t>
      </w:r>
      <w:r>
        <w:t xml:space="preserve"> and </w:t>
      </w:r>
      <w:r>
        <w:rPr>
          <w:rStyle w:val="Code"/>
        </w:rPr>
        <w:t>&lt;item&gt;</w:t>
      </w:r>
      <w:r>
        <w:t xml:space="preserve"> elements alternate in this case</w:t>
      </w:r>
    </w:p>
    <w:p w14:paraId="68910C69" w14:textId="7CCA5284">
      <w:pPr>
        <w:pStyle w:val="Lista"/>
      </w:pPr>
      <w:r>
        <w:t xml:space="preserve">all text within the </w:t>
      </w:r>
      <w:r>
        <w:rPr>
          <w:rStyle w:val="Code"/>
        </w:rPr>
        <w:t>&lt;list&gt;</w:t>
      </w:r>
      <w:r>
        <w:t xml:space="preserve"> element must be contained either within </w:t>
      </w:r>
      <w:r>
        <w:rPr>
          <w:rStyle w:val="Code"/>
        </w:rPr>
        <w:t>&lt;label&gt;</w:t>
      </w:r>
      <w:r>
        <w:t xml:space="preserve"> or within </w:t>
      </w:r>
      <w:r>
        <w:rPr>
          <w:rStyle w:val="Code"/>
        </w:rPr>
        <w:t>&lt;item&gt;</w:t>
      </w:r>
    </w:p>
    <w:tbl>
      <w:tblPr>
        <w:tblStyle w:val="CodeSampleTable"/>
        <w:tblW w:w="5000" w:type="pct"/>
        <w:tblLook w:val="04A0" w:firstRow="1" w:lastRow="0" w:firstColumn="1" w:lastColumn="0" w:noHBand="0" w:noVBand="1"/>
      </w:tblPr>
      <w:tblGrid>
        <w:gridCol w:w="9628"/>
      </w:tblGrid>
      <w:tr w14:paraId="585CAC1A"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F95FECC" w14:textId="6916AB21">
            <w:pPr>
              <w:pStyle w:val="Kpalrs"/>
            </w:pPr>
            <w:bookmarkStart w:id="970" w:name="_Ref233646042"/>
            <w:r>
              <w:t xml:space="preserve">Exhibit </w:t>
            </w:r>
            <w:fldSimple w:instr=" STYLEREF 2 \s ">
              <w:r>
                <w:rPr>
                  <w:noProof/>
                </w:rPr>
                <w:t>14.3</w:t>
              </w:r>
            </w:fldSimple>
            <w:r>
              <w:t>.</w:t>
            </w:r>
            <w:fldSimple w:instr=" SEQ Exhibit \* ALPHABETIC \s 2 ">
              <w:r>
                <w:rPr>
                  <w:noProof/>
                </w:rPr>
                <w:t>B</w:t>
              </w:r>
            </w:fldSimple>
            <w:bookmarkEnd w:id="970"/>
            <w:r>
              <w:t>: encoding a paired list</w:t>
            </w:r>
          </w:p>
        </w:tc>
      </w:tr>
      <w:tr w14:paraId="34C70386" w14:textId="77777777">
        <w:tc>
          <w:tcPr>
            <w:tcW w:w="5000" w:type="pct"/>
          </w:tcPr>
          <w:p w14:paraId="76435309" w14:textId="77777777">
            <w:pPr>
              <w:pStyle w:val="CodeParagraph"/>
              <w:keepNext/>
              <w:rPr>
                <w:rStyle w:val="Code"/>
              </w:rPr>
            </w:pPr>
            <w:r>
              <w:rPr>
                <w:rStyle w:val="Code"/>
              </w:rPr>
              <w:t>&lt;p n="1r16-2r1"&gt;</w:t>
            </w:r>
            <w:r>
              <w:rPr>
                <w:rStyle w:val="Codetext"/>
              </w:rPr>
              <w:t>As for those who</w:t>
            </w:r>
            <w:r>
              <w:rPr>
                <w:rStyle w:val="Code"/>
              </w:rPr>
              <w:t xml:space="preserve"> </w:t>
            </w:r>
          </w:p>
          <w:p w14:paraId="0FD56833" w14:textId="77777777">
            <w:pPr>
              <w:pStyle w:val="CodeParagraph"/>
              <w:keepNext/>
              <w:rPr>
                <w:rStyle w:val="Code"/>
              </w:rPr>
            </w:pPr>
            <w:r>
              <w:rPr>
                <w:rStyle w:val="Code"/>
              </w:rPr>
              <w:t xml:space="preserve">  &lt;list</w:t>
            </w:r>
            <w:r>
              <w:rPr>
                <w:rStyle w:val="Codeattribute"/>
              </w:rPr>
              <w:t xml:space="preserve"> rend=</w:t>
            </w:r>
            <w:r>
              <w:rPr>
                <w:rStyle w:val="Codevalue"/>
              </w:rPr>
              <w:t>"paired"</w:t>
            </w:r>
            <w:r>
              <w:rPr>
                <w:rStyle w:val="Code"/>
              </w:rPr>
              <w:t>&gt;</w:t>
            </w:r>
          </w:p>
          <w:p w14:paraId="090B1D9C" w14:textId="77777777">
            <w:pPr>
              <w:pStyle w:val="CodeParagraph"/>
              <w:keepNext/>
              <w:rPr>
                <w:rStyle w:val="Code"/>
              </w:rPr>
            </w:pPr>
            <w:r>
              <w:rPr>
                <w:rStyle w:val="Code"/>
              </w:rPr>
              <w:t xml:space="preserve">    &lt;label&gt;&lt;foreign&gt;</w:t>
            </w:r>
            <w:r>
              <w:rPr>
                <w:rStyle w:val="Codetext"/>
              </w:rPr>
              <w:t>mañambul</w:t>
            </w:r>
            <w:r>
              <w:rPr>
                <w:rStyle w:val="Code"/>
              </w:rPr>
              <w:t>&lt;/foreign&gt;&lt;/label&gt;&lt;item&gt;</w:t>
            </w:r>
            <w:r>
              <w:rPr>
                <w:rStyle w:val="Codetext"/>
              </w:rPr>
              <w:t>paint black</w:t>
            </w:r>
            <w:r>
              <w:rPr>
                <w:rStyle w:val="Code"/>
              </w:rPr>
              <w:t>&lt;/item&gt;</w:t>
            </w:r>
          </w:p>
          <w:p w14:paraId="0A7B9C2D" w14:textId="77777777">
            <w:pPr>
              <w:pStyle w:val="CodeParagraph"/>
              <w:keepNext/>
              <w:rPr>
                <w:rStyle w:val="Code"/>
              </w:rPr>
            </w:pPr>
            <w:r>
              <w:rPr>
                <w:rStyle w:val="Code"/>
              </w:rPr>
              <w:t xml:space="preserve">    &lt;label&gt;&lt;foreign&gt;</w:t>
            </w:r>
            <w:r>
              <w:rPr>
                <w:rStyle w:val="Codetext"/>
              </w:rPr>
              <w:t>mañavriṅ</w:t>
            </w:r>
            <w:r>
              <w:rPr>
                <w:rStyle w:val="Code"/>
              </w:rPr>
              <w:t>&lt;/foreign&gt;&lt;/label&gt;&lt;item&gt;</w:t>
            </w:r>
            <w:r>
              <w:rPr>
                <w:rStyle w:val="Codetext"/>
              </w:rPr>
              <w:t>make muslin</w:t>
            </w:r>
            <w:r>
              <w:rPr>
                <w:rStyle w:val="Code"/>
              </w:rPr>
              <w:t>&lt;/item&gt;</w:t>
            </w:r>
          </w:p>
          <w:p w14:paraId="43232E28" w14:textId="77777777">
            <w:pPr>
              <w:pStyle w:val="CodeParagraph"/>
              <w:keepNext/>
              <w:rPr>
                <w:rStyle w:val="Code"/>
              </w:rPr>
            </w:pPr>
            <w:r>
              <w:rPr>
                <w:rStyle w:val="Code"/>
              </w:rPr>
              <w:t xml:space="preserve">    &lt;label&gt;&lt;foreign&gt;</w:t>
            </w:r>
            <w:r>
              <w:rPr>
                <w:rStyle w:val="Codetext"/>
              </w:rPr>
              <w:t>maṅlākha</w:t>
            </w:r>
            <w:r>
              <w:rPr>
                <w:rStyle w:val="Code"/>
              </w:rPr>
              <w:t>&lt;/foreign&gt;&lt;/label&gt;&lt;item&gt;</w:t>
            </w:r>
            <w:r>
              <w:rPr>
                <w:rStyle w:val="Codetext"/>
              </w:rPr>
              <w:t>dye red</w:t>
            </w:r>
            <w:r>
              <w:rPr>
                <w:rStyle w:val="Code"/>
              </w:rPr>
              <w:t>&lt;/item&gt;</w:t>
            </w:r>
          </w:p>
          <w:p w14:paraId="37AE9D22" w14:textId="77777777">
            <w:pPr>
              <w:pStyle w:val="CodeParagraph"/>
              <w:keepNext/>
              <w:rPr>
                <w:rStyle w:val="Code"/>
              </w:rPr>
            </w:pPr>
            <w:r>
              <w:rPr>
                <w:rStyle w:val="Code"/>
              </w:rPr>
              <w:t xml:space="preserve">    &lt;label&gt;&lt;foreign&gt;</w:t>
            </w:r>
            <w:r>
              <w:rPr>
                <w:rStyle w:val="Codetext"/>
              </w:rPr>
              <w:t>maṅapus</w:t>
            </w:r>
            <w:r>
              <w:rPr>
                <w:rStyle w:val="Code"/>
              </w:rPr>
              <w:t>&lt;/foreign&gt;&lt;/label&gt;&lt;item&gt;</w:t>
            </w:r>
            <w:r>
              <w:rPr>
                <w:rStyle w:val="Codetext"/>
              </w:rPr>
              <w:t>twist ropes</w:t>
            </w:r>
            <w:r>
              <w:rPr>
                <w:rStyle w:val="Code"/>
              </w:rPr>
              <w:t>&lt;/item&gt;</w:t>
            </w:r>
          </w:p>
          <w:p w14:paraId="40CEEAB5" w14:textId="77777777">
            <w:pPr>
              <w:pStyle w:val="CodeParagraph"/>
              <w:keepNext/>
              <w:rPr>
                <w:rStyle w:val="Code"/>
              </w:rPr>
            </w:pPr>
            <w:r>
              <w:rPr>
                <w:rStyle w:val="Code"/>
              </w:rPr>
              <w:t xml:space="preserve">    &lt;label&gt;&lt;foreign&gt;</w:t>
            </w:r>
            <w:r>
              <w:rPr>
                <w:rStyle w:val="Codetext"/>
              </w:rPr>
              <w:t>maṅubar</w:t>
            </w:r>
            <w:r>
              <w:rPr>
                <w:rStyle w:val="Code"/>
              </w:rPr>
              <w:t>&lt;/foreign&gt;&lt;/label&gt;&lt;item&gt;</w:t>
            </w:r>
            <w:r>
              <w:rPr>
                <w:rStyle w:val="Codetext"/>
              </w:rPr>
              <w:t>dye red</w:t>
            </w:r>
            <w:r>
              <w:rPr>
                <w:rStyle w:val="Code"/>
              </w:rPr>
              <w:t>&lt;/item&gt;</w:t>
            </w:r>
          </w:p>
          <w:p w14:paraId="5D0EF4EC" w14:textId="77777777">
            <w:pPr>
              <w:pStyle w:val="CodeParagraph"/>
              <w:keepNext/>
              <w:rPr>
                <w:rStyle w:val="Code"/>
              </w:rPr>
            </w:pPr>
            <w:r>
              <w:rPr>
                <w:rStyle w:val="Code"/>
              </w:rPr>
              <w:t xml:space="preserve">    ...</w:t>
            </w:r>
          </w:p>
          <w:p w14:paraId="21D6F367" w14:textId="77777777">
            <w:pPr>
              <w:pStyle w:val="CodeParagraph"/>
              <w:keepNext/>
              <w:rPr>
                <w:rStyle w:val="Code"/>
              </w:rPr>
            </w:pPr>
            <w:r>
              <w:rPr>
                <w:rStyle w:val="Code"/>
              </w:rPr>
              <w:t xml:space="preserve">  &lt;/list&gt;</w:t>
            </w:r>
          </w:p>
          <w:p w14:paraId="4E447EF3" w14:textId="77777777">
            <w:pPr>
              <w:pStyle w:val="CodeParagraph"/>
              <w:keepNext/>
              <w:rPr>
                <w:rFonts w:ascii="Consolas" w:hAnsi="Consolas" w:cs="Consolas"/>
                <w:noProof/>
                <w:color w:val="002060"/>
                <w:shd w:val="clear" w:color="auto" w:fill="F2F2F2" w:themeFill="background1" w:themeFillShade="F2"/>
              </w:rPr>
            </w:pPr>
            <w:r>
              <w:rPr>
                <w:rStyle w:val="Code"/>
              </w:rPr>
              <w:t xml:space="preserve">  </w:t>
            </w:r>
            <w:r>
              <w:rPr>
                <w:rStyle w:val="Codetext"/>
              </w:rPr>
              <w:t>Only the</w:t>
            </w:r>
            <w:r>
              <w:rPr>
                <w:rStyle w:val="Code"/>
              </w:rPr>
              <w:t xml:space="preserve"> &lt;foreign&gt;</w:t>
            </w:r>
            <w:r>
              <w:rPr>
                <w:rStyle w:val="Codetext"/>
              </w:rPr>
              <w:t>rakryān</w:t>
            </w:r>
            <w:r>
              <w:rPr>
                <w:rStyle w:val="Code"/>
              </w:rPr>
              <w:t xml:space="preserve">&lt;/foreign&gt; </w:t>
            </w:r>
            <w:r>
              <w:rPr>
                <w:rStyle w:val="Codetext"/>
              </w:rPr>
              <w:t>founder of the freehold herself shall have authority over all its royal revenues.</w:t>
            </w:r>
            <w:r>
              <w:rPr>
                <w:rStyle w:val="Code"/>
              </w:rPr>
              <w:t>&lt;/p&gt;</w:t>
            </w:r>
          </w:p>
        </w:tc>
      </w:tr>
      <w:tr w14:paraId="68400083" w14:textId="77777777">
        <w:tc>
          <w:tcPr>
            <w:tcW w:w="5000" w:type="pct"/>
          </w:tcPr>
          <w:p w14:paraId="51DEFDF3" w14:textId="77777777">
            <w:pPr>
              <w:pStyle w:val="TableNote"/>
            </w:pPr>
            <w:r>
              <w:t>display:</w:t>
            </w:r>
          </w:p>
          <w:p w14:paraId="72C13E0C" w14:textId="77777777">
            <w:pPr>
              <w:pStyle w:val="Tabletext"/>
            </w:pPr>
            <w:r>
              <w:t>As for those who</w:t>
            </w:r>
          </w:p>
          <w:p w14:paraId="7A764C57" w14:textId="77777777">
            <w:pPr>
              <w:pStyle w:val="Tabletext"/>
            </w:pPr>
            <w:r>
              <w:t xml:space="preserve">    </w:t>
            </w:r>
            <w:r>
              <w:rPr>
                <w:rStyle w:val="Foreign"/>
                <w:b/>
                <w:bCs/>
              </w:rPr>
              <w:t>mañambul</w:t>
            </w:r>
            <w:r>
              <w:tab/>
              <w:t>paint black</w:t>
            </w:r>
          </w:p>
          <w:p w14:paraId="275B9AB8" w14:textId="77777777">
            <w:pPr>
              <w:pStyle w:val="Tabletext"/>
            </w:pPr>
            <w:r>
              <w:t xml:space="preserve">    </w:t>
            </w:r>
            <w:r>
              <w:rPr>
                <w:rStyle w:val="Foreign"/>
                <w:b/>
                <w:bCs/>
              </w:rPr>
              <w:t>mañavriṅ</w:t>
            </w:r>
            <w:r>
              <w:tab/>
              <w:t>make muslin</w:t>
            </w:r>
          </w:p>
          <w:p w14:paraId="004B5B17" w14:textId="77777777">
            <w:pPr>
              <w:pStyle w:val="Tabletext"/>
            </w:pPr>
            <w:r>
              <w:t xml:space="preserve">    </w:t>
            </w:r>
            <w:r>
              <w:rPr>
                <w:rStyle w:val="Foreign"/>
                <w:b/>
                <w:bCs/>
              </w:rPr>
              <w:t>maṅlākha</w:t>
            </w:r>
            <w:r>
              <w:tab/>
              <w:t>dye red</w:t>
            </w:r>
          </w:p>
          <w:p w14:paraId="65F23774" w14:textId="77777777">
            <w:pPr>
              <w:pStyle w:val="Tabletext"/>
            </w:pPr>
            <w:r>
              <w:t xml:space="preserve">    </w:t>
            </w:r>
            <w:r>
              <w:rPr>
                <w:rStyle w:val="Foreign"/>
                <w:b/>
                <w:bCs/>
              </w:rPr>
              <w:t>maṅapus</w:t>
            </w:r>
            <w:r>
              <w:tab/>
              <w:t>twist ropes</w:t>
            </w:r>
          </w:p>
          <w:p w14:paraId="18463C87" w14:textId="77777777">
            <w:pPr>
              <w:pStyle w:val="Tabletext"/>
            </w:pPr>
            <w:r>
              <w:t xml:space="preserve">    </w:t>
            </w:r>
            <w:r>
              <w:rPr>
                <w:rStyle w:val="Foreign"/>
                <w:b/>
                <w:bCs/>
              </w:rPr>
              <w:t>maṅubar</w:t>
            </w:r>
            <w:r>
              <w:tab/>
              <w:t>dye red</w:t>
            </w:r>
          </w:p>
          <w:p w14:paraId="598CD1AC" w14:textId="77777777">
            <w:pPr>
              <w:pStyle w:val="Tabletext"/>
            </w:pPr>
            <w:r>
              <w:t xml:space="preserve">    ...</w:t>
            </w:r>
          </w:p>
          <w:p w14:paraId="0A548A08" w14:textId="77777777">
            <w:pPr>
              <w:pStyle w:val="Tabletext"/>
            </w:pPr>
            <w:r>
              <w:t xml:space="preserve">Only the </w:t>
            </w:r>
            <w:r>
              <w:rPr>
                <w:rStyle w:val="Foreign"/>
              </w:rPr>
              <w:t>rakryān</w:t>
            </w:r>
            <w:r>
              <w:t xml:space="preserve"> founder of the freehold herself shall have authority over all its royal revenues.</w:t>
            </w:r>
          </w:p>
        </w:tc>
      </w:tr>
    </w:tbl>
    <w:p w14:paraId="66880D4C" w14:textId="77777777">
      <w:pPr>
        <w:pStyle w:val="Cmsor4"/>
      </w:pPr>
      <w:r>
        <w:t>Multi-level lists</w:t>
      </w:r>
    </w:p>
    <w:p w14:paraId="0C73103A" w14:textId="37EEF7A9">
      <w:pPr>
        <w:rPr>
          <w:lang w:eastAsia="en-US" w:bidi="ar-SA"/>
        </w:rPr>
      </w:pPr>
      <w:r>
        <w:rPr>
          <w:lang w:eastAsia="en-US" w:bidi="ar-SA"/>
        </w:rPr>
        <w:t xml:space="preserve">If and only if you deem this degree of complexity essential for presenting a translation or commentary clearly, lists may be embedded within other lists. Such lists shall be encoded as described below and illustrated in </w:t>
      </w:r>
      <w:r>
        <w:rPr>
          <w:lang w:eastAsia="en-US" w:bidi="ar-SA"/>
        </w:rPr>
        <w:fldChar w:fldCharType="begin"/>
      </w:r>
      <w:r>
        <w:rPr>
          <w:lang w:eastAsia="en-US" w:bidi="ar-SA"/>
        </w:rPr>
        <w:instrText xml:space="preserve"> REF _Ref233646064 \h </w:instrText>
      </w:r>
      <w:r>
        <w:rPr>
          <w:lang w:eastAsia="en-US" w:bidi="ar-SA"/>
        </w:rPr>
      </w:r>
      <w:r>
        <w:rPr>
          <w:lang w:eastAsia="en-US" w:bidi="ar-SA"/>
        </w:rPr>
        <w:fldChar w:fldCharType="separate"/>
      </w:r>
      <w:r>
        <w:t xml:space="preserve">Exhibit </w:t>
      </w:r>
      <w:r>
        <w:rPr>
          <w:noProof/>
        </w:rPr>
        <w:t>14.3</w:t>
      </w:r>
      <w:r>
        <w:t>.</w:t>
      </w:r>
      <w:r>
        <w:rPr>
          <w:noProof/>
        </w:rPr>
        <w:t>C</w:t>
      </w:r>
      <w:r>
        <w:rPr>
          <w:lang w:eastAsia="en-US" w:bidi="ar-SA"/>
        </w:rPr>
        <w:fldChar w:fldCharType="end"/>
      </w:r>
      <w:r>
        <w:rPr>
          <w:lang w:eastAsia="en-US" w:bidi="ar-SA"/>
        </w:rPr>
        <w:t>.</w:t>
      </w:r>
    </w:p>
    <w:p w14:paraId="49763E8E" w14:textId="65C6F4BC">
      <w:pPr>
        <w:pStyle w:val="Lista"/>
      </w:pPr>
      <w:r>
        <w:t xml:space="preserve">within any </w:t>
      </w:r>
      <w:r>
        <w:rPr>
          <w:rStyle w:val="Code"/>
        </w:rPr>
        <w:t>&lt;item&gt;</w:t>
      </w:r>
      <w:r>
        <w:t xml:space="preserve"> of a list, create another </w:t>
      </w:r>
      <w:r>
        <w:rPr>
          <w:rStyle w:val="Code"/>
        </w:rPr>
        <w:t>&lt;list&gt;</w:t>
      </w:r>
      <w:r>
        <w:t xml:space="preserve"> element containing items in turn</w:t>
      </w:r>
    </w:p>
    <w:tbl>
      <w:tblPr>
        <w:tblStyle w:val="CodeSampleTable"/>
        <w:tblW w:w="5000" w:type="pct"/>
        <w:tblLook w:val="04A0" w:firstRow="1" w:lastRow="0" w:firstColumn="1" w:lastColumn="0" w:noHBand="0" w:noVBand="1"/>
      </w:tblPr>
      <w:tblGrid>
        <w:gridCol w:w="9628"/>
      </w:tblGrid>
      <w:tr w14:paraId="43592E8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84AA999" w14:textId="4071321E">
            <w:pPr>
              <w:pStyle w:val="Kpalrs"/>
            </w:pPr>
            <w:bookmarkStart w:id="971" w:name="_Ref233646064"/>
            <w:r>
              <w:lastRenderedPageBreak/>
              <w:t xml:space="preserve">Exhibit </w:t>
            </w:r>
            <w:fldSimple w:instr=" STYLEREF 2 \s ">
              <w:r>
                <w:rPr>
                  <w:noProof/>
                </w:rPr>
                <w:t>14.3</w:t>
              </w:r>
            </w:fldSimple>
            <w:r>
              <w:t>.</w:t>
            </w:r>
            <w:fldSimple w:instr=" SEQ Exhibit \* ALPHABETIC \s 2 ">
              <w:r>
                <w:rPr>
                  <w:noProof/>
                </w:rPr>
                <w:t>C</w:t>
              </w:r>
            </w:fldSimple>
            <w:bookmarkEnd w:id="971"/>
            <w:r>
              <w:t>: encoding a multi-level list</w:t>
            </w:r>
          </w:p>
        </w:tc>
      </w:tr>
      <w:tr w14:paraId="33213A57" w14:textId="77777777">
        <w:tc>
          <w:tcPr>
            <w:tcW w:w="5000" w:type="pct"/>
          </w:tcPr>
          <w:p w14:paraId="4F5A7949" w14:textId="77777777">
            <w:pPr>
              <w:pStyle w:val="CodeParagraph"/>
              <w:keepNext/>
              <w:rPr>
                <w:rStyle w:val="Code"/>
              </w:rPr>
            </w:pPr>
            <w:r>
              <w:rPr>
                <w:rStyle w:val="Code"/>
              </w:rPr>
              <w:t xml:space="preserve">&lt;p </w:t>
            </w:r>
            <w:r>
              <w:rPr>
                <w:rStyle w:val="Codeattribute"/>
              </w:rPr>
              <w:t>n=</w:t>
            </w:r>
            <w:r>
              <w:rPr>
                <w:rStyle w:val="Codevalue"/>
              </w:rPr>
              <w:t>"4r11-4r20"</w:t>
            </w:r>
            <w:r>
              <w:rPr>
                <w:rStyle w:val="Code"/>
              </w:rPr>
              <w:t>&gt;</w:t>
            </w:r>
            <w:r>
              <w:rPr>
                <w:rStyle w:val="Codetext"/>
              </w:rPr>
              <w:t>... No one was left behind in taking part in feasting on the market place of Ālasantan:</w:t>
            </w:r>
            <w:r>
              <w:rPr>
                <w:rStyle w:val="Code"/>
              </w:rPr>
              <w:t xml:space="preserve"> </w:t>
            </w:r>
          </w:p>
          <w:p w14:paraId="5CEBBE9C" w14:textId="77777777">
            <w:pPr>
              <w:pStyle w:val="CodeParagraph"/>
              <w:keepNext/>
              <w:rPr>
                <w:rStyle w:val="Code"/>
              </w:rPr>
            </w:pPr>
            <w:r>
              <w:rPr>
                <w:rStyle w:val="Code"/>
              </w:rPr>
              <w:t xml:space="preserve">  &lt;list&gt;</w:t>
            </w:r>
          </w:p>
          <w:p w14:paraId="5AFC3F63" w14:textId="77777777">
            <w:pPr>
              <w:pStyle w:val="CodeParagraph"/>
              <w:keepNext/>
              <w:rPr>
                <w:rStyle w:val="Code"/>
              </w:rPr>
            </w:pPr>
            <w:r>
              <w:rPr>
                <w:rStyle w:val="Code"/>
              </w:rPr>
              <w:t xml:space="preserve">    &lt;item&gt;</w:t>
            </w:r>
            <w:r>
              <w:rPr>
                <w:rStyle w:val="Codetext"/>
              </w:rPr>
              <w:t>being regaled,</w:t>
            </w:r>
            <w:r>
              <w:rPr>
                <w:rStyle w:val="Code"/>
              </w:rPr>
              <w:t>&lt;/item&gt;</w:t>
            </w:r>
          </w:p>
          <w:p w14:paraId="1A189534" w14:textId="77777777">
            <w:pPr>
              <w:pStyle w:val="CodeParagraph"/>
              <w:keepNext/>
              <w:rPr>
                <w:rStyle w:val="Code"/>
              </w:rPr>
            </w:pPr>
            <w:r>
              <w:rPr>
                <w:rStyle w:val="Code"/>
              </w:rPr>
              <w:t xml:space="preserve">    &lt;item&gt;</w:t>
            </w:r>
            <w:r>
              <w:rPr>
                <w:rStyle w:val="Codetext"/>
              </w:rPr>
              <w:t>being offered dressed-up rice,</w:t>
            </w:r>
            <w:r>
              <w:rPr>
                <w:rStyle w:val="Code"/>
              </w:rPr>
              <w:t xml:space="preserve">&lt;/item&gt; </w:t>
            </w:r>
          </w:p>
          <w:p w14:paraId="3C20B65F" w14:textId="77777777">
            <w:pPr>
              <w:pStyle w:val="CodeParagraph"/>
              <w:keepNext/>
              <w:rPr>
                <w:rStyle w:val="Code"/>
              </w:rPr>
            </w:pPr>
            <w:r>
              <w:rPr>
                <w:rStyle w:val="Code"/>
              </w:rPr>
              <w:t xml:space="preserve">    &lt;item&gt;</w:t>
            </w:r>
            <w:r>
              <w:rPr>
                <w:rStyle w:val="Codetext"/>
              </w:rPr>
              <w:t>being ladled</w:t>
            </w:r>
          </w:p>
          <w:p w14:paraId="4E01231E" w14:textId="77777777">
            <w:pPr>
              <w:pStyle w:val="CodeParagraph"/>
              <w:keepNext/>
              <w:rPr>
                <w:rStyle w:val="Code"/>
              </w:rPr>
            </w:pPr>
            <w:r>
              <w:rPr>
                <w:rStyle w:val="Code"/>
              </w:rPr>
              <w:t xml:space="preserve">      &lt;list </w:t>
            </w:r>
            <w:r>
              <w:rPr>
                <w:rStyle w:val="Codeattribute"/>
              </w:rPr>
              <w:t>rend=</w:t>
            </w:r>
            <w:r>
              <w:rPr>
                <w:rStyle w:val="Codevalue"/>
              </w:rPr>
              <w:t>"bulleted"</w:t>
            </w:r>
            <w:r>
              <w:rPr>
                <w:rStyle w:val="Code"/>
              </w:rPr>
              <w:t>&gt;</w:t>
            </w:r>
          </w:p>
          <w:p w14:paraId="1CAD101D" w14:textId="77777777">
            <w:pPr>
              <w:pStyle w:val="CodeParagraph"/>
              <w:keepNext/>
              <w:rPr>
                <w:rStyle w:val="Code"/>
              </w:rPr>
            </w:pPr>
            <w:r>
              <w:rPr>
                <w:rStyle w:val="Code"/>
              </w:rPr>
              <w:t xml:space="preserve">        &lt;item&gt;</w:t>
            </w:r>
            <w:r>
              <w:rPr>
                <w:rStyle w:val="Codetext"/>
              </w:rPr>
              <w:t>cooked foods,</w:t>
            </w:r>
            <w:r>
              <w:rPr>
                <w:rStyle w:val="Code"/>
              </w:rPr>
              <w:t>&lt;/item&gt;</w:t>
            </w:r>
          </w:p>
          <w:p w14:paraId="364FF6B0" w14:textId="77777777">
            <w:pPr>
              <w:pStyle w:val="CodeParagraph"/>
              <w:keepNext/>
              <w:rPr>
                <w:rStyle w:val="Code"/>
              </w:rPr>
            </w:pPr>
            <w:r>
              <w:rPr>
                <w:rStyle w:val="Code"/>
              </w:rPr>
              <w:t xml:space="preserve">        &lt;item&gt;</w:t>
            </w:r>
            <w:r>
              <w:rPr>
                <w:rStyle w:val="Codetext"/>
              </w:rPr>
              <w:t>snacks,</w:t>
            </w:r>
            <w:r>
              <w:rPr>
                <w:rStyle w:val="Code"/>
              </w:rPr>
              <w:t>&lt;/item&gt;</w:t>
            </w:r>
          </w:p>
          <w:p w14:paraId="34B782B9" w14:textId="77777777">
            <w:pPr>
              <w:pStyle w:val="CodeParagraph"/>
              <w:keepNext/>
              <w:rPr>
                <w:rStyle w:val="Code"/>
              </w:rPr>
            </w:pPr>
            <w:r>
              <w:rPr>
                <w:rStyle w:val="Code"/>
              </w:rPr>
              <w:t xml:space="preserve">        &lt;item&gt;&lt;foreign&gt;</w:t>
            </w:r>
            <w:r>
              <w:rPr>
                <w:rStyle w:val="Codetext"/>
              </w:rPr>
              <w:t>kasyan</w:t>
            </w:r>
            <w:r>
              <w:rPr>
                <w:rStyle w:val="Code"/>
              </w:rPr>
              <w:t>&lt;/foreign&gt;</w:t>
            </w:r>
            <w:r>
              <w:rPr>
                <w:rStyle w:val="Codetext"/>
              </w:rPr>
              <w:t>,</w:t>
            </w:r>
            <w:r>
              <w:rPr>
                <w:rStyle w:val="Code"/>
              </w:rPr>
              <w:t>&lt;/item&gt;</w:t>
            </w:r>
          </w:p>
          <w:p w14:paraId="7F1EC34D" w14:textId="77777777">
            <w:pPr>
              <w:pStyle w:val="CodeParagraph"/>
              <w:keepNext/>
              <w:rPr>
                <w:rStyle w:val="Code"/>
              </w:rPr>
            </w:pPr>
            <w:r>
              <w:rPr>
                <w:rStyle w:val="Code"/>
              </w:rPr>
              <w:t xml:space="preserve">      &lt;/list&gt;</w:t>
            </w:r>
          </w:p>
          <w:p w14:paraId="5A3767D8" w14:textId="77777777">
            <w:pPr>
              <w:pStyle w:val="CodeParagraph"/>
              <w:keepNext/>
              <w:rPr>
                <w:rStyle w:val="Code"/>
              </w:rPr>
            </w:pPr>
            <w:r>
              <w:rPr>
                <w:rStyle w:val="Code"/>
              </w:rPr>
              <w:t xml:space="preserve">    &lt;/item&gt;</w:t>
            </w:r>
          </w:p>
          <w:p w14:paraId="1A97A183" w14:textId="77777777">
            <w:pPr>
              <w:pStyle w:val="CodeParagraph"/>
              <w:keepNext/>
              <w:rPr>
                <w:rStyle w:val="Code"/>
              </w:rPr>
            </w:pPr>
            <w:r>
              <w:rPr>
                <w:rStyle w:val="Code"/>
              </w:rPr>
              <w:t xml:space="preserve">    &lt;item&gt;</w:t>
            </w:r>
            <w:r>
              <w:rPr>
                <w:rStyle w:val="Codetext"/>
              </w:rPr>
              <w:t>being relaxed with liquor,</w:t>
            </w:r>
            <w:r>
              <w:rPr>
                <w:rStyle w:val="Code"/>
              </w:rPr>
              <w:t xml:space="preserve"> &lt;foreign&gt;</w:t>
            </w:r>
            <w:r>
              <w:rPr>
                <w:rStyle w:val="Codetext"/>
              </w:rPr>
              <w:t>atak</w:t>
            </w:r>
            <w:r>
              <w:rPr>
                <w:rStyle w:val="Code"/>
              </w:rPr>
              <w:t xml:space="preserve">&lt;/foreign&gt; &lt;supplied </w:t>
            </w:r>
            <w:r>
              <w:rPr>
                <w:rStyle w:val="Codeattribute"/>
              </w:rPr>
              <w:t>reason=</w:t>
            </w:r>
            <w:r>
              <w:rPr>
                <w:rStyle w:val="Codevalue"/>
              </w:rPr>
              <w:t>"subaudible"</w:t>
            </w:r>
            <w:r>
              <w:rPr>
                <w:rStyle w:val="Code"/>
              </w:rPr>
              <w:t>&gt;</w:t>
            </w:r>
            <w:r>
              <w:rPr>
                <w:rStyle w:val="Codetext"/>
              </w:rPr>
              <w:t>and</w:t>
            </w:r>
            <w:r>
              <w:rPr>
                <w:rStyle w:val="Code"/>
              </w:rPr>
              <w:t>&lt;/supplied&gt;</w:t>
            </w:r>
            <w:r>
              <w:rPr>
                <w:rStyle w:val="Codetext"/>
              </w:rPr>
              <w:t xml:space="preserve"> milk</w:t>
            </w:r>
            <w:r>
              <w:rPr>
                <w:rStyle w:val="Code"/>
              </w:rPr>
              <w:t>&lt;/item&gt;</w:t>
            </w:r>
          </w:p>
          <w:p w14:paraId="461BE27A" w14:textId="77777777">
            <w:pPr>
              <w:pStyle w:val="CodeParagraph"/>
              <w:keepNext/>
              <w:rPr>
                <w:rStyle w:val="Code"/>
              </w:rPr>
            </w:pPr>
            <w:r>
              <w:rPr>
                <w:rStyle w:val="Code"/>
              </w:rPr>
              <w:t xml:space="preserve">  &lt;/list&gt;</w:t>
            </w:r>
          </w:p>
          <w:p w14:paraId="36CC2B87" w14:textId="77777777">
            <w:pPr>
              <w:pStyle w:val="CodeParagraph"/>
              <w:keepNext/>
              <w:rPr>
                <w:rStyle w:val="Codetext"/>
              </w:rPr>
            </w:pPr>
            <w:r>
              <w:rPr>
                <w:rStyle w:val="Codetext"/>
              </w:rPr>
              <w:t xml:space="preserve">  The total of containers per</w:t>
            </w:r>
            <w:r>
              <w:rPr>
                <w:rStyle w:val="Code"/>
              </w:rPr>
              <w:t xml:space="preserve"> &lt;supplied </w:t>
            </w:r>
            <w:r>
              <w:rPr>
                <w:rStyle w:val="Codeattribute"/>
              </w:rPr>
              <w:t>reason=</w:t>
            </w:r>
            <w:r>
              <w:rPr>
                <w:rStyle w:val="Codevalue"/>
              </w:rPr>
              <w:t>"subaudible"</w:t>
            </w:r>
            <w:r>
              <w:rPr>
                <w:rStyle w:val="Code"/>
              </w:rPr>
              <w:t>&gt;</w:t>
            </w:r>
            <w:r>
              <w:rPr>
                <w:rStyle w:val="Codetext"/>
              </w:rPr>
              <w:t>banana</w:t>
            </w:r>
            <w:r>
              <w:rPr>
                <w:rStyle w:val="Code"/>
              </w:rPr>
              <w:t>&lt;/supplied&gt;</w:t>
            </w:r>
            <w:r>
              <w:rPr>
                <w:rStyle w:val="Codetext"/>
              </w:rPr>
              <w:t xml:space="preserve"> leaf was nine, apart from the fish. ...</w:t>
            </w:r>
          </w:p>
          <w:p w14:paraId="51AE9F47" w14:textId="77777777">
            <w:pPr>
              <w:pStyle w:val="CodeParagraph"/>
              <w:keepNext/>
              <w:rPr>
                <w:rStyle w:val="Code"/>
              </w:rPr>
            </w:pPr>
            <w:r>
              <w:rPr>
                <w:rStyle w:val="Code"/>
              </w:rPr>
              <w:t>&lt;/p&gt;</w:t>
            </w:r>
          </w:p>
        </w:tc>
      </w:tr>
      <w:tr w14:paraId="432EF394" w14:textId="77777777">
        <w:tc>
          <w:tcPr>
            <w:tcW w:w="5000" w:type="pct"/>
          </w:tcPr>
          <w:p w14:paraId="1CC7E364" w14:textId="77777777">
            <w:pPr>
              <w:pStyle w:val="TableNote"/>
            </w:pPr>
            <w:r>
              <w:t>display:</w:t>
            </w:r>
          </w:p>
          <w:p w14:paraId="3B6B2741" w14:textId="77777777">
            <w:pPr>
              <w:pStyle w:val="Tabletext"/>
            </w:pPr>
            <w:r>
              <w:t xml:space="preserve">No one was left behind in taking part in feasting on the market place of </w:t>
            </w:r>
            <w:r>
              <w:rPr>
                <w:noProof/>
              </w:rPr>
              <w:t>Ālasantan</w:t>
            </w:r>
            <w:r>
              <w:t>:</w:t>
            </w:r>
          </w:p>
          <w:p w14:paraId="18CDBDBC" w14:textId="77777777">
            <w:pPr>
              <w:pStyle w:val="Tabletext"/>
            </w:pPr>
            <w:r>
              <w:t xml:space="preserve">    being regaled,</w:t>
            </w:r>
          </w:p>
          <w:p w14:paraId="27F495F6" w14:textId="77777777">
            <w:pPr>
              <w:pStyle w:val="Tabletext"/>
            </w:pPr>
            <w:r>
              <w:t xml:space="preserve">    being offered dressed-up rice,</w:t>
            </w:r>
          </w:p>
          <w:p w14:paraId="6D29CED6" w14:textId="77777777">
            <w:pPr>
              <w:pStyle w:val="Tabletext"/>
            </w:pPr>
            <w:r>
              <w:t xml:space="preserve">    being ladled:</w:t>
            </w:r>
          </w:p>
          <w:p w14:paraId="77F0EB17" w14:textId="77777777">
            <w:pPr>
              <w:pStyle w:val="Tabletext"/>
              <w:numPr>
                <w:ilvl w:val="0"/>
                <w:numId w:val="16"/>
              </w:numPr>
            </w:pPr>
            <w:r>
              <w:t>cooked foods,</w:t>
            </w:r>
          </w:p>
          <w:p w14:paraId="7077BB3A" w14:textId="77777777">
            <w:pPr>
              <w:pStyle w:val="Tabletext"/>
              <w:numPr>
                <w:ilvl w:val="0"/>
                <w:numId w:val="16"/>
              </w:numPr>
            </w:pPr>
            <w:r>
              <w:t>snacks,</w:t>
            </w:r>
          </w:p>
          <w:p w14:paraId="3C56933C" w14:textId="77777777">
            <w:pPr>
              <w:pStyle w:val="Tabletext"/>
              <w:numPr>
                <w:ilvl w:val="0"/>
                <w:numId w:val="16"/>
              </w:numPr>
            </w:pPr>
            <w:r>
              <w:rPr>
                <w:rStyle w:val="Foreign"/>
              </w:rPr>
              <w:t>kasyan</w:t>
            </w:r>
            <w:r>
              <w:t>,</w:t>
            </w:r>
          </w:p>
          <w:p w14:paraId="605B45AD" w14:textId="77777777">
            <w:pPr>
              <w:pStyle w:val="Tabletext"/>
            </w:pPr>
            <w:r>
              <w:t xml:space="preserve">being relaxed with liquor, </w:t>
            </w:r>
            <w:r>
              <w:rPr>
                <w:rStyle w:val="Foreign"/>
              </w:rPr>
              <w:t>atak</w:t>
            </w:r>
            <w:r>
              <w:t xml:space="preserve"> </w:t>
            </w:r>
            <w:r>
              <w:rPr>
                <w:rFonts w:ascii="Cambria Math" w:hAnsi="Cambria Math" w:cs="Cambria Math"/>
              </w:rPr>
              <w:t>⟨</w:t>
            </w:r>
            <w:r>
              <w:t>and</w:t>
            </w:r>
            <w:r>
              <w:rPr>
                <w:rFonts w:ascii="Cambria Math" w:hAnsi="Cambria Math" w:cs="Cambria Math"/>
              </w:rPr>
              <w:t>⟩</w:t>
            </w:r>
            <w:r>
              <w:t xml:space="preserve"> milk</w:t>
            </w:r>
          </w:p>
          <w:p w14:paraId="288CF8BB" w14:textId="77777777">
            <w:pPr>
              <w:pStyle w:val="Tabletext"/>
            </w:pPr>
            <w:r>
              <w:t xml:space="preserve">The total of containers per </w:t>
            </w:r>
            <w:r>
              <w:rPr>
                <w:rFonts w:ascii="Cambria Math" w:hAnsi="Cambria Math" w:cs="Cambria Math"/>
              </w:rPr>
              <w:t>⟨</w:t>
            </w:r>
            <w:r>
              <w:t>banana</w:t>
            </w:r>
            <w:r>
              <w:rPr>
                <w:rFonts w:ascii="Cambria Math" w:hAnsi="Cambria Math" w:cs="Cambria Math"/>
              </w:rPr>
              <w:t>⟩</w:t>
            </w:r>
            <w:r>
              <w:t xml:space="preserve"> leaf was nine, apart from the fish. ...</w:t>
            </w:r>
          </w:p>
        </w:tc>
      </w:tr>
    </w:tbl>
    <w:p w14:paraId="5DF51B75" w14:textId="77777777">
      <w:pPr>
        <w:pStyle w:val="Cmsor2"/>
      </w:pPr>
      <w:bookmarkStart w:id="972" w:name="_4euu8urmvkq9" w:colFirst="0" w:colLast="0"/>
      <w:bookmarkStart w:id="973" w:name="_Toc243922795"/>
      <w:bookmarkEnd w:id="972"/>
      <w:r>
        <w:t>Languages</w:t>
      </w:r>
      <w:bookmarkEnd w:id="973"/>
    </w:p>
    <w:p w14:paraId="1F2B3731" w14:textId="77777777">
      <w:pPr>
        <w:pStyle w:val="Cmsor3"/>
      </w:pPr>
      <w:bookmarkStart w:id="974" w:name="_wp8hx3ov5ccr" w:colFirst="0" w:colLast="0"/>
      <w:bookmarkStart w:id="975" w:name="_Ref233727317"/>
      <w:bookmarkStart w:id="976" w:name="_Toc243922796"/>
      <w:bookmarkEnd w:id="974"/>
      <w:r>
        <w:t>Encoding language</w:t>
      </w:r>
      <w:bookmarkEnd w:id="975"/>
      <w:bookmarkEnd w:id="976"/>
    </w:p>
    <w:p w14:paraId="57F1048D" w14:textId="4218DD6B">
      <w:pPr>
        <w:rPr>
          <w:lang w:eastAsia="en-US" w:bidi="ar-SA"/>
        </w:rPr>
      </w:pPr>
      <w:r>
        <w:t xml:space="preserve">The language of the contents of any XML element may be specified using the attribute </w:t>
      </w:r>
      <w:r>
        <w:rPr>
          <w:rStyle w:val="Codeattribute"/>
        </w:rPr>
        <w:t>@xml:lang</w:t>
      </w:r>
      <w:r>
        <w:t>. In DHARMA practice the permitted values of this attribute shall be ISO language tags, to be used as described in §</w:t>
      </w:r>
      <w:r>
        <w:fldChar w:fldCharType="begin"/>
      </w:r>
      <w:r>
        <w:instrText xml:space="preserve"> REF _Ref233793597 \r \h </w:instrText>
      </w:r>
      <w:r>
        <w:fldChar w:fldCharType="separate"/>
      </w:r>
      <w:r>
        <w:t>14.4.1.1</w:t>
      </w:r>
      <w:r>
        <w:fldChar w:fldCharType="end"/>
      </w:r>
      <w:r>
        <w:t>.</w:t>
      </w:r>
    </w:p>
    <w:p w14:paraId="54488670" w14:textId="77777777">
      <w:pPr>
        <w:pStyle w:val="Lista"/>
      </w:pPr>
      <w:r>
        <w:t xml:space="preserve">when an XML element’s language has been encoded with </w:t>
      </w:r>
      <w:r>
        <w:rPr>
          <w:rStyle w:val="Codeattribute"/>
        </w:rPr>
        <w:t>@xml:lang</w:t>
      </w:r>
      <w:r>
        <w:t>, all descendants of that element are understood to inherit its language unless otherwise encoded</w:t>
      </w:r>
    </w:p>
    <w:p w14:paraId="7D5A6222" w14:textId="61793B71">
      <w:pPr>
        <w:pStyle w:val="Lista"/>
      </w:pPr>
      <w:r>
        <w:t xml:space="preserve">the </w:t>
      </w:r>
      <w:r>
        <w:rPr>
          <w:rStyle w:val="Code"/>
        </w:rPr>
        <w:t>&lt;TEI&gt;</w:t>
      </w:r>
      <w:r>
        <w:t xml:space="preserve"> container </w:t>
      </w:r>
      <w:r>
        <w:rPr>
          <w:noProof/>
        </w:rPr>
        <w:t>(</w:t>
      </w:r>
      <w:r>
        <w:t>§</w:t>
      </w:r>
      <w:r>
        <w:fldChar w:fldCharType="begin"/>
      </w:r>
      <w:r>
        <w:instrText xml:space="preserve"> REF _Ref43990558 \r \h  \* MERGEFORMAT </w:instrText>
      </w:r>
      <w:r>
        <w:fldChar w:fldCharType="separate"/>
      </w:r>
      <w:r>
        <w:t>2.3</w:t>
      </w:r>
      <w:r>
        <w:fldChar w:fldCharType="end"/>
      </w:r>
      <w:r>
        <w:t>) of our entire XML documents specifies English as the language of the document, which is thus by default inherited by everything in the document</w:t>
      </w:r>
    </w:p>
    <w:p w14:paraId="0F739E54" w14:textId="77777777">
      <w:pPr>
        <w:pStyle w:val="Lista"/>
      </w:pPr>
      <w:r>
        <w:t xml:space="preserve">when a structural unit of the document is in another language, the attribute </w:t>
      </w:r>
      <w:r>
        <w:rPr>
          <w:rStyle w:val="Codeattribute"/>
        </w:rPr>
        <w:t>@xml:lang</w:t>
      </w:r>
      <w:r>
        <w:t xml:space="preserve"> must be added to the start-tag of the corresponding structural element to specify the language:</w:t>
      </w:r>
    </w:p>
    <w:p w14:paraId="618DA640" w14:textId="7359FEDA">
      <w:pPr>
        <w:pStyle w:val="Lista2"/>
      </w:pPr>
      <w:r>
        <w:t>the edition division of our XML files must normally be set to the primary source language as per §</w:t>
      </w:r>
      <w:r>
        <w:fldChar w:fldCharType="begin"/>
      </w:r>
      <w:r>
        <w:instrText xml:space="preserve"> REF _Ref231978649 \r \h </w:instrText>
      </w:r>
      <w:r>
        <w:fldChar w:fldCharType="separate"/>
      </w:r>
      <w:r>
        <w:t>8.1.1</w:t>
      </w:r>
      <w:r>
        <w:fldChar w:fldCharType="end"/>
      </w:r>
    </w:p>
    <w:p w14:paraId="122FC5C3" w14:textId="45E7C2DE">
      <w:pPr>
        <w:pStyle w:val="Lista3"/>
      </w:pPr>
      <w:r>
        <w:t>parts of the edition which are in a different source language must be encoded as per §</w:t>
      </w:r>
      <w:r>
        <w:fldChar w:fldCharType="begin"/>
      </w:r>
      <w:r>
        <w:instrText xml:space="preserve"> REF _Ref231974552 \r \h </w:instrText>
      </w:r>
      <w:r>
        <w:fldChar w:fldCharType="separate"/>
      </w:r>
      <w:r>
        <w:t>8.2.3</w:t>
      </w:r>
      <w:r>
        <w:fldChar w:fldCharType="end"/>
      </w:r>
    </w:p>
    <w:p w14:paraId="4DC27B84" w14:textId="341A41B6">
      <w:pPr>
        <w:pStyle w:val="Lista3"/>
      </w:pPr>
      <w:r>
        <w:t>editorial additions to the source document, such as headings (§</w:t>
      </w:r>
      <w:r>
        <w:fldChar w:fldCharType="begin"/>
      </w:r>
      <w:r>
        <w:instrText xml:space="preserve"> REF _Ref225177909 \r \h </w:instrText>
      </w:r>
      <w:r>
        <w:fldChar w:fldCharType="separate"/>
      </w:r>
      <w:r>
        <w:t>4.2.1.3</w:t>
      </w:r>
      <w:r>
        <w:fldChar w:fldCharType="end"/>
      </w:r>
      <w:r>
        <w:t>) and labels (§</w:t>
      </w:r>
      <w:r>
        <w:fldChar w:fldCharType="begin"/>
      </w:r>
      <w:r>
        <w:instrText xml:space="preserve"> REF _Ref182299869 \r \h </w:instrText>
      </w:r>
      <w:r>
        <w:fldChar w:fldCharType="separate"/>
      </w:r>
      <w:r>
        <w:t>4.4.3.2</w:t>
      </w:r>
      <w:r>
        <w:fldChar w:fldCharType="end"/>
      </w:r>
      <w:r>
        <w:t>) must be explicitly encoded as English, as by default they inherit the language of the edition</w:t>
      </w:r>
    </w:p>
    <w:p w14:paraId="39096134" w14:textId="356946A7">
      <w:pPr>
        <w:pStyle w:val="Lista2"/>
      </w:pPr>
      <w:r>
        <w:t>language must be explicitly encoded for the translation division(s) of our files (§</w:t>
      </w:r>
      <w:r>
        <w:fldChar w:fldCharType="begin"/>
      </w:r>
      <w:r>
        <w:instrText xml:space="preserve"> REF _Ref233722818 \r \h </w:instrText>
      </w:r>
      <w:r>
        <w:fldChar w:fldCharType="separate"/>
      </w:r>
      <w:r>
        <w:t>11.1</w:t>
      </w:r>
      <w:r>
        <w:fldChar w:fldCharType="end"/>
      </w:r>
      <w:r>
        <w:t>), except for translations into English, in which case no language attribute is needed, since English is inherited</w:t>
      </w:r>
    </w:p>
    <w:p w14:paraId="37E2D119" w14:textId="7905A811">
      <w:pPr>
        <w:pStyle w:val="Lista2"/>
      </w:pPr>
      <w:r>
        <w:t>the language of the critical apparatus (§</w:t>
      </w:r>
      <w:r>
        <w:fldChar w:fldCharType="begin"/>
      </w:r>
      <w:r>
        <w:instrText xml:space="preserve"> REF _Ref43978773 \r \h </w:instrText>
      </w:r>
      <w:r>
        <w:fldChar w:fldCharType="separate"/>
      </w:r>
      <w:r>
        <w:t>10</w:t>
      </w:r>
      <w:r>
        <w:fldChar w:fldCharType="end"/>
      </w:r>
      <w:r>
        <w:t>) is English as inherited, while lemmas and readings cited in the apparatus are understood to be in the primary source language encoded on the edition (even though by pure computer logic they too inherit the English language)</w:t>
      </w:r>
    </w:p>
    <w:p w14:paraId="137C7152" w14:textId="77777777">
      <w:pPr>
        <w:pStyle w:val="Lista"/>
      </w:pPr>
      <w:r>
        <w:t xml:space="preserve">anywhere outside the edition division, any pre-existing structural container </w:t>
      </w:r>
      <w:r>
        <w:rPr>
          <w:noProof/>
        </w:rPr>
        <w:t>(</w:t>
      </w:r>
      <w:r>
        <w:t xml:space="preserve">e.g. </w:t>
      </w:r>
      <w:r>
        <w:rPr>
          <w:rStyle w:val="Code"/>
        </w:rPr>
        <w:t>&lt;note&gt;</w:t>
      </w:r>
      <w:r>
        <w:t xml:space="preserve">, </w:t>
      </w:r>
      <w:r>
        <w:rPr>
          <w:rStyle w:val="Code"/>
        </w:rPr>
        <w:t>&lt;p&gt;</w:t>
      </w:r>
      <w:r>
        <w:t xml:space="preserve"> and </w:t>
      </w:r>
      <w:r>
        <w:rPr>
          <w:rStyle w:val="Code"/>
        </w:rPr>
        <w:t>&lt;q&gt;</w:t>
      </w:r>
      <w:r>
        <w:t xml:space="preserve">) shall be tagged with </w:t>
      </w:r>
      <w:r>
        <w:rPr>
          <w:rStyle w:val="Codeattribute"/>
        </w:rPr>
        <w:t>@xml:lang</w:t>
      </w:r>
      <w:r>
        <w:t xml:space="preserve"> if the language of its contents differs from the language of its containing element</w:t>
      </w:r>
    </w:p>
    <w:p w14:paraId="281403F9" w14:textId="4AA5CC1A">
      <w:pPr>
        <w:pStyle w:val="Lista"/>
      </w:pPr>
      <w:r>
        <w:lastRenderedPageBreak/>
        <w:t xml:space="preserve">where a word, phrase or other short sequence is in a language other than the language of its containing element, this sequence shall be tagged with </w:t>
      </w:r>
      <w:r>
        <w:rPr>
          <w:rStyle w:val="Code"/>
        </w:rPr>
        <w:t>&lt;foreign&gt;</w:t>
      </w:r>
      <w:r>
        <w:t xml:space="preserve"> as per §</w:t>
      </w:r>
      <w:r>
        <w:fldChar w:fldCharType="begin"/>
      </w:r>
      <w:r>
        <w:instrText xml:space="preserve"> REF _Ref43986658 \r \h </w:instrText>
      </w:r>
      <w:r>
        <w:fldChar w:fldCharType="separate"/>
      </w:r>
      <w:r>
        <w:t>14.4.2</w:t>
      </w:r>
      <w:r>
        <w:fldChar w:fldCharType="end"/>
      </w:r>
      <w:r>
        <w:t xml:space="preserve">, with or without </w:t>
      </w:r>
      <w:r>
        <w:rPr>
          <w:rStyle w:val="Codeattribute"/>
        </w:rPr>
        <w:t>@xml:lang</w:t>
      </w:r>
    </w:p>
    <w:p w14:paraId="22E92F3E" w14:textId="77777777">
      <w:pPr>
        <w:pStyle w:val="Cmsor4"/>
      </w:pPr>
      <w:bookmarkStart w:id="977" w:name="_Ref233792736"/>
      <w:bookmarkStart w:id="978" w:name="_Ref233793597"/>
      <w:r>
        <w:t>ISO language tags and script subtags</w:t>
      </w:r>
      <w:bookmarkEnd w:id="977"/>
      <w:bookmarkEnd w:id="978"/>
    </w:p>
    <w:p w14:paraId="66C61172" w14:textId="77777777">
      <w:pPr>
        <w:pStyle w:val="Lista"/>
      </w:pPr>
      <w:r>
        <w:t xml:space="preserve">for specifying languages by means of </w:t>
      </w:r>
      <w:r>
        <w:rPr>
          <w:rStyle w:val="Codeattribute"/>
        </w:rPr>
        <w:t>@xml:lang</w:t>
      </w:r>
      <w:r>
        <w:t>, the DHARMA project uses the language tags defined by the ISO standard 639-3,</w:t>
      </w:r>
      <w:r>
        <w:rPr>
          <w:rStyle w:val="Lbjegyzet-hivatkozs"/>
        </w:rPr>
        <w:footnoteReference w:id="41"/>
      </w:r>
      <w:r>
        <w:t xml:space="preserve"> with a small number of additions for languages without such a standard tag</w:t>
      </w:r>
    </w:p>
    <w:p w14:paraId="57983DE5" w14:textId="271C10FE">
      <w:pPr>
        <w:pStyle w:val="Lista2"/>
      </w:pPr>
      <w:r>
        <w:t xml:space="preserve">a dedicated list of the codes relevant to our project is available at </w:t>
      </w:r>
      <w:hyperlink r:id="rId78" w:history="1">
        <w:r>
          <w:rPr>
            <w:rStyle w:val="Hiperhivatkozs"/>
          </w:rPr>
          <w:t>https://github.com/erc-dharma/project-documentation/blob/master/DHARMA_languages.tsv</w:t>
        </w:r>
      </w:hyperlink>
      <w:r>
        <w:t xml:space="preserve"> </w:t>
      </w:r>
    </w:p>
    <w:p w14:paraId="068B6139" w14:textId="77777777">
      <w:pPr>
        <w:pStyle w:val="Lista"/>
      </w:pPr>
      <w:r>
        <w:t>script subtags defined by ISO 15924</w:t>
      </w:r>
      <w:r>
        <w:rPr>
          <w:rStyle w:val="Lbjegyzet-hivatkozs"/>
        </w:rPr>
        <w:footnoteReference w:id="42"/>
      </w:r>
      <w:r>
        <w:t xml:space="preserve"> are often subjoined to the language tag with a hyphen as a separator</w:t>
      </w:r>
    </w:p>
    <w:p w14:paraId="2C1D71D1" w14:textId="77777777">
      <w:pPr>
        <w:pStyle w:val="Lista2"/>
      </w:pPr>
      <w:r>
        <w:t xml:space="preserve">in DHARMA practice, the use of script subtags shall be limited to mandatorily adding the suffix </w:t>
      </w:r>
      <w:r>
        <w:rPr>
          <w:rStyle w:val="Codevalue"/>
        </w:rPr>
        <w:t>-Latn</w:t>
      </w:r>
      <w:r>
        <w:t xml:space="preserve"> to the language tag of text originally written in an Indic script and edited in Romanised transliteration </w:t>
      </w:r>
    </w:p>
    <w:p w14:paraId="00A43BEA" w14:textId="77777777">
      <w:pPr>
        <w:pStyle w:val="Lista3"/>
      </w:pPr>
      <w:r>
        <w:t xml:space="preserve">e.g. </w:t>
      </w:r>
      <w:r>
        <w:rPr>
          <w:rStyle w:val="Codeattribute"/>
        </w:rPr>
        <w:t>@xml:lang=</w:t>
      </w:r>
      <w:r>
        <w:rPr>
          <w:rStyle w:val="Codevalue"/>
        </w:rPr>
        <w:t>"san-Latn"</w:t>
      </w:r>
      <w:r>
        <w:t xml:space="preserve"> means Sanskrit text in Romanised transliteration</w:t>
      </w:r>
    </w:p>
    <w:p w14:paraId="379B4372" w14:textId="77777777">
      <w:pPr>
        <w:pStyle w:val="Lista2"/>
      </w:pPr>
      <w:r>
        <w:t>language tags without a script subtag are by default assumed to be in a script typical for the language; thus, in our practice, modern languages shall be encoded without a script subtag, including</w:t>
      </w:r>
    </w:p>
    <w:p w14:paraId="5A77322C" w14:textId="77777777">
      <w:pPr>
        <w:pStyle w:val="Lista3"/>
      </w:pPr>
      <w:r>
        <w:t>modern languages written in some form of the Latin alphabet, such as English and French</w:t>
      </w:r>
    </w:p>
    <w:p w14:paraId="29CCAB69" w14:textId="77777777">
      <w:pPr>
        <w:pStyle w:val="Lista4"/>
      </w:pPr>
      <w:r>
        <w:t xml:space="preserve">e.g. </w:t>
      </w:r>
      <w:r>
        <w:rPr>
          <w:rStyle w:val="Codeattribute"/>
        </w:rPr>
        <w:t>@xml:lang=</w:t>
      </w:r>
      <w:r>
        <w:rPr>
          <w:rStyle w:val="Codevalue"/>
        </w:rPr>
        <w:t>"fra"</w:t>
      </w:r>
      <w:r>
        <w:t xml:space="preserve"> means French text written in the form of the Latin alphabet used for French</w:t>
      </w:r>
    </w:p>
    <w:p w14:paraId="2BD8A46D" w14:textId="77777777">
      <w:pPr>
        <w:pStyle w:val="Lista3"/>
      </w:pPr>
      <w:r>
        <w:t>modern south and southeast Asian languages, when cited in the script typically used for that language</w:t>
      </w:r>
    </w:p>
    <w:p w14:paraId="3128B5CD" w14:textId="77777777">
      <w:pPr>
        <w:pStyle w:val="Lista4"/>
      </w:pPr>
      <w:r>
        <w:t xml:space="preserve">e.g. </w:t>
      </w:r>
      <w:r>
        <w:rPr>
          <w:rStyle w:val="Codeattribute"/>
        </w:rPr>
        <w:t>@xml:lang=</w:t>
      </w:r>
      <w:r>
        <w:rPr>
          <w:rStyle w:val="Codevalue"/>
        </w:rPr>
        <w:t>"ind"</w:t>
      </w:r>
      <w:r>
        <w:t xml:space="preserve"> means Bahasa Indonesia written in the form of the Latin alphabet normally used for Bahasa Indonesia, while </w:t>
      </w:r>
      <w:r>
        <w:rPr>
          <w:rStyle w:val="Codeattribute"/>
        </w:rPr>
        <w:t>@xml:lang=</w:t>
      </w:r>
      <w:r>
        <w:rPr>
          <w:rStyle w:val="Codevalue"/>
        </w:rPr>
        <w:t>"tam"</w:t>
      </w:r>
      <w:r>
        <w:t xml:space="preserve"> means Tamil written in the Tamil script</w:t>
      </w:r>
    </w:p>
    <w:p w14:paraId="01D348E7" w14:textId="77777777">
      <w:pPr>
        <w:pStyle w:val="Lista"/>
      </w:pPr>
      <w:r>
        <w:t xml:space="preserve">in all cases, script subtags in the value of </w:t>
      </w:r>
      <w:r>
        <w:rPr>
          <w:rStyle w:val="Codeattribute"/>
        </w:rPr>
        <w:t>@xml:lang</w:t>
      </w:r>
      <w:r>
        <w:t xml:space="preserve"> encode the script of the contents of the element bearing this attribute, and not the original script in which the source document was written</w:t>
      </w:r>
    </w:p>
    <w:p w14:paraId="21A067B6" w14:textId="63C68E83">
      <w:pPr>
        <w:pStyle w:val="Lista2"/>
      </w:pPr>
      <w:r>
        <w:t>the encoding of the source script, applicable only to the edition division, is covered in §</w:t>
      </w:r>
      <w:r>
        <w:fldChar w:fldCharType="begin"/>
      </w:r>
      <w:r>
        <w:instrText xml:space="preserve"> REF _Ref231979678 \r \h </w:instrText>
      </w:r>
      <w:r>
        <w:fldChar w:fldCharType="separate"/>
      </w:r>
      <w:r>
        <w:t>8.2</w:t>
      </w:r>
      <w:r>
        <w:fldChar w:fldCharType="end"/>
      </w:r>
      <w:r>
        <w:t xml:space="preserve"> </w:t>
      </w:r>
    </w:p>
    <w:p w14:paraId="21B787E3" w14:textId="77777777">
      <w:pPr>
        <w:pStyle w:val="Cmsor3"/>
      </w:pPr>
      <w:bookmarkStart w:id="979" w:name="_6pkkdwn5pxyn" w:colFirst="0" w:colLast="0"/>
      <w:bookmarkStart w:id="980" w:name="_Ref43986658"/>
      <w:bookmarkStart w:id="981" w:name="_Toc243922797"/>
      <w:bookmarkEnd w:id="979"/>
      <w:r>
        <w:t>Tagging foreign languages outside the edition</w:t>
      </w:r>
      <w:bookmarkEnd w:id="980"/>
      <w:bookmarkEnd w:id="981"/>
    </w:p>
    <w:p w14:paraId="18E4E6FC" w14:textId="2C5F872A">
      <w:pPr>
        <w:rPr>
          <w:lang w:eastAsia="en-US" w:bidi="ar-SA"/>
        </w:rPr>
      </w:pPr>
      <w:r>
        <w:rPr>
          <w:lang w:eastAsia="en-US" w:bidi="ar-SA"/>
        </w:rPr>
        <w:t xml:space="preserve">Segments of text which are in a language different from that of their surroundings and smaller than an already existing block-level container shall be </w:t>
      </w:r>
      <w:r>
        <w:t xml:space="preserve">wrapped in the element </w:t>
      </w:r>
      <w:r>
        <w:rPr>
          <w:rStyle w:val="Code"/>
        </w:rPr>
        <w:t>&lt;foreign&gt;</w:t>
      </w:r>
      <w:r>
        <w:t>. For the use of this element in the edition division, see §</w:t>
      </w:r>
      <w:r>
        <w:fldChar w:fldCharType="begin"/>
      </w:r>
      <w:r>
        <w:instrText xml:space="preserve"> REF _Ref231904363 \r \h </w:instrText>
      </w:r>
      <w:r>
        <w:fldChar w:fldCharType="separate"/>
      </w:r>
      <w:r>
        <w:t>8.1.2.3</w:t>
      </w:r>
      <w:r>
        <w:fldChar w:fldCharType="end"/>
      </w:r>
      <w:r>
        <w:t>. Outside the edition, such segments in a “foreign” language are handled in DHARMA practice as follows.</w:t>
      </w:r>
    </w:p>
    <w:p w14:paraId="207E0B05" w14:textId="5AC83373">
      <w:pPr>
        <w:pStyle w:val="Lista"/>
      </w:pPr>
      <w:r>
        <w:t xml:space="preserve">words or phrases in a modern language other than that of the surrounding text (e.g. a French phrase in an English commentary) must normally be tagged as </w:t>
      </w:r>
      <w:r>
        <w:rPr>
          <w:rStyle w:val="Code"/>
        </w:rPr>
        <w:t>&lt;foreign&gt;</w:t>
      </w:r>
      <w:r>
        <w:t xml:space="preserve"> with the language mandatorily encoded in </w:t>
      </w:r>
      <w:r>
        <w:rPr>
          <w:rStyle w:val="Codeattribute"/>
        </w:rPr>
        <w:t>@xml:lang</w:t>
      </w:r>
      <w:r>
        <w:t xml:space="preserve"> as per §</w:t>
      </w:r>
      <w:r>
        <w:fldChar w:fldCharType="begin"/>
      </w:r>
      <w:r>
        <w:instrText xml:space="preserve"> REF _Ref233727317 \r \h </w:instrText>
      </w:r>
      <w:r>
        <w:fldChar w:fldCharType="separate"/>
      </w:r>
      <w:r>
        <w:t>14.4.1</w:t>
      </w:r>
      <w:r>
        <w:fldChar w:fldCharType="end"/>
      </w:r>
    </w:p>
    <w:p w14:paraId="1E797E82" w14:textId="0E96E49B">
      <w:pPr>
        <w:pStyle w:val="Lista2"/>
      </w:pPr>
      <w:r>
        <w:t xml:space="preserve">if the modern foreign language normally uses a non-Latin script, but you cite it in transliteration, then the subtag </w:t>
      </w:r>
      <w:r>
        <w:rPr>
          <w:rStyle w:val="Codevalue"/>
        </w:rPr>
        <w:t>-Latn</w:t>
      </w:r>
      <w:r>
        <w:t xml:space="preserve"> must be added to the language tag as per §</w:t>
      </w:r>
      <w:r>
        <w:fldChar w:fldCharType="begin"/>
      </w:r>
      <w:r>
        <w:instrText xml:space="preserve"> REF _Ref233792736 \r \h </w:instrText>
      </w:r>
      <w:r>
        <w:fldChar w:fldCharType="separate"/>
      </w:r>
      <w:r>
        <w:t>14.4.1.1</w:t>
      </w:r>
      <w:r>
        <w:fldChar w:fldCharType="end"/>
      </w:r>
      <w:r>
        <w:t xml:space="preserve"> </w:t>
      </w:r>
    </w:p>
    <w:p w14:paraId="35F703D7" w14:textId="77777777">
      <w:pPr>
        <w:pStyle w:val="Lista2"/>
      </w:pPr>
      <w:r>
        <w:t>however, do not overdo the tagging of international words: e.g. French or Latin loanwords commonly used in English need not be tagged at all</w:t>
      </w:r>
    </w:p>
    <w:p w14:paraId="605B14F0" w14:textId="77777777">
      <w:pPr>
        <w:pStyle w:val="Lista3"/>
      </w:pPr>
      <w:r>
        <w:t xml:space="preserve">as a rule of thumb, if you would italicise a foreign word in print, then tag it as </w:t>
      </w:r>
      <w:r>
        <w:rPr>
          <w:rStyle w:val="Code"/>
        </w:rPr>
        <w:t>&lt;foreign&gt;</w:t>
      </w:r>
      <w:r>
        <w:t xml:space="preserve"> (which will in fact be displayed in italics)</w:t>
      </w:r>
    </w:p>
    <w:p w14:paraId="213F201E" w14:textId="77777777">
      <w:pPr>
        <w:pStyle w:val="Lista"/>
      </w:pPr>
      <w:r>
        <w:t>when words or phrases from one of our project’s source languages (especially from the language[s] of the text being edited and Sanskrit) are used in a modern-language context, then</w:t>
      </w:r>
    </w:p>
    <w:p w14:paraId="0DBFEC14" w14:textId="77777777">
      <w:pPr>
        <w:pStyle w:val="Lista2"/>
      </w:pPr>
      <w:r>
        <w:t xml:space="preserve">mandatorily tag them as </w:t>
      </w:r>
      <w:r>
        <w:rPr>
          <w:rStyle w:val="Code"/>
        </w:rPr>
        <w:t>&lt;foreign&gt;</w:t>
      </w:r>
    </w:p>
    <w:p w14:paraId="16D07231" w14:textId="77777777">
      <w:pPr>
        <w:pStyle w:val="Lista2"/>
      </w:pPr>
      <w:r>
        <w:t xml:space="preserve">while encoding their language with </w:t>
      </w:r>
      <w:r>
        <w:rPr>
          <w:rStyle w:val="Codeattribute"/>
        </w:rPr>
        <w:t>@xml:lang</w:t>
      </w:r>
      <w:r>
        <w:t xml:space="preserve"> is optional and generally counter-recommended in order to reduce code clutter</w:t>
      </w:r>
    </w:p>
    <w:p w14:paraId="55B97ABF" w14:textId="77777777">
      <w:pPr>
        <w:pStyle w:val="Lista"/>
      </w:pPr>
      <w:r>
        <w:t xml:space="preserve">the optionality of  </w:t>
      </w:r>
      <w:r>
        <w:rPr>
          <w:rStyle w:val="Codeattribute"/>
        </w:rPr>
        <w:t>@xml:lang</w:t>
      </w:r>
      <w:r>
        <w:t xml:space="preserve"> applies in particular to</w:t>
      </w:r>
    </w:p>
    <w:p w14:paraId="47A6CD06" w14:textId="77777777">
      <w:pPr>
        <w:pStyle w:val="Lista2"/>
      </w:pPr>
      <w:r>
        <w:t xml:space="preserve">citations from the source in a translation, commentary or note (including apparatus notes), e.g. </w:t>
      </w:r>
      <w:r>
        <w:rPr>
          <w:rStyle w:val="Codetext"/>
        </w:rPr>
        <w:t xml:space="preserve">Two </w:t>
      </w:r>
      <w:r>
        <w:rPr>
          <w:rStyle w:val="Code"/>
        </w:rPr>
        <w:t>&lt;foreign&gt;</w:t>
      </w:r>
      <w:r>
        <w:rPr>
          <w:rStyle w:val="Codetext"/>
        </w:rPr>
        <w:t>kulyavāpa</w:t>
      </w:r>
      <w:r>
        <w:rPr>
          <w:rStyle w:val="Code"/>
        </w:rPr>
        <w:t>&lt;/foreign&gt;</w:t>
      </w:r>
      <w:r>
        <w:rPr>
          <w:rStyle w:val="Codetext"/>
        </w:rPr>
        <w:t>s of land</w:t>
      </w:r>
    </w:p>
    <w:p w14:paraId="65143EA3" w14:textId="77777777">
      <w:pPr>
        <w:pStyle w:val="Lista2"/>
      </w:pPr>
      <w:r>
        <w:lastRenderedPageBreak/>
        <w:t>strings of text that are not meaningful in and of themselves, such as</w:t>
      </w:r>
    </w:p>
    <w:p w14:paraId="54B3DCCA" w14:textId="77777777">
      <w:pPr>
        <w:pStyle w:val="Lista3"/>
      </w:pPr>
      <w:r>
        <w:t xml:space="preserve">single (transliterated) characters mentioned in a palaeographic description, e.g. </w:t>
      </w:r>
      <w:r>
        <w:rPr>
          <w:rStyle w:val="Codetext"/>
        </w:rPr>
        <w:t xml:space="preserve">The scribe tends to use </w:t>
      </w:r>
      <w:r>
        <w:rPr>
          <w:rStyle w:val="Code"/>
        </w:rPr>
        <w:t>&lt;foreign&gt;</w:t>
      </w:r>
      <w:r>
        <w:rPr>
          <w:rStyle w:val="Codetext"/>
        </w:rPr>
        <w:t>ṅh</w:t>
      </w:r>
      <w:r>
        <w:rPr>
          <w:rStyle w:val="Code"/>
        </w:rPr>
        <w:t>&lt;/foreign&gt;</w:t>
      </w:r>
      <w:r>
        <w:rPr>
          <w:rStyle w:val="Codetext"/>
        </w:rPr>
        <w:t xml:space="preserve"> instead of </w:t>
      </w:r>
      <w:r>
        <w:rPr>
          <w:rStyle w:val="Code"/>
        </w:rPr>
        <w:t>&lt;foreign&gt;</w:t>
      </w:r>
      <w:r>
        <w:rPr>
          <w:rStyle w:val="Codetext"/>
        </w:rPr>
        <w:t>ṁh</w:t>
      </w:r>
      <w:r>
        <w:rPr>
          <w:rStyle w:val="Code"/>
        </w:rPr>
        <w:t>&lt;/foreign&gt;</w:t>
      </w:r>
    </w:p>
    <w:p w14:paraId="132A089A" w14:textId="77777777">
      <w:pPr>
        <w:pStyle w:val="Lista3"/>
      </w:pPr>
      <w:r>
        <w:t xml:space="preserve">morphological components or unintelligible segments mentioned in a discussion, e.g. </w:t>
      </w:r>
      <w:r>
        <w:rPr>
          <w:rStyle w:val="Codetext"/>
        </w:rPr>
        <w:t xml:space="preserve">The suffix </w:t>
      </w:r>
      <w:r>
        <w:rPr>
          <w:rStyle w:val="Code"/>
        </w:rPr>
        <w:t>&lt;foreign&gt;</w:t>
      </w:r>
      <w:r>
        <w:rPr>
          <w:rStyle w:val="Codetext"/>
        </w:rPr>
        <w:t>-vat</w:t>
      </w:r>
      <w:r>
        <w:rPr>
          <w:rStyle w:val="Code"/>
        </w:rPr>
        <w:t>&lt;/foreign&gt;</w:t>
      </w:r>
    </w:p>
    <w:p w14:paraId="4E98BFE8" w14:textId="77777777">
      <w:pPr>
        <w:pStyle w:val="Lista2"/>
      </w:pPr>
      <w:r>
        <w:t xml:space="preserve">technical terms in Sanskrit or another major language applicable to the inscription’s context, e.g. </w:t>
      </w:r>
      <w:r>
        <w:rPr>
          <w:rStyle w:val="Codetext"/>
        </w:rPr>
        <w:t xml:space="preserve">a </w:t>
      </w:r>
      <w:r>
        <w:rPr>
          <w:rStyle w:val="Code"/>
        </w:rPr>
        <w:t>&lt;foreign&gt;</w:t>
      </w:r>
      <w:r>
        <w:rPr>
          <w:rStyle w:val="Codetext"/>
        </w:rPr>
        <w:t>bahuvrīhi</w:t>
      </w:r>
      <w:r>
        <w:rPr>
          <w:rStyle w:val="Code"/>
        </w:rPr>
        <w:t>&lt;/foreign&gt;</w:t>
      </w:r>
      <w:r>
        <w:rPr>
          <w:rStyle w:val="Codetext"/>
        </w:rPr>
        <w:t xml:space="preserve"> compound</w:t>
      </w:r>
    </w:p>
    <w:p w14:paraId="5506F774" w14:textId="46BF64D3">
      <w:pPr>
        <w:pStyle w:val="Lista2"/>
      </w:pPr>
      <w:r>
        <w:t>terms cited in a dictionary reference (§</w:t>
      </w:r>
      <w:r>
        <w:fldChar w:fldCharType="begin"/>
      </w:r>
      <w:r>
        <w:instrText xml:space="preserve"> REF _Ref233811283 \r \h </w:instrText>
      </w:r>
      <w:r>
        <w:fldChar w:fldCharType="separate"/>
      </w:r>
      <w:r>
        <w:t>14.6.1.2</w:t>
      </w:r>
      <w:r>
        <w:fldChar w:fldCharType="end"/>
      </w:r>
      <w:r>
        <w:t>)</w:t>
      </w:r>
    </w:p>
    <w:p w14:paraId="0750049F" w14:textId="77777777">
      <w:pPr>
        <w:pStyle w:val="Lista"/>
      </w:pPr>
      <w:r>
        <w:t xml:space="preserve">in each of these cases, </w:t>
      </w:r>
      <w:r>
        <w:rPr>
          <w:rStyle w:val="Codeattribute"/>
        </w:rPr>
        <w:t>@xml:lang</w:t>
      </w:r>
      <w:r>
        <w:t xml:space="preserve"> is not expressly prohibited, and you may choose to add it in any situation where you feel that the ambiguity arising from the lack of such encoding would be detrimental to the understanding of your work</w:t>
      </w:r>
    </w:p>
    <w:p w14:paraId="23CDF552" w14:textId="09700C9B">
      <w:pPr>
        <w:pStyle w:val="Lista2"/>
      </w:pPr>
      <w:r>
        <w:t xml:space="preserve">when you choose to use </w:t>
      </w:r>
      <w:r>
        <w:rPr>
          <w:rStyle w:val="Codeattribute"/>
        </w:rPr>
        <w:t>@xml:lang</w:t>
      </w:r>
      <w:r>
        <w:t xml:space="preserve"> in any of these non-mandatory cases, do not forget to include the subtag </w:t>
      </w:r>
      <w:r>
        <w:rPr>
          <w:rStyle w:val="Codevalue"/>
        </w:rPr>
        <w:t>-Latn</w:t>
      </w:r>
      <w:r>
        <w:t xml:space="preserve"> as per §</w:t>
      </w:r>
      <w:r>
        <w:fldChar w:fldCharType="begin"/>
      </w:r>
      <w:r>
        <w:instrText xml:space="preserve"> REF _Ref233792736 \r \h </w:instrText>
      </w:r>
      <w:r>
        <w:fldChar w:fldCharType="separate"/>
      </w:r>
      <w:r>
        <w:t>14.4.1.1</w:t>
      </w:r>
      <w:r>
        <w:fldChar w:fldCharType="end"/>
      </w:r>
      <w:r>
        <w:t xml:space="preserve"> </w:t>
      </w:r>
    </w:p>
    <w:p w14:paraId="2F490F0D" w14:textId="77777777">
      <w:pPr>
        <w:pStyle w:val="Cmsor4"/>
      </w:pPr>
      <w:r>
        <w:t>Encoding source script outside the edition</w:t>
      </w:r>
    </w:p>
    <w:p w14:paraId="20D32B68" w14:textId="60138E85">
      <w:pPr>
        <w:pStyle w:val="Lista"/>
      </w:pPr>
      <w:r>
        <w:t xml:space="preserve">the encoding of the source script with </w:t>
      </w:r>
      <w:r>
        <w:rPr>
          <w:rStyle w:val="Codeattribute"/>
        </w:rPr>
        <w:t>@rendition</w:t>
      </w:r>
      <w:r>
        <w:t xml:space="preserve"> (§</w:t>
      </w:r>
      <w:r>
        <w:fldChar w:fldCharType="begin"/>
      </w:r>
      <w:r>
        <w:instrText xml:space="preserve"> REF _Ref232173895 \r \h </w:instrText>
      </w:r>
      <w:r>
        <w:fldChar w:fldCharType="separate"/>
      </w:r>
      <w:r>
        <w:t>8.2.3.4</w:t>
      </w:r>
      <w:r>
        <w:fldChar w:fldCharType="end"/>
      </w:r>
      <w:r>
        <w:t>) should generally be avoided when citing text in a modern-language context</w:t>
      </w:r>
    </w:p>
    <w:p w14:paraId="60350BC5" w14:textId="28628D99">
      <w:pPr>
        <w:pStyle w:val="Lista"/>
      </w:pPr>
      <w:r>
        <w:t>but when text from an inscription is cited with full editorial markup for the sake of complete accuracy (§</w:t>
      </w:r>
      <w:r>
        <w:fldChar w:fldCharType="begin"/>
      </w:r>
      <w:r>
        <w:instrText xml:space="preserve"> REF _Ref43990337 \r \h </w:instrText>
      </w:r>
      <w:r>
        <w:fldChar w:fldCharType="separate"/>
      </w:r>
      <w:r>
        <w:t>14.1</w:t>
      </w:r>
      <w:r>
        <w:fldChar w:fldCharType="end"/>
      </w:r>
      <w:r>
        <w:t>), then such encoding may also be retained if there is good reason to do so</w:t>
      </w:r>
    </w:p>
    <w:p w14:paraId="6E118058" w14:textId="6CDBB20C">
      <w:pPr>
        <w:pStyle w:val="Lista"/>
      </w:pPr>
      <w:r>
        <w:t>text that was written in the Grantha script in the source may be encoded outside the edition as described in §</w:t>
      </w:r>
      <w:r>
        <w:fldChar w:fldCharType="begin"/>
      </w:r>
      <w:r>
        <w:instrText xml:space="preserve"> REF _Ref233727983 \r \h </w:instrText>
      </w:r>
      <w:r>
        <w:fldChar w:fldCharType="separate"/>
      </w:r>
      <w:r>
        <w:t>14.2.3</w:t>
      </w:r>
      <w:r>
        <w:fldChar w:fldCharType="end"/>
      </w:r>
      <w:r>
        <w:t xml:space="preserve"> </w:t>
      </w:r>
    </w:p>
    <w:p w14:paraId="3075B2DF" w14:textId="77777777">
      <w:pPr>
        <w:pStyle w:val="Cmsor2"/>
      </w:pPr>
      <w:bookmarkStart w:id="982" w:name="_yj9mfyez22i9" w:colFirst="0" w:colLast="0"/>
      <w:bookmarkStart w:id="983" w:name="_Ref43989684"/>
      <w:bookmarkStart w:id="984" w:name="_Toc243922798"/>
      <w:bookmarkEnd w:id="982"/>
      <w:r>
        <w:t>Notes</w:t>
      </w:r>
      <w:bookmarkEnd w:id="983"/>
      <w:bookmarkEnd w:id="984"/>
    </w:p>
    <w:p w14:paraId="2E5BD514" w14:textId="199990BC">
      <w:r>
        <w:t>In DHARMA digital editions, notes — encoded as per §</w:t>
      </w:r>
      <w:r>
        <w:fldChar w:fldCharType="begin"/>
      </w:r>
      <w:r>
        <w:instrText xml:space="preserve"> REF _Ref233729831 \r \h </w:instrText>
      </w:r>
      <w:r>
        <w:fldChar w:fldCharType="separate"/>
      </w:r>
      <w:r>
        <w:t>14.5.1</w:t>
      </w:r>
      <w:r>
        <w:fldChar w:fldCharType="end"/>
      </w:r>
      <w:r>
        <w:t xml:space="preserve"> — may only be used in the apparatus, the translation, the commentary, and the bibliography.</w:t>
      </w:r>
    </w:p>
    <w:p w14:paraId="140A1F5C" w14:textId="7701C26E">
      <w:pPr>
        <w:pStyle w:val="Lista"/>
      </w:pPr>
      <w:r>
        <w:t xml:space="preserve">in the critical apparatus, notes may only appear as the last child element(s) of an </w:t>
      </w:r>
      <w:r>
        <w:rPr>
          <w:rStyle w:val="Code"/>
        </w:rPr>
        <w:t>&lt;app&gt;</w:t>
      </w:r>
      <w:r>
        <w:t xml:space="preserve"> element (§</w:t>
      </w:r>
      <w:r>
        <w:fldChar w:fldCharType="begin"/>
      </w:r>
      <w:r>
        <w:instrText xml:space="preserve"> REF _Ref43988104 \r \h </w:instrText>
      </w:r>
      <w:r>
        <w:fldChar w:fldCharType="separate"/>
      </w:r>
      <w:r>
        <w:t>10.7</w:t>
      </w:r>
      <w:r>
        <w:fldChar w:fldCharType="end"/>
      </w:r>
      <w:r>
        <w:t>), but not at any other place, for instance within the lemma or a particular reading</w:t>
      </w:r>
    </w:p>
    <w:p w14:paraId="6361BDA6" w14:textId="4DB8B301">
      <w:pPr>
        <w:pStyle w:val="Lista"/>
      </w:pPr>
      <w:r>
        <w:t>in the structured bibliographies (§</w:t>
      </w:r>
      <w:r>
        <w:fldChar w:fldCharType="begin"/>
      </w:r>
      <w:r>
        <w:instrText xml:space="preserve"> REF _Ref63676627 \r \h </w:instrText>
      </w:r>
      <w:r>
        <w:fldChar w:fldCharType="separate"/>
      </w:r>
      <w:r>
        <w:t>13.3</w:t>
      </w:r>
      <w:r>
        <w:fldChar w:fldCharType="end"/>
      </w:r>
      <w:r>
        <w:t xml:space="preserve">), notes may only appear as the last child element of a </w:t>
      </w:r>
      <w:r>
        <w:rPr>
          <w:rStyle w:val="Code"/>
        </w:rPr>
        <w:t>&lt;bibl&gt;</w:t>
      </w:r>
      <w:r>
        <w:t xml:space="preserve"> element, but not at any other place, for instance before a </w:t>
      </w:r>
      <w:r>
        <w:rPr>
          <w:rStyle w:val="Code"/>
        </w:rPr>
        <w:t>&lt;citedRange&gt;</w:t>
      </w:r>
      <w:r>
        <w:t xml:space="preserve"> element or between </w:t>
      </w:r>
      <w:r>
        <w:rPr>
          <w:rStyle w:val="Code"/>
        </w:rPr>
        <w:t>&lt;bibl&gt;</w:t>
      </w:r>
      <w:r>
        <w:t xml:space="preserve"> elements</w:t>
      </w:r>
    </w:p>
    <w:p w14:paraId="37B5701B" w14:textId="77777777">
      <w:pPr>
        <w:pStyle w:val="Lista"/>
      </w:pPr>
      <w:r>
        <w:t>elsewhere, i.e. in the translation, the commentary and the epigraphic lemma, notes may appear at any point where free text is permitted</w:t>
      </w:r>
    </w:p>
    <w:p w14:paraId="469A9DBD" w14:textId="77777777">
      <w:pPr>
        <w:pStyle w:val="Cmsor3"/>
      </w:pPr>
      <w:bookmarkStart w:id="985" w:name="_Ref233729831"/>
      <w:bookmarkStart w:id="986" w:name="_Toc243922799"/>
      <w:r>
        <w:t>Encoding notes</w:t>
      </w:r>
      <w:bookmarkEnd w:id="985"/>
      <w:bookmarkEnd w:id="986"/>
    </w:p>
    <w:p w14:paraId="34A24503" w14:textId="77777777">
      <w:pPr>
        <w:pStyle w:val="Lista"/>
      </w:pPr>
      <w:r>
        <w:t xml:space="preserve">to create a note, add the element </w:t>
      </w:r>
      <w:r>
        <w:rPr>
          <w:rStyle w:val="Code"/>
        </w:rPr>
        <w:t>&lt;note&gt;</w:t>
      </w:r>
      <w:r>
        <w:t xml:space="preserve"> at the point where the note should be anchored</w:t>
      </w:r>
    </w:p>
    <w:p w14:paraId="503E4667" w14:textId="4D43B8B1">
      <w:pPr>
        <w:pStyle w:val="Lista2"/>
      </w:pPr>
      <w:r>
        <w:t xml:space="preserve">as applicable, the attributes </w:t>
      </w:r>
      <w:r>
        <w:rPr>
          <w:rStyle w:val="Codeattribute"/>
        </w:rPr>
        <w:t>@resp</w:t>
      </w:r>
      <w:r>
        <w:t xml:space="preserve"> or </w:t>
      </w:r>
      <w:r>
        <w:rPr>
          <w:rStyle w:val="Codeattribute"/>
        </w:rPr>
        <w:t>@source</w:t>
      </w:r>
      <w:r>
        <w:t xml:space="preserve"> may be added to this element to encode the authorship of a note as per §</w:t>
      </w:r>
      <w:r>
        <w:fldChar w:fldCharType="begin"/>
      </w:r>
      <w:r>
        <w:instrText xml:space="preserve"> REF _Ref233730339 \r \h </w:instrText>
      </w:r>
      <w:r>
        <w:fldChar w:fldCharType="separate"/>
      </w:r>
      <w:r>
        <w:t>14.5.1.1</w:t>
      </w:r>
      <w:r>
        <w:fldChar w:fldCharType="end"/>
      </w:r>
    </w:p>
    <w:p w14:paraId="001FADBF" w14:textId="3F8A06EF">
      <w:pPr>
        <w:pStyle w:val="Lista2"/>
      </w:pPr>
      <w:r>
        <w:t>this element may contain text as well as markup as described in §</w:t>
      </w:r>
      <w:r>
        <w:fldChar w:fldCharType="begin"/>
      </w:r>
      <w:r>
        <w:instrText xml:space="preserve"> REF _Ref233731527 \r \h </w:instrText>
      </w:r>
      <w:r>
        <w:fldChar w:fldCharType="separate"/>
      </w:r>
      <w:r>
        <w:t>14.5.2</w:t>
      </w:r>
      <w:r>
        <w:fldChar w:fldCharType="end"/>
      </w:r>
    </w:p>
    <w:p w14:paraId="5A592112" w14:textId="77777777">
      <w:pPr>
        <w:pStyle w:val="Lista"/>
      </w:pPr>
      <w:r>
        <w:rPr>
          <w:rStyle w:val="Code"/>
        </w:rPr>
        <w:t>&lt;note&gt;</w:t>
      </w:r>
      <w:r>
        <w:t xml:space="preserve"> elements must always be within the structural containers applicable to the division, i.e. within </w:t>
      </w:r>
      <w:r>
        <w:rPr>
          <w:rStyle w:val="Code"/>
        </w:rPr>
        <w:t>&lt;p&gt;</w:t>
      </w:r>
      <w:r>
        <w:t xml:space="preserve"> in a translation or commentary, within </w:t>
      </w:r>
      <w:r>
        <w:rPr>
          <w:rStyle w:val="Code"/>
        </w:rPr>
        <w:t>&lt;app&gt;</w:t>
      </w:r>
      <w:r>
        <w:t xml:space="preserve"> in the apparatus, and within </w:t>
      </w:r>
      <w:r>
        <w:rPr>
          <w:rStyle w:val="Code"/>
        </w:rPr>
        <w:t>&lt;bibl&gt;</w:t>
      </w:r>
      <w:r>
        <w:t xml:space="preserve"> in the structured bibliography</w:t>
      </w:r>
    </w:p>
    <w:p w14:paraId="2856A195" w14:textId="77777777">
      <w:pPr>
        <w:pStyle w:val="Lista2"/>
      </w:pPr>
      <w:r>
        <w:t xml:space="preserve">in freeform text </w:t>
      </w:r>
      <w:r>
        <w:rPr>
          <w:noProof/>
        </w:rPr>
        <w:t>(</w:t>
      </w:r>
      <w:r>
        <w:t xml:space="preserve">i.e. in a translation or commentary), place the </w:t>
      </w:r>
      <w:r>
        <w:rPr>
          <w:rStyle w:val="Code"/>
        </w:rPr>
        <w:t>&lt;note&gt;</w:t>
      </w:r>
      <w:r>
        <w:t xml:space="preserve"> element after any adjacent punctuation mark, not before it</w:t>
      </w:r>
    </w:p>
    <w:p w14:paraId="1E81A487" w14:textId="77777777">
      <w:pPr>
        <w:pStyle w:val="Lista2"/>
      </w:pPr>
      <w:r>
        <w:t xml:space="preserve">when attaching a note to text tagged with another element (e.g. </w:t>
      </w:r>
      <w:r>
        <w:rPr>
          <w:rStyle w:val="Code"/>
        </w:rPr>
        <w:t>&lt;foreign&gt;</w:t>
      </w:r>
      <w:r>
        <w:t>), put the note after the end-tag of the other element</w:t>
      </w:r>
    </w:p>
    <w:p w14:paraId="6E9188E3" w14:textId="77777777">
      <w:pPr>
        <w:pStyle w:val="Lista3"/>
      </w:pPr>
      <w:r>
        <w:t xml:space="preserve">this also applies to bibliographic citations other than those in the structured bibliographies: if you wish to attach a note to a bibliographic citation amid free text, place the </w:t>
      </w:r>
      <w:r>
        <w:rPr>
          <w:rStyle w:val="Code"/>
        </w:rPr>
        <w:t>&lt;note&gt;</w:t>
      </w:r>
      <w:r>
        <w:t xml:space="preserve"> element after the end-tag </w:t>
      </w:r>
      <w:r>
        <w:rPr>
          <w:rStyle w:val="Code"/>
        </w:rPr>
        <w:t>&lt;/bibl&gt;</w:t>
      </w:r>
    </w:p>
    <w:p w14:paraId="603D4EFE" w14:textId="77777777">
      <w:pPr>
        <w:pStyle w:val="Cmsor4"/>
      </w:pPr>
      <w:bookmarkStart w:id="987" w:name="_Ref233730339"/>
      <w:r>
        <w:lastRenderedPageBreak/>
        <w:t>The authorship of notes</w:t>
      </w:r>
      <w:bookmarkEnd w:id="987"/>
    </w:p>
    <w:p w14:paraId="2B0C6115" w14:textId="2E4C7ED4">
      <w:pPr>
        <w:rPr>
          <w:lang w:eastAsia="en-US" w:bidi="ar-SA"/>
        </w:rPr>
      </w:pPr>
      <w:r>
        <w:rPr>
          <w:lang w:eastAsia="en-US" w:bidi="ar-SA"/>
        </w:rPr>
        <w:t>The author of a note is by default understood to be the same person as the author of the note’s ancestor element. Thus, a note in the apparatus, commentary or bibliography is understood to be the product of the edition’s author(s) encoded in the responsibility statement (§</w:t>
      </w:r>
      <w:r>
        <w:rPr>
          <w:lang w:eastAsia="en-US" w:bidi="ar-SA"/>
        </w:rPr>
        <w:fldChar w:fldCharType="begin"/>
      </w:r>
      <w:r>
        <w:rPr>
          <w:lang w:eastAsia="en-US" w:bidi="ar-SA"/>
        </w:rPr>
        <w:instrText xml:space="preserve"> REF _Ref43990001 \r \h </w:instrText>
      </w:r>
      <w:r>
        <w:rPr>
          <w:lang w:eastAsia="en-US" w:bidi="ar-SA"/>
        </w:rPr>
      </w:r>
      <w:r>
        <w:rPr>
          <w:lang w:eastAsia="en-US" w:bidi="ar-SA"/>
        </w:rPr>
        <w:fldChar w:fldCharType="separate"/>
      </w:r>
      <w:r>
        <w:rPr>
          <w:lang w:eastAsia="en-US" w:bidi="ar-SA"/>
        </w:rPr>
        <w:t>15.1.2</w:t>
      </w:r>
      <w:r>
        <w:rPr>
          <w:lang w:eastAsia="en-US" w:bidi="ar-SA"/>
        </w:rPr>
        <w:fldChar w:fldCharType="end"/>
      </w:r>
      <w:r>
        <w:rPr>
          <w:lang w:eastAsia="en-US" w:bidi="ar-SA"/>
        </w:rPr>
        <w:t>), while a note in the translation is understood to be the product of the author encoded on the translation division (§</w:t>
      </w:r>
      <w:r>
        <w:rPr>
          <w:lang w:eastAsia="en-US" w:bidi="ar-SA"/>
        </w:rPr>
        <w:fldChar w:fldCharType="begin"/>
      </w:r>
      <w:r>
        <w:rPr>
          <w:lang w:eastAsia="en-US" w:bidi="ar-SA"/>
        </w:rPr>
        <w:instrText xml:space="preserve"> REF _Ref233276652 \r \h </w:instrText>
      </w:r>
      <w:r>
        <w:rPr>
          <w:lang w:eastAsia="en-US" w:bidi="ar-SA"/>
        </w:rPr>
      </w:r>
      <w:r>
        <w:rPr>
          <w:lang w:eastAsia="en-US" w:bidi="ar-SA"/>
        </w:rPr>
        <w:fldChar w:fldCharType="separate"/>
      </w:r>
      <w:r>
        <w:rPr>
          <w:lang w:eastAsia="en-US" w:bidi="ar-SA"/>
        </w:rPr>
        <w:t>11.1.2</w:t>
      </w:r>
      <w:r>
        <w:rPr>
          <w:lang w:eastAsia="en-US" w:bidi="ar-SA"/>
        </w:rPr>
        <w:fldChar w:fldCharType="end"/>
      </w:r>
      <w:r>
        <w:rPr>
          <w:lang w:eastAsia="en-US" w:bidi="ar-SA"/>
        </w:rPr>
        <w:t>). When a note from another person is adopted verbatim, this shall be encoded as follows.</w:t>
      </w:r>
    </w:p>
    <w:p w14:paraId="14F5314E" w14:textId="6F3993BC">
      <w:pPr>
        <w:pStyle w:val="Lista"/>
      </w:pPr>
      <w:r>
        <w:t xml:space="preserve">to attribute a note to a DHARMA contributor, use </w:t>
      </w:r>
      <w:r>
        <w:rPr>
          <w:rStyle w:val="Codeattribute"/>
        </w:rPr>
        <w:t>@resp</w:t>
      </w:r>
      <w:r>
        <w:t xml:space="preserve"> </w:t>
      </w:r>
      <w:r>
        <w:rPr>
          <w:noProof/>
        </w:rPr>
        <w:t>(</w:t>
      </w:r>
      <w:r>
        <w:t>§</w:t>
      </w:r>
      <w:r>
        <w:fldChar w:fldCharType="begin"/>
      </w:r>
      <w:r>
        <w:instrText xml:space="preserve"> REF _Ref43989765 \w \h  \* MERGEFORMAT </w:instrText>
      </w:r>
      <w:r>
        <w:fldChar w:fldCharType="separate"/>
      </w:r>
      <w:r>
        <w:t>14.6.5</w:t>
      </w:r>
      <w:r>
        <w:fldChar w:fldCharType="end"/>
      </w:r>
      <w:r>
        <w:t>) on the note</w:t>
      </w:r>
    </w:p>
    <w:p w14:paraId="1D714C8A" w14:textId="18D9C15B">
      <w:pPr>
        <w:pStyle w:val="Lista"/>
      </w:pPr>
      <w:r>
        <w:t xml:space="preserve">to attribute a note to a publication, use </w:t>
      </w:r>
      <w:r>
        <w:rPr>
          <w:rStyle w:val="Codeattribute"/>
        </w:rPr>
        <w:t>@source</w:t>
      </w:r>
      <w:r>
        <w:t xml:space="preserve"> </w:t>
      </w:r>
      <w:r>
        <w:rPr>
          <w:noProof/>
        </w:rPr>
        <w:t>(</w:t>
      </w:r>
      <w:r>
        <w:t>§</w:t>
      </w:r>
      <w:r>
        <w:fldChar w:fldCharType="begin"/>
      </w:r>
      <w:r>
        <w:instrText xml:space="preserve"> REF _Ref43989551 \w \h  \* MERGEFORMAT </w:instrText>
      </w:r>
      <w:r>
        <w:fldChar w:fldCharType="separate"/>
      </w:r>
      <w:r>
        <w:t>14.6.2</w:t>
      </w:r>
      <w:r>
        <w:fldChar w:fldCharType="end"/>
      </w:r>
      <w:r>
        <w:t>) on the note</w:t>
      </w:r>
    </w:p>
    <w:p w14:paraId="1E91FD63" w14:textId="77777777">
      <w:pPr>
        <w:pStyle w:val="Lista"/>
      </w:pPr>
      <w:r>
        <w:t>paraphrased notes are regarded as the product of the person doing the paraphrasing and must not be attributed in this manner</w:t>
      </w:r>
    </w:p>
    <w:p w14:paraId="61B27BBB" w14:textId="22CF363A">
      <w:pPr>
        <w:pStyle w:val="Lista2"/>
      </w:pPr>
      <w:r>
        <w:t xml:space="preserve">the author of the original note shall be credited by including a regular citation </w:t>
      </w:r>
      <w:r>
        <w:rPr>
          <w:noProof/>
        </w:rPr>
        <w:t>(</w:t>
      </w:r>
      <w:r>
        <w:t>§</w:t>
      </w:r>
      <w:r>
        <w:fldChar w:fldCharType="begin"/>
      </w:r>
      <w:r>
        <w:instrText xml:space="preserve"> REF _Ref233877601 \r \h </w:instrText>
      </w:r>
      <w:r>
        <w:fldChar w:fldCharType="separate"/>
      </w:r>
      <w:r>
        <w:t>14.6.1</w:t>
      </w:r>
      <w:r>
        <w:fldChar w:fldCharType="end"/>
      </w:r>
      <w:r>
        <w:t>) in the paraphrase or, if the reference is obvious from the context, simply by referring to the original author by name</w:t>
      </w:r>
    </w:p>
    <w:p w14:paraId="17419AB0" w14:textId="77777777">
      <w:pPr>
        <w:pStyle w:val="Cmsor3"/>
      </w:pPr>
      <w:bookmarkStart w:id="988" w:name="_Ref233731527"/>
      <w:bookmarkStart w:id="989" w:name="_Toc243922800"/>
      <w:r>
        <w:t>The content of notes</w:t>
      </w:r>
      <w:bookmarkEnd w:id="988"/>
      <w:bookmarkEnd w:id="989"/>
    </w:p>
    <w:p w14:paraId="4AD81F0A" w14:textId="77777777">
      <w:pPr>
        <w:pStyle w:val="Lista"/>
      </w:pPr>
      <w:r>
        <w:t>notes shall be written as freeform text, preferably consisting of complete sentences in English, starting with a capital letter and ending with punctuation</w:t>
      </w:r>
    </w:p>
    <w:p w14:paraId="602B98F3" w14:textId="3B34252A">
      <w:pPr>
        <w:pStyle w:val="Lista"/>
      </w:pPr>
      <w:r>
        <w:t>in general, notes may contain globally available encoding (§</w:t>
      </w:r>
      <w:r>
        <w:fldChar w:fldCharType="begin"/>
      </w:r>
      <w:r>
        <w:instrText xml:space="preserve"> REF _Ref43990225 \r \h </w:instrText>
      </w:r>
      <w:r>
        <w:fldChar w:fldCharType="separate"/>
      </w:r>
      <w:r>
        <w:t>14</w:t>
      </w:r>
      <w:r>
        <w:fldChar w:fldCharType="end"/>
      </w:r>
      <w:r>
        <w:t>) as and when applicable</w:t>
      </w:r>
    </w:p>
    <w:p w14:paraId="039785B6" w14:textId="77777777">
      <w:pPr>
        <w:pStyle w:val="Lista2"/>
      </w:pPr>
      <w:r>
        <w:t>in particular, proper encoding must be applied within notes to</w:t>
      </w:r>
    </w:p>
    <w:p w14:paraId="66F14C04" w14:textId="605793A6">
      <w:pPr>
        <w:pStyle w:val="Lista3"/>
      </w:pPr>
      <w:r>
        <w:t>bibliographic citations (§</w:t>
      </w:r>
      <w:r>
        <w:fldChar w:fldCharType="begin"/>
      </w:r>
      <w:r>
        <w:instrText xml:space="preserve"> REF _Ref233877601 \r \h </w:instrText>
      </w:r>
      <w:r>
        <w:fldChar w:fldCharType="separate"/>
      </w:r>
      <w:r>
        <w:t>14.6.1</w:t>
      </w:r>
      <w:r>
        <w:fldChar w:fldCharType="end"/>
      </w:r>
      <w:r>
        <w:t>), which should be present wherever you refer to a published opinion</w:t>
      </w:r>
    </w:p>
    <w:p w14:paraId="51FE186F" w14:textId="0EC58AEA">
      <w:pPr>
        <w:pStyle w:val="Lista3"/>
      </w:pPr>
      <w:r>
        <w:rPr>
          <w:rStyle w:val="Code"/>
        </w:rPr>
        <w:t>&lt;foreign&gt;</w:t>
      </w:r>
      <w:r>
        <w:t xml:space="preserve"> markup (§</w:t>
      </w:r>
      <w:r>
        <w:fldChar w:fldCharType="begin"/>
      </w:r>
      <w:r>
        <w:instrText xml:space="preserve"> REF _Ref43986658 \r \h </w:instrText>
      </w:r>
      <w:r>
        <w:fldChar w:fldCharType="separate"/>
      </w:r>
      <w:r>
        <w:t>14.4.2</w:t>
      </w:r>
      <w:r>
        <w:fldChar w:fldCharType="end"/>
      </w:r>
      <w:r>
        <w:t>) for text in a source language</w:t>
      </w:r>
    </w:p>
    <w:p w14:paraId="1BFC3225" w14:textId="77482354">
      <w:pPr>
        <w:pStyle w:val="Lista2"/>
      </w:pPr>
      <w:r>
        <w:t>while notes should generally be kept reasonably short and simple, long and complicated notes can and should be divided up using block-level containers (§</w:t>
      </w:r>
      <w:r>
        <w:fldChar w:fldCharType="begin"/>
      </w:r>
      <w:r>
        <w:instrText xml:space="preserve"> REF _Ref233789547 \r \h </w:instrText>
      </w:r>
      <w:r>
        <w:fldChar w:fldCharType="separate"/>
      </w:r>
      <w:r>
        <w:t>14.3</w:t>
      </w:r>
      <w:r>
        <w:fldChar w:fldCharType="end"/>
      </w:r>
      <w:r>
        <w:t>)</w:t>
      </w:r>
    </w:p>
    <w:p w14:paraId="351C646C" w14:textId="77777777">
      <w:pPr>
        <w:pStyle w:val="Lista3"/>
      </w:pPr>
      <w:r>
        <w:t>except apparatus notes, which (because they will be rendered for display as inline parts of apparatus entries) must not contain block-level containers</w:t>
      </w:r>
    </w:p>
    <w:p w14:paraId="1D4558CE" w14:textId="77777777">
      <w:pPr>
        <w:pStyle w:val="Lista"/>
      </w:pPr>
      <w:r>
        <w:t xml:space="preserve">in order to avoid complications in display, processing and interpretability, a </w:t>
      </w:r>
      <w:r>
        <w:rPr>
          <w:rStyle w:val="Code"/>
        </w:rPr>
        <w:t>&lt;note&gt;</w:t>
      </w:r>
      <w:r>
        <w:t xml:space="preserve"> element must never contain another </w:t>
      </w:r>
      <w:r>
        <w:rPr>
          <w:rStyle w:val="Code"/>
        </w:rPr>
        <w:t>&lt;note&gt;</w:t>
      </w:r>
      <w:r>
        <w:t xml:space="preserve"> element</w:t>
      </w:r>
    </w:p>
    <w:p w14:paraId="086C9AF3" w14:textId="77777777">
      <w:pPr>
        <w:pStyle w:val="Cmsor2"/>
      </w:pPr>
      <w:bookmarkStart w:id="990" w:name="_Toc243922801"/>
      <w:r>
        <w:t>Citation, quotation and reference</w:t>
      </w:r>
      <w:bookmarkEnd w:id="990"/>
    </w:p>
    <w:p w14:paraId="49811406" w14:textId="77777777">
      <w:pPr>
        <w:pStyle w:val="Cmsor3"/>
      </w:pPr>
      <w:bookmarkStart w:id="991" w:name="_Ref233877601"/>
      <w:bookmarkStart w:id="992" w:name="_Toc243922802"/>
      <w:r>
        <w:t>Encoding bibliographic citations</w:t>
      </w:r>
      <w:bookmarkEnd w:id="991"/>
      <w:bookmarkEnd w:id="992"/>
    </w:p>
    <w:p w14:paraId="77EA0969" w14:textId="77777777">
      <w:r>
        <w:t xml:space="preserve">References to any published work shall be encoded as machine-interpretable citations using the element </w:t>
      </w:r>
      <w:r>
        <w:rPr>
          <w:rStyle w:val="Code"/>
        </w:rPr>
        <w:t>&lt;bibl&gt;</w:t>
      </w:r>
      <w:r>
        <w:t>. This encoding is available in any part of your XML document where free modern-language text is permitted.</w:t>
      </w:r>
    </w:p>
    <w:p w14:paraId="6877FC2D" w14:textId="3302B1BD">
      <w:pPr>
        <w:pStyle w:val="Lista"/>
      </w:pPr>
      <w:r>
        <w:t xml:space="preserve">a citation is encoded in the form of the element </w:t>
      </w:r>
      <w:r>
        <w:rPr>
          <w:rStyle w:val="Code"/>
        </w:rPr>
        <w:t>&lt;bibl&gt;</w:t>
      </w:r>
      <w:r>
        <w:t xml:space="preserve"> as illustrated in </w:t>
      </w:r>
      <w:r>
        <w:fldChar w:fldCharType="begin"/>
      </w:r>
      <w:r>
        <w:instrText xml:space="preserve"> REF _Ref233799826 \h </w:instrText>
      </w:r>
      <w:r>
        <w:fldChar w:fldCharType="separate"/>
      </w:r>
      <w:r>
        <w:t xml:space="preserve">Exhibit </w:t>
      </w:r>
      <w:r>
        <w:rPr>
          <w:noProof/>
        </w:rPr>
        <w:t>14.6</w:t>
      </w:r>
      <w:r>
        <w:t>.</w:t>
      </w:r>
      <w:r>
        <w:rPr>
          <w:noProof/>
        </w:rPr>
        <w:t>A</w:t>
      </w:r>
      <w:r>
        <w:fldChar w:fldCharType="end"/>
      </w:r>
    </w:p>
    <w:p w14:paraId="5E122E13" w14:textId="77777777">
      <w:pPr>
        <w:pStyle w:val="Lista2"/>
      </w:pPr>
      <w:r>
        <w:t xml:space="preserve">either without attributes </w:t>
      </w:r>
    </w:p>
    <w:p w14:paraId="7A7E8609" w14:textId="2B283A8C">
      <w:pPr>
        <w:pStyle w:val="Lista2"/>
      </w:pPr>
      <w:r>
        <w:t xml:space="preserve">or, if applicable, with </w:t>
      </w:r>
      <w:r>
        <w:rPr>
          <w:rStyle w:val="Codeattribute"/>
        </w:rPr>
        <w:t>@rend</w:t>
      </w:r>
      <w:r>
        <w:t xml:space="preserve"> taking values as per §</w:t>
      </w:r>
      <w:r>
        <w:fldChar w:fldCharType="begin"/>
      </w:r>
      <w:r>
        <w:instrText xml:space="preserve"> REF _Ref233818238 \r \h </w:instrText>
      </w:r>
      <w:r>
        <w:fldChar w:fldCharType="separate"/>
      </w:r>
      <w:r>
        <w:t>14.6.1.6</w:t>
      </w:r>
      <w:r>
        <w:fldChar w:fldCharType="end"/>
      </w:r>
      <w:r>
        <w:t xml:space="preserve"> to hide the name of the author and/or to display the citation as “ibid.”</w:t>
      </w:r>
    </w:p>
    <w:p w14:paraId="62E90021" w14:textId="77777777">
      <w:pPr>
        <w:pStyle w:val="Lista"/>
      </w:pPr>
      <w:r>
        <w:rPr>
          <w:rStyle w:val="Code"/>
        </w:rPr>
        <w:t>&lt;bibl&gt;</w:t>
      </w:r>
      <w:r>
        <w:t xml:space="preserve"> must mandatorily contain the empty element </w:t>
      </w:r>
      <w:r>
        <w:rPr>
          <w:rStyle w:val="Code"/>
        </w:rPr>
        <w:t>&lt;ptr/&gt;</w:t>
      </w:r>
      <w:r>
        <w:t xml:space="preserve"> </w:t>
      </w:r>
      <w:r>
        <w:rPr>
          <w:noProof/>
        </w:rPr>
        <w:t>(for “</w:t>
      </w:r>
      <w:r>
        <w:t xml:space="preserve">pointer”) as its first child, with the mandatory attribute </w:t>
      </w:r>
      <w:r>
        <w:rPr>
          <w:rStyle w:val="Codeattribute"/>
        </w:rPr>
        <w:t>@target</w:t>
      </w:r>
    </w:p>
    <w:p w14:paraId="1FB6CB61" w14:textId="77777777">
      <w:pPr>
        <w:pStyle w:val="Lista2"/>
      </w:pPr>
      <w:r>
        <w:t xml:space="preserve">the value of this attribute shall be the Zotero Short Title (ZG §4.10) of the cited publication, prefixed with the string </w:t>
      </w:r>
      <w:r>
        <w:rPr>
          <w:rStyle w:val="Codevalue"/>
        </w:rPr>
        <w:t>bib:</w:t>
      </w:r>
    </w:p>
    <w:p w14:paraId="42A51677" w14:textId="77777777">
      <w:pPr>
        <w:pStyle w:val="Lista"/>
      </w:pPr>
      <w:r>
        <w:t xml:space="preserve">as applicable, </w:t>
      </w:r>
      <w:r>
        <w:rPr>
          <w:rStyle w:val="Code"/>
        </w:rPr>
        <w:t>&lt;bibl&gt;</w:t>
      </w:r>
      <w:r>
        <w:t xml:space="preserve"> may contain the element </w:t>
      </w:r>
      <w:r>
        <w:rPr>
          <w:rStyle w:val="Code"/>
        </w:rPr>
        <w:t>&lt;citedRange&gt;</w:t>
      </w:r>
      <w:r>
        <w:t xml:space="preserve"> as its second child, to limit the citation to a specific part of the publication</w:t>
      </w:r>
    </w:p>
    <w:p w14:paraId="525B9EFB" w14:textId="57821080">
      <w:pPr>
        <w:pStyle w:val="Lista2"/>
      </w:pPr>
      <w:r>
        <w:t>using page numbers as set out in §</w:t>
      </w:r>
      <w:r>
        <w:fldChar w:fldCharType="begin"/>
      </w:r>
      <w:r>
        <w:instrText xml:space="preserve"> REF _Ref233811140 \r \h </w:instrText>
      </w:r>
      <w:r>
        <w:fldChar w:fldCharType="separate"/>
      </w:r>
      <w:r>
        <w:t>14.6.1.1</w:t>
      </w:r>
      <w:r>
        <w:fldChar w:fldCharType="end"/>
      </w:r>
    </w:p>
    <w:p w14:paraId="1FEEF587" w14:textId="77777777">
      <w:pPr>
        <w:pStyle w:val="Lista3"/>
      </w:pPr>
      <w:r>
        <w:t>this is the typical mode for making a citation specific</w:t>
      </w:r>
    </w:p>
    <w:p w14:paraId="2D4DF690" w14:textId="62C9E88B">
      <w:pPr>
        <w:pStyle w:val="Lista2"/>
      </w:pPr>
      <w:r>
        <w:t>using other units of reference as set out in §</w:t>
      </w:r>
      <w:r>
        <w:fldChar w:fldCharType="begin"/>
      </w:r>
      <w:r>
        <w:instrText xml:space="preserve"> REF _Ref233811283 \r \h </w:instrText>
      </w:r>
      <w:r>
        <w:fldChar w:fldCharType="separate"/>
      </w:r>
      <w:r>
        <w:t>14.6.1.2</w:t>
      </w:r>
      <w:r>
        <w:fldChar w:fldCharType="end"/>
      </w:r>
    </w:p>
    <w:p w14:paraId="22F8C6D5" w14:textId="77777777">
      <w:pPr>
        <w:pStyle w:val="Lista3"/>
      </w:pPr>
      <w:r>
        <w:t>this mode is chiefly for references that, by general scholarly convention, do not include a page range, such as dictionary entries, sections from grammars, and some anthologies of inscriptions</w:t>
      </w:r>
    </w:p>
    <w:p w14:paraId="3CF0AF06" w14:textId="2F636E21">
      <w:pPr>
        <w:pStyle w:val="Lista3"/>
      </w:pPr>
      <w:r>
        <w:t>a combination of different reference units may be encoded as set out in §</w:t>
      </w:r>
      <w:r>
        <w:fldChar w:fldCharType="begin"/>
      </w:r>
      <w:r>
        <w:instrText xml:space="preserve"> REF _Ref233811301 \r \h </w:instrText>
      </w:r>
      <w:r>
        <w:fldChar w:fldCharType="separate"/>
      </w:r>
      <w:r>
        <w:t>14.6.1.4</w:t>
      </w:r>
      <w:r>
        <w:fldChar w:fldCharType="end"/>
      </w:r>
    </w:p>
    <w:p w14:paraId="78774441" w14:textId="4423B2A7">
      <w:pPr>
        <w:pStyle w:val="Lista2"/>
      </w:pPr>
      <w:r>
        <w:lastRenderedPageBreak/>
        <w:t>using a freestyle specification as set out in §</w:t>
      </w:r>
      <w:r>
        <w:fldChar w:fldCharType="begin"/>
      </w:r>
      <w:r>
        <w:instrText xml:space="preserve"> REF _Ref233811324 \r \h </w:instrText>
      </w:r>
      <w:r>
        <w:fldChar w:fldCharType="separate"/>
      </w:r>
      <w:r>
        <w:t>14.6.1.5</w:t>
      </w:r>
      <w:r>
        <w:fldChar w:fldCharType="end"/>
      </w:r>
    </w:p>
    <w:p w14:paraId="128271F8" w14:textId="77777777">
      <w:pPr>
        <w:pStyle w:val="Lista3"/>
      </w:pPr>
      <w:r>
        <w:t>this mode is for highly complex details that cannot be fitted to the constraints of the above modes</w:t>
      </w:r>
    </w:p>
    <w:p w14:paraId="315AF06A" w14:textId="77777777">
      <w:pPr>
        <w:pStyle w:val="Lista2"/>
      </w:pPr>
      <w:r>
        <w:t>encoding the specifics of the cited locus or range in this way is generally mandatory unless you are citing a publication as a whole</w:t>
      </w:r>
    </w:p>
    <w:p w14:paraId="2BC6C6FB" w14:textId="0ADBC27C">
      <w:pPr>
        <w:pStyle w:val="Lista3"/>
      </w:pPr>
      <w:r>
        <w:t>however, when referring to an entire publication that is part of a volume (such as a journal article or book chapter), the page range for the whole publication need not and must not be encoded, as the range for such a publication as a whole is already featured in the relevant Zotero entry</w:t>
      </w:r>
    </w:p>
    <w:tbl>
      <w:tblPr>
        <w:tblStyle w:val="CodeSampleTable"/>
        <w:tblW w:w="5000" w:type="pct"/>
        <w:tblLook w:val="04A0" w:firstRow="1" w:lastRow="0" w:firstColumn="1" w:lastColumn="0" w:noHBand="0" w:noVBand="1"/>
      </w:tblPr>
      <w:tblGrid>
        <w:gridCol w:w="9628"/>
      </w:tblGrid>
      <w:tr w14:paraId="50302CA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3CC5045" w14:textId="3B3E0545">
            <w:pPr>
              <w:pStyle w:val="Kpalrs"/>
            </w:pPr>
            <w:bookmarkStart w:id="993" w:name="_Ref233799826"/>
            <w:r>
              <w:t xml:space="preserve">Exhibit </w:t>
            </w:r>
            <w:fldSimple w:instr=" STYLEREF 2 \s ">
              <w:r>
                <w:rPr>
                  <w:noProof/>
                </w:rPr>
                <w:t>14.6</w:t>
              </w:r>
            </w:fldSimple>
            <w:r>
              <w:t>.</w:t>
            </w:r>
            <w:fldSimple w:instr=" SEQ Exhibit \* ALPHABETIC \s 2 ">
              <w:r>
                <w:rPr>
                  <w:noProof/>
                </w:rPr>
                <w:t>A</w:t>
              </w:r>
            </w:fldSimple>
            <w:bookmarkEnd w:id="993"/>
            <w:r>
              <w:t>: encoding a basic citation</w:t>
            </w:r>
          </w:p>
        </w:tc>
      </w:tr>
      <w:tr w14:paraId="12771C8E" w14:textId="77777777">
        <w:tc>
          <w:tcPr>
            <w:tcW w:w="5000" w:type="pct"/>
          </w:tcPr>
          <w:p w14:paraId="632EB8DF" w14:textId="77777777">
            <w:pPr>
              <w:pStyle w:val="TableNote"/>
              <w:keepNext/>
            </w:pPr>
            <w:r>
              <w:t>Agrawala 1983</w:t>
            </w:r>
          </w:p>
        </w:tc>
      </w:tr>
      <w:tr w14:paraId="55337E79" w14:textId="77777777">
        <w:tc>
          <w:tcPr>
            <w:tcW w:w="5000" w:type="pct"/>
          </w:tcPr>
          <w:p w14:paraId="7E8F2962" w14:textId="77777777">
            <w:pPr>
              <w:pStyle w:val="CodeParagraph"/>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"bib:Agrawala1983_01"</w:t>
            </w:r>
            <w:r>
              <w:rPr>
                <w:rStyle w:val="Code"/>
              </w:rPr>
              <w:t>/&gt;</w:t>
            </w:r>
            <w:r>
              <w:rPr>
                <w:rStyle w:val="Codetext"/>
              </w:rPr>
              <w:br/>
            </w:r>
            <w:r>
              <w:rPr>
                <w:rStyle w:val="Code"/>
              </w:rPr>
              <w:t>&lt;/bibl&gt;</w:t>
            </w:r>
          </w:p>
        </w:tc>
      </w:tr>
    </w:tbl>
    <w:p w14:paraId="7DEE1511" w14:textId="77777777">
      <w:pPr>
        <w:pStyle w:val="Cmsor4"/>
      </w:pPr>
      <w:bookmarkStart w:id="994" w:name="_Ref233811140"/>
      <w:r>
        <w:t>Specifying page numbers</w:t>
      </w:r>
      <w:bookmarkEnd w:id="994"/>
    </w:p>
    <w:p w14:paraId="31AB2117" w14:textId="4051265D">
      <w:r>
        <w:t xml:space="preserve">Since </w:t>
      </w:r>
      <w:r>
        <w:rPr>
          <w:rStyle w:val="Code"/>
        </w:rPr>
        <w:t>&lt;citedRange&gt;</w:t>
      </w:r>
      <w:r>
        <w:t xml:space="preserve"> will be understood by default to refer to page numbers, no further code is needed for creating references to pages unless they are combined with other units of reference as per §</w:t>
      </w:r>
      <w:r>
        <w:fldChar w:fldCharType="begin"/>
      </w:r>
      <w:r>
        <w:instrText xml:space="preserve"> REF _Ref233812949 \r \h </w:instrText>
      </w:r>
      <w:r>
        <w:fldChar w:fldCharType="separate"/>
      </w:r>
      <w:r>
        <w:t>14.6.1.4</w:t>
      </w:r>
      <w:r>
        <w:fldChar w:fldCharType="end"/>
      </w:r>
      <w:r>
        <w:t>.</w:t>
      </w:r>
    </w:p>
    <w:p w14:paraId="0D214933" w14:textId="77777777">
      <w:pPr>
        <w:pStyle w:val="Lista"/>
      </w:pPr>
      <w:r>
        <w:t xml:space="preserve">when specifying a reference through page numbers, simply enter the applicable number(s) within </w:t>
      </w:r>
      <w:r>
        <w:rPr>
          <w:rStyle w:val="Code"/>
        </w:rPr>
        <w:t>&lt;citedRange&gt;</w:t>
      </w:r>
    </w:p>
    <w:p w14:paraId="5101D4D6" w14:textId="77777777">
      <w:pPr>
        <w:pStyle w:val="Lista"/>
      </w:pPr>
      <w:r>
        <w:t>references to page numbers may be specified in any of the following ways</w:t>
      </w:r>
    </w:p>
    <w:p w14:paraId="4E4EEF22" w14:textId="77777777">
      <w:pPr>
        <w:pStyle w:val="Lista2"/>
      </w:pPr>
      <w:r>
        <w:t xml:space="preserve">a single page number, e.g. </w:t>
      </w:r>
      <w:r>
        <w:rPr>
          <w:rStyle w:val="Code"/>
        </w:rPr>
        <w:t>&lt;citedRange&gt;</w:t>
      </w:r>
      <w:r>
        <w:rPr>
          <w:rStyle w:val="Codetext"/>
        </w:rPr>
        <w:t>12</w:t>
      </w:r>
      <w:r>
        <w:rPr>
          <w:rStyle w:val="Code"/>
        </w:rPr>
        <w:t>&lt;/citedRange&gt;</w:t>
      </w:r>
    </w:p>
    <w:p w14:paraId="4538B994" w14:textId="77777777">
      <w:pPr>
        <w:pStyle w:val="Lista2"/>
      </w:pPr>
      <w:r>
        <w:t xml:space="preserve">a range of pages recorded as two numbers with an intervening hyphen, e.g. </w:t>
      </w:r>
      <w:r>
        <w:rPr>
          <w:rStyle w:val="Code"/>
        </w:rPr>
        <w:t>&lt;citedRange&gt;</w:t>
      </w:r>
      <w:r>
        <w:rPr>
          <w:rStyle w:val="Codetext"/>
        </w:rPr>
        <w:t>12-21</w:t>
      </w:r>
      <w:r>
        <w:rPr>
          <w:rStyle w:val="Code"/>
        </w:rPr>
        <w:t>&lt;/citedRange&gt;</w:t>
      </w:r>
    </w:p>
    <w:p w14:paraId="2C342E85" w14:textId="77777777">
      <w:pPr>
        <w:pStyle w:val="Lista3"/>
      </w:pPr>
      <w:r>
        <w:t xml:space="preserve">never drop digits from the number marking the endpoint of a range, e.g. </w:t>
      </w:r>
      <w:r>
        <w:rPr>
          <w:rStyle w:val="Code"/>
        </w:rPr>
        <w:t>&lt;citedRange&gt;</w:t>
      </w:r>
      <w:r>
        <w:rPr>
          <w:rStyle w:val="Codetext"/>
        </w:rPr>
        <w:t>123-124</w:t>
      </w:r>
      <w:r>
        <w:rPr>
          <w:rStyle w:val="Code"/>
        </w:rPr>
        <w:t>&lt;/citedRange&gt;</w:t>
      </w:r>
      <w:r>
        <w:t xml:space="preserve"> </w:t>
      </w:r>
      <w:r>
        <w:rPr>
          <w:noProof/>
        </w:rPr>
        <w:t>(</w:t>
      </w:r>
      <w:r>
        <w:t>not 123-4 or 123-24)</w:t>
      </w:r>
    </w:p>
    <w:p w14:paraId="68E9704B" w14:textId="77777777">
      <w:pPr>
        <w:pStyle w:val="Lista3"/>
      </w:pPr>
      <w:r>
        <w:t>when referring to a range of pages, always indicate the full range rather than just the starting point (avoid forms like 123f. or 123ff.)</w:t>
      </w:r>
    </w:p>
    <w:p w14:paraId="5E85CE20" w14:textId="3477F969">
      <w:pPr>
        <w:pStyle w:val="Lista3"/>
      </w:pPr>
      <w:r>
        <w:t xml:space="preserve">see </w:t>
      </w:r>
      <w:r>
        <w:fldChar w:fldCharType="begin"/>
      </w:r>
      <w:r>
        <w:instrText xml:space="preserve"> REF _Ref233817611 \h </w:instrText>
      </w:r>
      <w:r>
        <w:fldChar w:fldCharType="separate"/>
      </w:r>
      <w:r>
        <w:t xml:space="preserve">Exhibit </w:t>
      </w:r>
      <w:r>
        <w:rPr>
          <w:noProof/>
        </w:rPr>
        <w:t>14.6</w:t>
      </w:r>
      <w:r>
        <w:t>.</w:t>
      </w:r>
      <w:r>
        <w:rPr>
          <w:noProof/>
        </w:rPr>
        <w:t>B</w:t>
      </w:r>
      <w:r>
        <w:fldChar w:fldCharType="end"/>
      </w:r>
      <w:r>
        <w:t xml:space="preserve"> for an illustration</w:t>
      </w:r>
    </w:p>
    <w:p w14:paraId="4E419C82" w14:textId="77777777">
      <w:pPr>
        <w:pStyle w:val="Lista2"/>
        <w:rPr>
          <w:rStyle w:val="Code"/>
          <w:rFonts w:ascii="Gentium" w:hAnsi="Gentium" w:cs="Tiro Devanagari Sanskrit"/>
          <w:noProof w:val="0"/>
          <w:color w:val="auto"/>
          <w:shd w:val="clear" w:color="auto" w:fill="auto"/>
        </w:rPr>
      </w:pPr>
      <w:r>
        <w:t xml:space="preserve">two or more non-consecutive pages separated by a comma (and a space), e.g. </w:t>
      </w:r>
      <w:r>
        <w:rPr>
          <w:rStyle w:val="Code"/>
        </w:rPr>
        <w:t>&lt;citedRange&gt;</w:t>
      </w:r>
      <w:r>
        <w:rPr>
          <w:rStyle w:val="Codetext"/>
        </w:rPr>
        <w:t>12, 24</w:t>
      </w:r>
      <w:r>
        <w:rPr>
          <w:rStyle w:val="Code"/>
        </w:rPr>
        <w:t>&lt;/citedRange&gt;</w:t>
      </w:r>
    </w:p>
    <w:p w14:paraId="077AC218" w14:textId="3CCBCD77">
      <w:pPr>
        <w:pStyle w:val="Lista"/>
      </w:pPr>
      <w:r>
        <w:t>page numbers which are not Arabic numerals may need to be converted to Arabic numerals as per §</w:t>
      </w:r>
      <w:r>
        <w:fldChar w:fldCharType="begin"/>
      </w:r>
      <w:r>
        <w:instrText xml:space="preserve"> REF _Ref233812153 \r \h </w:instrText>
      </w:r>
      <w:r>
        <w:fldChar w:fldCharType="separate"/>
      </w:r>
      <w:r>
        <w:t>14.6.1.3</w:t>
      </w:r>
      <w:r>
        <w:fldChar w:fldCharType="end"/>
      </w:r>
    </w:p>
    <w:tbl>
      <w:tblPr>
        <w:tblStyle w:val="CodeSampleTable"/>
        <w:tblW w:w="5000" w:type="pct"/>
        <w:tblLook w:val="04A0" w:firstRow="1" w:lastRow="0" w:firstColumn="1" w:lastColumn="0" w:noHBand="0" w:noVBand="1"/>
      </w:tblPr>
      <w:tblGrid>
        <w:gridCol w:w="9628"/>
      </w:tblGrid>
      <w:tr w14:paraId="19E9FD94"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B74C659" w14:textId="0C013D00">
            <w:pPr>
              <w:pStyle w:val="Kpalrs"/>
            </w:pPr>
            <w:bookmarkStart w:id="995" w:name="_Ref233817611"/>
            <w:bookmarkStart w:id="996" w:name="_Ref233817605"/>
            <w:r>
              <w:t xml:space="preserve">Exhibit </w:t>
            </w:r>
            <w:fldSimple w:instr=" STYLEREF 2 \s ">
              <w:r>
                <w:rPr>
                  <w:noProof/>
                </w:rPr>
                <w:t>14.6</w:t>
              </w:r>
            </w:fldSimple>
            <w:r>
              <w:t>.</w:t>
            </w:r>
            <w:fldSimple w:instr=" SEQ Exhibit \* ALPHABETIC \s 2 ">
              <w:r>
                <w:rPr>
                  <w:noProof/>
                </w:rPr>
                <w:t>B</w:t>
              </w:r>
            </w:fldSimple>
            <w:bookmarkEnd w:id="995"/>
            <w:r>
              <w:t>: encoding a basic citation with a page range</w:t>
            </w:r>
            <w:bookmarkEnd w:id="996"/>
          </w:p>
        </w:tc>
      </w:tr>
      <w:tr w14:paraId="041ACAFC" w14:textId="77777777">
        <w:tc>
          <w:tcPr>
            <w:tcW w:w="5000" w:type="pct"/>
          </w:tcPr>
          <w:p w14:paraId="40B1E7EA" w14:textId="77777777">
            <w:pPr>
              <w:pStyle w:val="TableNote"/>
              <w:keepNext/>
            </w:pPr>
            <w:r>
              <w:t>Majumdar 1943: 23–28</w:t>
            </w:r>
          </w:p>
        </w:tc>
      </w:tr>
      <w:tr w14:paraId="32CCAF1C" w14:textId="77777777">
        <w:tc>
          <w:tcPr>
            <w:tcW w:w="5000" w:type="pct"/>
          </w:tcPr>
          <w:p w14:paraId="12E9EA42" w14:textId="77777777">
            <w:pPr>
              <w:pStyle w:val="CodeParagraph"/>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"bib:Majumdar1943_01"</w:t>
            </w:r>
            <w:r>
              <w:rPr>
                <w:rStyle w:val="Code"/>
              </w:rPr>
              <w:t>/&gt;</w:t>
            </w:r>
            <w:r>
              <w:rPr>
                <w:rStyle w:val="Codetext"/>
              </w:rPr>
              <w:br/>
              <w:t xml:space="preserve">  </w:t>
            </w:r>
            <w:r>
              <w:rPr>
                <w:rStyle w:val="Code"/>
              </w:rPr>
              <w:t>&lt;citedRange&gt;</w:t>
            </w:r>
            <w:r>
              <w:rPr>
                <w:rStyle w:val="Codetext"/>
              </w:rPr>
              <w:t>23-28</w:t>
            </w:r>
            <w:r>
              <w:rPr>
                <w:rStyle w:val="Code"/>
              </w:rPr>
              <w:t>&lt;/citedRange&gt;</w:t>
            </w:r>
            <w:r>
              <w:rPr>
                <w:rStyle w:val="Codetext"/>
              </w:rPr>
              <w:br/>
            </w:r>
            <w:r>
              <w:rPr>
                <w:rStyle w:val="Code"/>
              </w:rPr>
              <w:t>&lt;/bibl&gt;</w:t>
            </w:r>
          </w:p>
        </w:tc>
      </w:tr>
    </w:tbl>
    <w:p w14:paraId="7166836F" w14:textId="77777777">
      <w:pPr>
        <w:pStyle w:val="Cmsor4"/>
      </w:pPr>
      <w:bookmarkStart w:id="997" w:name="_Ref233811283"/>
      <w:bookmarkStart w:id="998" w:name="_Ref233811284"/>
      <w:r>
        <w:t>Citation specifics other than pages</w:t>
      </w:r>
      <w:bookmarkEnd w:id="997"/>
      <w:bookmarkEnd w:id="998"/>
    </w:p>
    <w:p w14:paraId="04CD375C" w14:textId="77777777">
      <w:r>
        <w:t xml:space="preserve">To use entities other than pages in the specification of a citation, add the attribute </w:t>
      </w:r>
      <w:r>
        <w:rPr>
          <w:rStyle w:val="Codeattribute"/>
        </w:rPr>
        <w:t>@unit</w:t>
      </w:r>
      <w:r>
        <w:t xml:space="preserve"> to </w:t>
      </w:r>
      <w:r>
        <w:rPr>
          <w:rStyle w:val="Code"/>
        </w:rPr>
        <w:t>&lt;citedRange&gt;</w:t>
      </w:r>
      <w:r>
        <w:t xml:space="preserve"> and formulate the contents of the element accordingly.</w:t>
      </w:r>
    </w:p>
    <w:p w14:paraId="4FD1659D" w14:textId="77777777">
      <w:pPr>
        <w:pStyle w:val="Lista"/>
      </w:pPr>
      <w:r>
        <w:t xml:space="preserve">in DHARMA practice, the following values of </w:t>
      </w:r>
      <w:r>
        <w:rPr>
          <w:rStyle w:val="Codeattribute"/>
        </w:rPr>
        <w:t>@unit</w:t>
      </w:r>
      <w:r>
        <w:t xml:space="preserve"> may be used on </w:t>
      </w:r>
      <w:r>
        <w:rPr>
          <w:rStyle w:val="Code"/>
        </w:rPr>
        <w:t>&lt;citedRange&gt;</w:t>
      </w:r>
    </w:p>
    <w:p w14:paraId="2F3423C9" w14:textId="77777777">
      <w:pPr>
        <w:pStyle w:val="Lista2"/>
      </w:pPr>
      <w:r>
        <w:rPr>
          <w:rStyle w:val="Codevalue"/>
        </w:rPr>
        <w:t>"appendix"</w:t>
      </w:r>
      <w:r>
        <w:t xml:space="preserve"> for numbered appendices</w:t>
      </w:r>
    </w:p>
    <w:p w14:paraId="7E4D9122" w14:textId="77777777">
      <w:pPr>
        <w:pStyle w:val="Lista2"/>
      </w:pPr>
      <w:r>
        <w:rPr>
          <w:rStyle w:val="Codevalue"/>
        </w:rPr>
        <w:t>"book"</w:t>
      </w:r>
      <w:r>
        <w:t xml:space="preserve"> for numbered divisions within a single volume, especially when designated by the term “book” or an equivalent, where the reference system is restarted in each division</w:t>
      </w:r>
    </w:p>
    <w:p w14:paraId="00C5D19F" w14:textId="77777777">
      <w:pPr>
        <w:pStyle w:val="Lista3"/>
      </w:pPr>
      <w:r>
        <w:t xml:space="preserve">such as Sircar’s </w:t>
      </w:r>
      <w:r>
        <w:rPr>
          <w:i/>
          <w:iCs/>
        </w:rPr>
        <w:t>Select Inscriptions</w:t>
      </w:r>
      <w:r>
        <w:t>, where item numbers are restarted in each “book” of both volumes</w:t>
      </w:r>
    </w:p>
    <w:p w14:paraId="40077570" w14:textId="77777777">
      <w:pPr>
        <w:pStyle w:val="Lista3"/>
      </w:pPr>
      <w:r>
        <w:t>distinguish this unit from “part” and “volume”</w:t>
      </w:r>
    </w:p>
    <w:p w14:paraId="793117C3" w14:textId="77777777">
      <w:pPr>
        <w:pStyle w:val="Lista2"/>
      </w:pPr>
      <w:r>
        <w:rPr>
          <w:rStyle w:val="Codevalue"/>
        </w:rPr>
        <w:t>"entry"</w:t>
      </w:r>
      <w:r>
        <w:t xml:space="preserve"> for an item in a dictionary or encyclopaedia </w:t>
      </w:r>
      <w:r>
        <w:rPr>
          <w:noProof/>
        </w:rPr>
        <w:t>(</w:t>
      </w:r>
      <w:r>
        <w:t xml:space="preserve">to be displayed as </w:t>
      </w:r>
      <w:r>
        <w:rPr>
          <w:rStyle w:val="Foreign"/>
        </w:rPr>
        <w:t>s.v.</w:t>
      </w:r>
      <w:r>
        <w:t>)</w:t>
      </w:r>
    </w:p>
    <w:p w14:paraId="6B69837B" w14:textId="257E2F64">
      <w:pPr>
        <w:pStyle w:val="Lista3"/>
      </w:pPr>
      <w:r>
        <w:t xml:space="preserve">if the reference is to a dictionary entry, optionally enclose the contents of </w:t>
      </w:r>
      <w:r>
        <w:rPr>
          <w:rStyle w:val="Code"/>
        </w:rPr>
        <w:t>&lt;citedRange&gt;</w:t>
      </w:r>
      <w:r>
        <w:t xml:space="preserve"> in </w:t>
      </w:r>
      <w:r>
        <w:rPr>
          <w:rStyle w:val="Code"/>
        </w:rPr>
        <w:t>&lt;foreign&gt;</w:t>
      </w:r>
      <w:r>
        <w:t xml:space="preserve"> (as per §</w:t>
      </w:r>
      <w:r>
        <w:fldChar w:fldCharType="begin"/>
      </w:r>
      <w:r>
        <w:instrText xml:space="preserve"> REF _Ref43986658 \r \h </w:instrText>
      </w:r>
      <w:r>
        <w:fldChar w:fldCharType="separate"/>
      </w:r>
      <w:r>
        <w:t>14.4.2</w:t>
      </w:r>
      <w:r>
        <w:fldChar w:fldCharType="end"/>
      </w:r>
      <w:r>
        <w:t>)</w:t>
      </w:r>
    </w:p>
    <w:p w14:paraId="49E5F866" w14:textId="77777777">
      <w:pPr>
        <w:pStyle w:val="Lista4"/>
        <w:rPr>
          <w:rStyle w:val="Code"/>
          <w:rFonts w:ascii="Gentium" w:hAnsi="Gentium" w:cs="Tiro Devanagari Sanskrit"/>
          <w:noProof w:val="0"/>
          <w:color w:val="auto"/>
          <w:shd w:val="clear" w:color="auto" w:fill="auto"/>
        </w:rPr>
      </w:pPr>
      <w:r>
        <w:t xml:space="preserve">this is not a technical requirement but a cosmetic option: the output will be italicised when wrapped in </w:t>
      </w:r>
      <w:r>
        <w:rPr>
          <w:rStyle w:val="Code"/>
        </w:rPr>
        <w:t>&lt;foreign&gt;</w:t>
      </w:r>
      <w:r>
        <w:t xml:space="preserve">, but not italicised without </w:t>
      </w:r>
      <w:r>
        <w:rPr>
          <w:rStyle w:val="Code"/>
        </w:rPr>
        <w:t>&lt;foreign&gt;</w:t>
      </w:r>
    </w:p>
    <w:p w14:paraId="16773E7E" w14:textId="3B309C8B">
      <w:pPr>
        <w:pStyle w:val="Lista3"/>
      </w:pPr>
      <w:r>
        <w:lastRenderedPageBreak/>
        <w:t>to encode a reference containing only “s.v.” (without the actual headword), use a freestyle specification (§</w:t>
      </w:r>
      <w:r>
        <w:fldChar w:fldCharType="begin"/>
      </w:r>
      <w:r>
        <w:instrText xml:space="preserve"> REF _Ref233811324 \r \h </w:instrText>
      </w:r>
      <w:r>
        <w:fldChar w:fldCharType="separate"/>
      </w:r>
      <w:r>
        <w:t>14.6.1.5</w:t>
      </w:r>
      <w:r>
        <w:fldChar w:fldCharType="end"/>
      </w:r>
      <w:r>
        <w:t>) or simply add “s.v.” in the text outside the encoded citation</w:t>
      </w:r>
    </w:p>
    <w:p w14:paraId="77A52EA7" w14:textId="77777777">
      <w:pPr>
        <w:pStyle w:val="Lista2"/>
      </w:pPr>
      <w:r>
        <w:rPr>
          <w:rStyle w:val="Codevalue"/>
        </w:rPr>
        <w:t>"figure"</w:t>
      </w:r>
      <w:r>
        <w:t xml:space="preserve"> for illustrations and other graphics</w:t>
      </w:r>
    </w:p>
    <w:p w14:paraId="16FBB66E" w14:textId="77777777">
      <w:pPr>
        <w:pStyle w:val="Lista3"/>
      </w:pPr>
      <w:r>
        <w:t>distinguish this unit from “plate”</w:t>
      </w:r>
    </w:p>
    <w:p w14:paraId="519253E1" w14:textId="77777777">
      <w:pPr>
        <w:pStyle w:val="Lista2"/>
      </w:pPr>
      <w:r>
        <w:rPr>
          <w:rStyle w:val="Codevalue"/>
        </w:rPr>
        <w:t>"item"</w:t>
      </w:r>
      <w:r>
        <w:t xml:space="preserve"> for a numbered item in an anthology of editions or an item in a numbered list </w:t>
      </w:r>
      <w:r>
        <w:rPr>
          <w:noProof/>
        </w:rPr>
        <w:t>(</w:t>
      </w:r>
      <w:r>
        <w:t>to be displayed as №)</w:t>
      </w:r>
    </w:p>
    <w:p w14:paraId="75A8C83C" w14:textId="67976073">
      <w:pPr>
        <w:pStyle w:val="Lista3"/>
      </w:pPr>
      <w:r>
        <w:t xml:space="preserve">see </w:t>
      </w:r>
      <w:r>
        <w:fldChar w:fldCharType="begin"/>
      </w:r>
      <w:r>
        <w:instrText xml:space="preserve"> REF _Ref233646064 \h </w:instrText>
      </w:r>
      <w:r>
        <w:fldChar w:fldCharType="separate"/>
      </w:r>
      <w:r>
        <w:t xml:space="preserve">Exhibit </w:t>
      </w:r>
      <w:r>
        <w:rPr>
          <w:noProof/>
        </w:rPr>
        <w:t>14.3</w:t>
      </w:r>
      <w:r>
        <w:t>.</w:t>
      </w:r>
      <w:r>
        <w:rPr>
          <w:noProof/>
        </w:rPr>
        <w:t>C</w:t>
      </w:r>
      <w:r>
        <w:fldChar w:fldCharType="end"/>
      </w:r>
      <w:r>
        <w:t xml:space="preserve"> for an illustration</w:t>
      </w:r>
    </w:p>
    <w:p w14:paraId="67169C68" w14:textId="77777777">
      <w:pPr>
        <w:pStyle w:val="Lista2"/>
      </w:pPr>
      <w:r>
        <w:rPr>
          <w:rStyle w:val="Codevalue"/>
        </w:rPr>
        <w:t>"line"</w:t>
      </w:r>
      <w:r>
        <w:t xml:space="preserve"> for a lineated work where citations are conventionally identified by line number</w:t>
      </w:r>
    </w:p>
    <w:p w14:paraId="697B304C" w14:textId="77777777">
      <w:pPr>
        <w:pStyle w:val="Lista2"/>
      </w:pPr>
      <w:r>
        <w:rPr>
          <w:rStyle w:val="Codevalue"/>
        </w:rPr>
        <w:t>"note"</w:t>
      </w:r>
      <w:r>
        <w:t xml:space="preserve"> for a numbered </w:t>
      </w:r>
      <w:r>
        <w:rPr>
          <w:noProof/>
        </w:rPr>
        <w:t>(</w:t>
      </w:r>
      <w:r>
        <w:t>foot or end) note</w:t>
      </w:r>
    </w:p>
    <w:p w14:paraId="35F8D0BE" w14:textId="77777777">
      <w:pPr>
        <w:pStyle w:val="Lista2"/>
      </w:pPr>
      <w:r>
        <w:rPr>
          <w:rStyle w:val="Codevalue"/>
        </w:rPr>
        <w:t>"page"</w:t>
      </w:r>
      <w:r>
        <w:t xml:space="preserve"> for pages</w:t>
      </w:r>
    </w:p>
    <w:p w14:paraId="256CC98A" w14:textId="3953C8CB">
      <w:pPr>
        <w:pStyle w:val="Lista3"/>
      </w:pPr>
      <w:r>
        <w:t>this value is understood by default and, as noted in §</w:t>
      </w:r>
      <w:r>
        <w:fldChar w:fldCharType="begin"/>
      </w:r>
      <w:r>
        <w:instrText xml:space="preserve"> REF _Ref233811140 \r \h </w:instrText>
      </w:r>
      <w:r>
        <w:fldChar w:fldCharType="separate"/>
      </w:r>
      <w:r>
        <w:t>14.6.1.1</w:t>
      </w:r>
      <w:r>
        <w:fldChar w:fldCharType="end"/>
      </w:r>
      <w:r>
        <w:t>, need not be encoded except when more than one specification is given for a single citation as per §</w:t>
      </w:r>
      <w:r>
        <w:fldChar w:fldCharType="begin"/>
      </w:r>
      <w:r>
        <w:instrText xml:space="preserve"> REF _Ref233811301 \r \h </w:instrText>
      </w:r>
      <w:r>
        <w:fldChar w:fldCharType="separate"/>
      </w:r>
      <w:r>
        <w:t>14.6.1.4</w:t>
      </w:r>
      <w:r>
        <w:fldChar w:fldCharType="end"/>
      </w:r>
    </w:p>
    <w:p w14:paraId="597C75AB" w14:textId="77777777">
      <w:pPr>
        <w:pStyle w:val="Lista2"/>
      </w:pPr>
      <w:r>
        <w:rPr>
          <w:rStyle w:val="Codevalue"/>
        </w:rPr>
        <w:t>"part"</w:t>
      </w:r>
      <w:r>
        <w:t xml:space="preserve"> to distinguish sections of publications where identical page numbers re-occur within a single volume </w:t>
      </w:r>
      <w:r>
        <w:rPr>
          <w:noProof/>
        </w:rPr>
        <w:t>(</w:t>
      </w:r>
      <w:r>
        <w:t>such as Epigraphia Carnatica)</w:t>
      </w:r>
    </w:p>
    <w:p w14:paraId="16BB065A" w14:textId="77777777">
      <w:pPr>
        <w:pStyle w:val="Lista2"/>
      </w:pPr>
      <w:r>
        <w:rPr>
          <w:rStyle w:val="Codevalue"/>
        </w:rPr>
        <w:t>"plate"</w:t>
      </w:r>
      <w:r>
        <w:t xml:space="preserve"> for visual material designated by the term “plate” or printed on pages separate from text</w:t>
      </w:r>
    </w:p>
    <w:p w14:paraId="1FEF6D62" w14:textId="77777777">
      <w:pPr>
        <w:pStyle w:val="Lista3"/>
      </w:pPr>
      <w:r>
        <w:t>distinguish this unit from “figure”</w:t>
      </w:r>
    </w:p>
    <w:p w14:paraId="3F441567" w14:textId="77777777">
      <w:pPr>
        <w:pStyle w:val="Lista2"/>
      </w:pPr>
      <w:r>
        <w:rPr>
          <w:rStyle w:val="Codevalue"/>
        </w:rPr>
        <w:t>"section"</w:t>
      </w:r>
      <w:r>
        <w:t xml:space="preserve"> for one of many numbered paragraphs or short sections where this form of citation is practicable, such as many grammars as well as the descriptive parts of many volumes of the </w:t>
      </w:r>
      <w:r>
        <w:rPr>
          <w:rStyle w:val="Foreign"/>
        </w:rPr>
        <w:t>Annual Report on Indian Epigraphy</w:t>
      </w:r>
    </w:p>
    <w:p w14:paraId="31F5F13A" w14:textId="77777777">
      <w:pPr>
        <w:pStyle w:val="Lista2"/>
      </w:pPr>
      <w:r>
        <w:rPr>
          <w:rStyle w:val="Codevalue"/>
        </w:rPr>
        <w:t>"table"</w:t>
      </w:r>
      <w:r>
        <w:t xml:space="preserve"> for material labelled as a table or presented in table form</w:t>
      </w:r>
    </w:p>
    <w:p w14:paraId="43340B9F" w14:textId="77777777">
      <w:pPr>
        <w:pStyle w:val="Lista2"/>
      </w:pPr>
      <w:r>
        <w:rPr>
          <w:rStyle w:val="Codevalue"/>
        </w:rPr>
        <w:t>"volume"</w:t>
      </w:r>
      <w:r>
        <w:t xml:space="preserve"> for a specific (physically separate) volume of multi-volume publications</w:t>
      </w:r>
    </w:p>
    <w:p w14:paraId="3EAEAC87" w14:textId="77777777">
      <w:pPr>
        <w:pStyle w:val="Lista3"/>
      </w:pPr>
      <w:r>
        <w:t>distinguish this unit from “book” and “part”</w:t>
      </w:r>
    </w:p>
    <w:p w14:paraId="4E1D81BF" w14:textId="7B0AEADA">
      <w:pPr>
        <w:pStyle w:val="Lista"/>
      </w:pPr>
      <w:r>
        <w:t xml:space="preserve">only the above values are permitted (as well as </w:t>
      </w:r>
      <w:r>
        <w:rPr>
          <w:rStyle w:val="Codevalue"/>
        </w:rPr>
        <w:t>"mixed"</w:t>
      </w:r>
      <w:r>
        <w:t>, §</w:t>
      </w:r>
      <w:r>
        <w:fldChar w:fldCharType="begin"/>
      </w:r>
      <w:r>
        <w:instrText xml:space="preserve"> REF _Ref233811324 \r \h </w:instrText>
      </w:r>
      <w:r>
        <w:fldChar w:fldCharType="separate"/>
      </w:r>
      <w:r>
        <w:t>14.6.1.5</w:t>
      </w:r>
      <w:r>
        <w:fldChar w:fldCharType="end"/>
      </w:r>
      <w:r>
        <w:t>)</w:t>
      </w:r>
    </w:p>
    <w:p w14:paraId="5D0759E5" w14:textId="77777777">
      <w:pPr>
        <w:pStyle w:val="Lista2"/>
      </w:pPr>
      <w:r>
        <w:t>if the publication uses different terminology, find the best approximation among the acceptable values</w:t>
      </w:r>
    </w:p>
    <w:p w14:paraId="7E109A67" w14:textId="77777777">
      <w:pPr>
        <w:pStyle w:val="Lista2"/>
      </w:pPr>
      <w:r>
        <w:t xml:space="preserve">if the publication uses a different language, use the English equivalent (e.g. </w:t>
      </w:r>
      <w:r>
        <w:rPr>
          <w:rStyle w:val="Codevalue"/>
        </w:rPr>
        <w:t>"appendix"</w:t>
      </w:r>
      <w:r>
        <w:t xml:space="preserve"> for an original </w:t>
      </w:r>
      <w:r>
        <w:rPr>
          <w:rStyle w:val="Foreign"/>
        </w:rPr>
        <w:t>bijlage</w:t>
      </w:r>
      <w:r>
        <w:t>)</w:t>
      </w:r>
    </w:p>
    <w:p w14:paraId="5E00570E" w14:textId="00C546B0">
      <w:pPr>
        <w:pStyle w:val="Lista2"/>
      </w:pPr>
      <w:r>
        <w:t>if none of these solutions are satisfactory, encode a freestyle specification (§</w:t>
      </w:r>
      <w:r>
        <w:fldChar w:fldCharType="begin"/>
      </w:r>
      <w:r>
        <w:instrText xml:space="preserve"> REF _Ref233811324 \r \h </w:instrText>
      </w:r>
      <w:r>
        <w:fldChar w:fldCharType="separate"/>
      </w:r>
      <w:r>
        <w:t>14.6.1.5</w:t>
      </w:r>
      <w:r>
        <w:fldChar w:fldCharType="end"/>
      </w:r>
      <w:r>
        <w:t>)</w:t>
      </w:r>
    </w:p>
    <w:p w14:paraId="4E1894D1" w14:textId="77777777">
      <w:pPr>
        <w:pStyle w:val="Lista"/>
      </w:pPr>
      <w:r>
        <w:t xml:space="preserve">just as with page numbers, </w:t>
      </w:r>
      <w:r>
        <w:rPr>
          <w:rStyle w:val="Code"/>
        </w:rPr>
        <w:t>&lt;citedRange&gt;</w:t>
      </w:r>
      <w:r>
        <w:t xml:space="preserve"> with any of the above values of </w:t>
      </w:r>
      <w:r>
        <w:rPr>
          <w:rStyle w:val="Codeattribute"/>
        </w:rPr>
        <w:t>@unit</w:t>
      </w:r>
      <w:r>
        <w:t xml:space="preserve"> may contain an individual identifier, a range separated with a hyphen, or a list separated with commas and spaces</w:t>
      </w:r>
    </w:p>
    <w:p w14:paraId="6E0502E5" w14:textId="326749F8">
      <w:pPr>
        <w:pStyle w:val="Lista"/>
      </w:pPr>
      <w:r>
        <w:t>no machine action will be performed on the specification of a citation, but strive to keep your reference as clear and unambiguous as possible</w:t>
      </w:r>
    </w:p>
    <w:tbl>
      <w:tblPr>
        <w:tblStyle w:val="CodeSampleTable"/>
        <w:tblW w:w="5000" w:type="pct"/>
        <w:tblLook w:val="04A0" w:firstRow="1" w:lastRow="0" w:firstColumn="1" w:lastColumn="0" w:noHBand="0" w:noVBand="1"/>
      </w:tblPr>
      <w:tblGrid>
        <w:gridCol w:w="9628"/>
      </w:tblGrid>
      <w:tr w14:paraId="1167EE2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14CFBE2" w14:textId="0CD0A823">
            <w:pPr>
              <w:pStyle w:val="Kpalrs"/>
            </w:pPr>
            <w:r>
              <w:t xml:space="preserve">Exhibit </w:t>
            </w:r>
            <w:fldSimple w:instr=" STYLEREF 2 \s ">
              <w:r>
                <w:rPr>
                  <w:noProof/>
                </w:rPr>
                <w:t>14.6</w:t>
              </w:r>
            </w:fldSimple>
            <w:r>
              <w:t>.</w:t>
            </w:r>
            <w:fldSimple w:instr=" SEQ Exhibit \* ALPHABETIC \s 2 ">
              <w:r>
                <w:rPr>
                  <w:noProof/>
                </w:rPr>
                <w:t>C</w:t>
              </w:r>
            </w:fldSimple>
            <w:r>
              <w:t>: encoding a citation with an item number</w:t>
            </w:r>
          </w:p>
        </w:tc>
      </w:tr>
      <w:tr w14:paraId="131F829A" w14:textId="77777777">
        <w:tc>
          <w:tcPr>
            <w:tcW w:w="5000" w:type="pct"/>
          </w:tcPr>
          <w:p w14:paraId="5B2770CE" w14:textId="77777777">
            <w:pPr>
              <w:pStyle w:val="TableNote"/>
              <w:keepNext/>
            </w:pPr>
            <w:r>
              <w:rPr>
                <w:noProof/>
              </w:rPr>
              <w:t>Shastree</w:t>
            </w:r>
            <w:r>
              <w:t xml:space="preserve"> 1844: № 1</w:t>
            </w:r>
          </w:p>
        </w:tc>
      </w:tr>
      <w:tr w14:paraId="0F0393E1" w14:textId="77777777">
        <w:tc>
          <w:tcPr>
            <w:tcW w:w="5000" w:type="pct"/>
          </w:tcPr>
          <w:p w14:paraId="3AE219C6" w14:textId="77777777">
            <w:pPr>
              <w:pStyle w:val="CodeParagraph"/>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w:t>
            </w:r>
            <w:r>
              <w:t xml:space="preserve"> </w:t>
            </w:r>
            <w:r>
              <w:rPr>
                <w:rStyle w:val="Codevalue"/>
              </w:rPr>
              <w:t>Shastree1844_01"</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"item"</w:t>
            </w:r>
            <w:r>
              <w:rPr>
                <w:rStyle w:val="Code"/>
              </w:rPr>
              <w:t>&gt;</w:t>
            </w:r>
            <w:r>
              <w:rPr>
                <w:rStyle w:val="Codetext"/>
              </w:rPr>
              <w:t>1</w:t>
            </w:r>
            <w:r>
              <w:rPr>
                <w:rStyle w:val="Code"/>
              </w:rPr>
              <w:t>&lt;/citedRange&gt;</w:t>
            </w:r>
            <w:r>
              <w:rPr>
                <w:rStyle w:val="Codetext"/>
              </w:rPr>
              <w:br/>
            </w:r>
            <w:r>
              <w:rPr>
                <w:rStyle w:val="Code"/>
              </w:rPr>
              <w:t>&lt;/bibl&gt;</w:t>
            </w:r>
          </w:p>
        </w:tc>
      </w:tr>
    </w:tbl>
    <w:p w14:paraId="7999749B" w14:textId="77777777">
      <w:pPr>
        <w:pStyle w:val="Cmsor4"/>
      </w:pPr>
      <w:bookmarkStart w:id="999" w:name="_Ref233812153"/>
      <w:r>
        <w:t>Numeration style in bibliographic citations</w:t>
      </w:r>
      <w:bookmarkEnd w:id="999"/>
    </w:p>
    <w:p w14:paraId="0F1B56CC" w14:textId="77777777">
      <w:r>
        <w:rPr>
          <w:lang w:eastAsia="en-US" w:bidi="ar-SA"/>
        </w:rPr>
        <w:t xml:space="preserve">For consistency and the convenience of the reader, we generally prefer numeration in Arabic numerals. </w:t>
      </w:r>
      <w:r>
        <w:t xml:space="preserve">As per ZG §4.6, we recommend that you convert any other numerals used in the publication to Arabic numerals unless this results in an ambiguity because Arabic and non-Arabic numerals are both used for the same kind of entity within the same publication. </w:t>
      </w:r>
    </w:p>
    <w:p w14:paraId="26DD8696" w14:textId="77777777">
      <w:pPr>
        <w:pStyle w:val="Lista"/>
      </w:pPr>
      <w:r>
        <w:t>this is strongly recommended for publications in a non-European language that do not use Arabic page numbers anywhere</w:t>
      </w:r>
    </w:p>
    <w:p w14:paraId="1B80DDFE" w14:textId="77777777">
      <w:pPr>
        <w:pStyle w:val="Lista2"/>
      </w:pPr>
      <w:r>
        <w:t>but if one part of the publication has Arabic page numbering and another part has a different numeration system, keep the numbers as they are in order to avoid ambiguity</w:t>
      </w:r>
    </w:p>
    <w:p w14:paraId="39D12746" w14:textId="77777777">
      <w:pPr>
        <w:pStyle w:val="Lista"/>
      </w:pPr>
      <w:r>
        <w:t>this is recommended, as far as deemed practicable, for units other than pages which are numerated in a non-Arabic system</w:t>
      </w:r>
    </w:p>
    <w:p w14:paraId="27DC85A4" w14:textId="77777777">
      <w:pPr>
        <w:pStyle w:val="Lista2"/>
      </w:pPr>
      <w:r>
        <w:t>for example if all appendices or all figures have Roman numeration, this can be converted to Arabic without any ambiguity</w:t>
      </w:r>
    </w:p>
    <w:p w14:paraId="51FFBCEB" w14:textId="77777777">
      <w:pPr>
        <w:pStyle w:val="Cmsor4"/>
      </w:pPr>
      <w:bookmarkStart w:id="1000" w:name="_Ref233811301"/>
      <w:bookmarkStart w:id="1001" w:name="_Ref233812949"/>
      <w:r>
        <w:lastRenderedPageBreak/>
        <w:t>Combining citation specifics</w:t>
      </w:r>
      <w:bookmarkEnd w:id="1000"/>
      <w:bookmarkEnd w:id="1001"/>
    </w:p>
    <w:p w14:paraId="5AFF6321" w14:textId="42132D4C">
      <w:pPr>
        <w:rPr>
          <w:lang w:eastAsia="en-US" w:bidi="ar-SA"/>
        </w:rPr>
      </w:pPr>
      <w:r>
        <w:rPr>
          <w:lang w:eastAsia="en-US" w:bidi="ar-SA"/>
        </w:rPr>
        <w:t xml:space="preserve">In order to increase accuracy, reduce ambiguity and facilitate looking up references, citations specified with reference to a unit other than page numbers may be complemented with other details, as illustrated in </w:t>
      </w:r>
      <w:r>
        <w:rPr>
          <w:lang w:eastAsia="en-US" w:bidi="ar-SA"/>
        </w:rPr>
        <w:fldChar w:fldCharType="begin"/>
      </w:r>
      <w:r>
        <w:rPr>
          <w:lang w:eastAsia="en-US" w:bidi="ar-SA"/>
        </w:rPr>
        <w:instrText xml:space="preserve"> REF _Ref233818239 \h </w:instrText>
      </w:r>
      <w:r>
        <w:rPr>
          <w:lang w:eastAsia="en-US" w:bidi="ar-SA"/>
        </w:rPr>
      </w:r>
      <w:r>
        <w:rPr>
          <w:lang w:eastAsia="en-US" w:bidi="ar-SA"/>
        </w:rPr>
        <w:fldChar w:fldCharType="separate"/>
      </w:r>
      <w:r>
        <w:t xml:space="preserve">Exhibit </w:t>
      </w:r>
      <w:r>
        <w:rPr>
          <w:noProof/>
        </w:rPr>
        <w:t>14.6</w:t>
      </w:r>
      <w:r>
        <w:t>.</w:t>
      </w:r>
      <w:r>
        <w:rPr>
          <w:noProof/>
        </w:rPr>
        <w:t>D</w:t>
      </w:r>
      <w:r>
        <w:rPr>
          <w:lang w:eastAsia="en-US" w:bidi="ar-SA"/>
        </w:rPr>
        <w:fldChar w:fldCharType="end"/>
      </w:r>
      <w:r>
        <w:rPr>
          <w:lang w:eastAsia="en-US" w:bidi="ar-SA"/>
        </w:rPr>
        <w:t xml:space="preserve"> and </w:t>
      </w:r>
      <w:r>
        <w:rPr>
          <w:lang w:eastAsia="en-US" w:bidi="ar-SA"/>
        </w:rPr>
        <w:fldChar w:fldCharType="begin"/>
      </w:r>
      <w:r>
        <w:rPr>
          <w:lang w:eastAsia="en-US" w:bidi="ar-SA"/>
        </w:rPr>
        <w:instrText xml:space="preserve"> REF _Ref233818240 \h </w:instrText>
      </w:r>
      <w:r>
        <w:rPr>
          <w:lang w:eastAsia="en-US" w:bidi="ar-SA"/>
        </w:rPr>
      </w:r>
      <w:r>
        <w:rPr>
          <w:lang w:eastAsia="en-US" w:bidi="ar-SA"/>
        </w:rPr>
        <w:fldChar w:fldCharType="separate"/>
      </w:r>
      <w:r>
        <w:t xml:space="preserve">Exhibit </w:t>
      </w:r>
      <w:r>
        <w:rPr>
          <w:noProof/>
        </w:rPr>
        <w:t>14.6</w:t>
      </w:r>
      <w:r>
        <w:t>.</w:t>
      </w:r>
      <w:r>
        <w:rPr>
          <w:noProof/>
        </w:rPr>
        <w:t>F</w:t>
      </w:r>
      <w:r>
        <w:rPr>
          <w:lang w:eastAsia="en-US" w:bidi="ar-SA"/>
        </w:rPr>
        <w:fldChar w:fldCharType="end"/>
      </w:r>
      <w:r>
        <w:rPr>
          <w:lang w:eastAsia="en-US" w:bidi="ar-SA"/>
        </w:rPr>
        <w:t>.</w:t>
      </w:r>
    </w:p>
    <w:p w14:paraId="128AC813" w14:textId="77777777">
      <w:pPr>
        <w:pStyle w:val="Lista"/>
      </w:pPr>
      <w:r>
        <w:t>this subsection applies only to cases where all of the specifications point to the same cited locus, e.g. “Figure 3 on page 26”</w:t>
      </w:r>
    </w:p>
    <w:p w14:paraId="712A47A2" w14:textId="28A3470E">
      <w:pPr>
        <w:pStyle w:val="Lista2"/>
      </w:pPr>
      <w:r>
        <w:t>references to several loci specified by different units (e.g. “Figure 3 and page 26”) can only be expressed through a freestyle citation (§</w:t>
      </w:r>
      <w:r>
        <w:fldChar w:fldCharType="begin"/>
      </w:r>
      <w:r>
        <w:instrText xml:space="preserve"> REF _Ref233811324 \r \h </w:instrText>
      </w:r>
      <w:r>
        <w:fldChar w:fldCharType="separate"/>
      </w:r>
      <w:r>
        <w:t>14.6.1.5</w:t>
      </w:r>
      <w:r>
        <w:fldChar w:fldCharType="end"/>
      </w:r>
      <w:r>
        <w:t>)</w:t>
      </w:r>
    </w:p>
    <w:p w14:paraId="7E0AFDAB" w14:textId="77777777">
      <w:pPr>
        <w:pStyle w:val="Lista"/>
      </w:pPr>
      <w:r>
        <w:t xml:space="preserve">to use more than one unit of reference for identifying a cited locus, create two or more </w:t>
      </w:r>
      <w:r>
        <w:rPr>
          <w:rStyle w:val="Code"/>
        </w:rPr>
        <w:t>&lt;citedRange&gt;</w:t>
      </w:r>
      <w:r>
        <w:t xml:space="preserve"> elements one after the other within your </w:t>
      </w:r>
      <w:r>
        <w:rPr>
          <w:rStyle w:val="Code"/>
        </w:rPr>
        <w:t>&lt;bibl&gt;</w:t>
      </w:r>
      <w:r>
        <w:t xml:space="preserve"> element</w:t>
      </w:r>
    </w:p>
    <w:p w14:paraId="06B29803" w14:textId="77777777">
      <w:pPr>
        <w:pStyle w:val="Lista2"/>
      </w:pPr>
      <w:r>
        <w:t xml:space="preserve">if one of these refers to page numbers, then (unlike the situation where you refer only to page numbers) this must be explicitly encoded by using </w:t>
      </w:r>
      <w:r>
        <w:rPr>
          <w:rStyle w:val="Codeattribute"/>
        </w:rPr>
        <w:t>@unit</w:t>
      </w:r>
      <w:r>
        <w:rPr>
          <w:rStyle w:val="Code"/>
        </w:rPr>
        <w:t>=</w:t>
      </w:r>
      <w:r>
        <w:rPr>
          <w:rStyle w:val="Codevalue"/>
        </w:rPr>
        <w:t>"page"</w:t>
      </w:r>
      <w:r>
        <w:t xml:space="preserve"> on the </w:t>
      </w:r>
      <w:r>
        <w:rPr>
          <w:rStyle w:val="Code"/>
        </w:rPr>
        <w:t>&lt;citedRange&gt;</w:t>
      </w:r>
      <w:r>
        <w:t xml:space="preserve"> element</w:t>
      </w:r>
    </w:p>
    <w:p w14:paraId="0C7E6D8E" w14:textId="77777777">
      <w:pPr>
        <w:pStyle w:val="Lista2"/>
      </w:pPr>
      <w:r>
        <w:t xml:space="preserve">the </w:t>
      </w:r>
      <w:r>
        <w:rPr>
          <w:rStyle w:val="Code"/>
        </w:rPr>
        <w:t>&lt;citedRange&gt;</w:t>
      </w:r>
      <w:r>
        <w:t xml:space="preserve"> elements must appear in the order in which they are eventually to be displayed</w:t>
      </w:r>
    </w:p>
    <w:p w14:paraId="693D987B" w14:textId="77777777">
      <w:pPr>
        <w:pStyle w:val="Lista3"/>
      </w:pPr>
      <w:r>
        <w:t>e.g. a volume number must precede a page number, and a page number must precede a note number</w:t>
      </w:r>
    </w:p>
    <w:p w14:paraId="7B0F93DA" w14:textId="0F78AC8D">
      <w:pPr>
        <w:pStyle w:val="Lista"/>
      </w:pPr>
      <w:r>
        <w:t xml:space="preserve">citation of items in the appendices of the </w:t>
      </w:r>
      <w:r>
        <w:rPr>
          <w:rStyle w:val="Foreign"/>
        </w:rPr>
        <w:t>Annual Report on Indian Epigraphy</w:t>
      </w:r>
      <w:r>
        <w:t xml:space="preserve"> should always involve the full specification illustrated in </w:t>
      </w:r>
      <w:r>
        <w:fldChar w:fldCharType="begin"/>
      </w:r>
      <w:r>
        <w:instrText xml:space="preserve"> REF _Ref44079042 \h </w:instrText>
      </w:r>
      <w:r>
        <w:fldChar w:fldCharType="separate"/>
      </w:r>
      <w:r>
        <w:t xml:space="preserve">Exhibit </w:t>
      </w:r>
      <w:r>
        <w:rPr>
          <w:noProof/>
        </w:rPr>
        <w:t>14.6</w:t>
      </w:r>
      <w:r>
        <w:t>.</w:t>
      </w:r>
      <w:r>
        <w:rPr>
          <w:noProof/>
        </w:rPr>
        <w:t>G</w:t>
      </w:r>
      <w:r>
        <w:fldChar w:fldCharType="end"/>
      </w:r>
      <w:r>
        <w:t xml:space="preserve"> and consisting of </w:t>
      </w:r>
    </w:p>
    <w:p w14:paraId="1FA804FD" w14:textId="77777777">
      <w:pPr>
        <w:pStyle w:val="Lista2"/>
      </w:pPr>
      <w:r>
        <w:t>the page number</w:t>
      </w:r>
    </w:p>
    <w:p w14:paraId="0BD41BE1" w14:textId="77777777">
      <w:pPr>
        <w:pStyle w:val="Lista2"/>
      </w:pPr>
      <w:r>
        <w:t xml:space="preserve">the identifier of the appendix including the year </w:t>
      </w:r>
      <w:r>
        <w:rPr>
          <w:noProof/>
        </w:rPr>
        <w:t>(</w:t>
      </w:r>
      <w:r>
        <w:t>or range of years written out in full), separated with a slash from the letter of the appendix</w:t>
      </w:r>
    </w:p>
    <w:p w14:paraId="668B334C" w14:textId="5E387396">
      <w:pPr>
        <w:pStyle w:val="Lista2"/>
      </w:pPr>
      <w:r>
        <w:t>the identifier of the item in the appendix</w:t>
      </w:r>
    </w:p>
    <w:tbl>
      <w:tblPr>
        <w:tblStyle w:val="CodeSampleTable"/>
        <w:tblW w:w="5000" w:type="pct"/>
        <w:tblLook w:val="04A0" w:firstRow="1" w:lastRow="0" w:firstColumn="1" w:lastColumn="0" w:noHBand="0" w:noVBand="1"/>
      </w:tblPr>
      <w:tblGrid>
        <w:gridCol w:w="9628"/>
      </w:tblGrid>
      <w:tr w14:paraId="614B1D2E"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53BC6ED" w14:textId="6D250464">
            <w:pPr>
              <w:pStyle w:val="Kpalrs"/>
            </w:pPr>
            <w:bookmarkStart w:id="1002" w:name="_Ref233818239"/>
            <w:r>
              <w:t xml:space="preserve">Exhibit </w:t>
            </w:r>
            <w:fldSimple w:instr=" STYLEREF 2 \s ">
              <w:r>
                <w:rPr>
                  <w:noProof/>
                </w:rPr>
                <w:t>14.6</w:t>
              </w:r>
            </w:fldSimple>
            <w:r>
              <w:t>.</w:t>
            </w:r>
            <w:fldSimple w:instr=" SEQ Exhibit \* ALPHABETIC \s 2 ">
              <w:r>
                <w:rPr>
                  <w:noProof/>
                </w:rPr>
                <w:t>D</w:t>
              </w:r>
            </w:fldSimple>
            <w:bookmarkEnd w:id="1002"/>
            <w:r>
              <w:t>: encoding a citation with a page and a figure number</w:t>
            </w:r>
          </w:p>
        </w:tc>
      </w:tr>
      <w:tr w14:paraId="5D714089" w14:textId="77777777">
        <w:tc>
          <w:tcPr>
            <w:tcW w:w="5000" w:type="pct"/>
          </w:tcPr>
          <w:p w14:paraId="19AB5890" w14:textId="77777777">
            <w:pPr>
              <w:pStyle w:val="TableNote"/>
              <w:keepNext/>
            </w:pPr>
            <w:r>
              <w:t>Majumdar 1943: 23–28, fig. 12</w:t>
            </w:r>
          </w:p>
        </w:tc>
      </w:tr>
      <w:tr w14:paraId="284DE762" w14:textId="77777777">
        <w:tc>
          <w:tcPr>
            <w:tcW w:w="5000" w:type="pct"/>
          </w:tcPr>
          <w:p w14:paraId="5CC5B8C3" w14:textId="77777777">
            <w:pPr>
              <w:pStyle w:val="CodeParagraph"/>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"bib:Majumdar1943_01"</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"page"</w:t>
            </w:r>
            <w:r>
              <w:rPr>
                <w:rStyle w:val="Code"/>
              </w:rPr>
              <w:t>&gt;</w:t>
            </w:r>
            <w:r>
              <w:rPr>
                <w:rStyle w:val="Codetext"/>
              </w:rPr>
              <w:t>23-28</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"figure"</w:t>
            </w:r>
            <w:r>
              <w:rPr>
                <w:rStyle w:val="Code"/>
              </w:rPr>
              <w:t>&gt;</w:t>
            </w:r>
            <w:r>
              <w:rPr>
                <w:rStyle w:val="Codetext"/>
              </w:rPr>
              <w:t>12</w:t>
            </w:r>
            <w:r>
              <w:rPr>
                <w:rStyle w:val="Code"/>
              </w:rPr>
              <w:t>&lt;/citedRange&gt;</w:t>
            </w:r>
            <w:r>
              <w:rPr>
                <w:rStyle w:val="Codetext"/>
              </w:rPr>
              <w:br/>
            </w:r>
            <w:r>
              <w:rPr>
                <w:rStyle w:val="Code"/>
              </w:rPr>
              <w:t>&lt;/bibl&gt;</w:t>
            </w:r>
          </w:p>
        </w:tc>
      </w:tr>
    </w:tbl>
    <w:p w14:paraId="4FB26C93" w14:textId="77777777"/>
    <w:tbl>
      <w:tblPr>
        <w:tblStyle w:val="CodeSampleTable"/>
        <w:tblW w:w="5000" w:type="pct"/>
        <w:tblLook w:val="04A0" w:firstRow="1" w:lastRow="0" w:firstColumn="1" w:lastColumn="0" w:noHBand="0" w:noVBand="1"/>
      </w:tblPr>
      <w:tblGrid>
        <w:gridCol w:w="9628"/>
      </w:tblGrid>
      <w:tr w14:paraId="0356F81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AFC124E" w14:textId="3CAFF04B">
            <w:pPr>
              <w:pStyle w:val="Kpalrs"/>
            </w:pPr>
            <w:r>
              <w:t xml:space="preserve">Exhibit </w:t>
            </w:r>
            <w:fldSimple w:instr=" STYLEREF 2 \s ">
              <w:r>
                <w:rPr>
                  <w:noProof/>
                </w:rPr>
                <w:t>14.6</w:t>
              </w:r>
            </w:fldSimple>
            <w:r>
              <w:t>.</w:t>
            </w:r>
            <w:fldSimple w:instr=" SEQ Exhibit \* ALPHABETIC \s 2 ">
              <w:r>
                <w:rPr>
                  <w:noProof/>
                </w:rPr>
                <w:t>E</w:t>
              </w:r>
            </w:fldSimple>
            <w:r>
              <w:t>: encoding a citation with a volume and section number</w:t>
            </w:r>
          </w:p>
        </w:tc>
      </w:tr>
      <w:tr w14:paraId="24868036" w14:textId="77777777">
        <w:tc>
          <w:tcPr>
            <w:tcW w:w="5000" w:type="pct"/>
          </w:tcPr>
          <w:p w14:paraId="3A77E484" w14:textId="77777777">
            <w:pPr>
              <w:pStyle w:val="TableNote"/>
              <w:keepNext/>
            </w:pPr>
            <w:r>
              <w:t>Edgerton 1953, vol. 1: §§34-36</w:t>
            </w:r>
          </w:p>
        </w:tc>
      </w:tr>
      <w:tr w14:paraId="020E6711" w14:textId="77777777">
        <w:tc>
          <w:tcPr>
            <w:tcW w:w="5000" w:type="pct"/>
          </w:tcPr>
          <w:p w14:paraId="56F14C71" w14:textId="77777777">
            <w:pPr>
              <w:pStyle w:val="CodeParagraph"/>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"bib:Edgerton1953_01"</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"volume"</w:t>
            </w:r>
            <w:r>
              <w:rPr>
                <w:rStyle w:val="Code"/>
              </w:rPr>
              <w:t>&gt;</w:t>
            </w:r>
            <w:r>
              <w:rPr>
                <w:rStyle w:val="Codetext"/>
              </w:rPr>
              <w:t>1</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"section"</w:t>
            </w:r>
            <w:r>
              <w:rPr>
                <w:rStyle w:val="Code"/>
              </w:rPr>
              <w:t>&gt;</w:t>
            </w:r>
            <w:r>
              <w:rPr>
                <w:rStyle w:val="Codetext"/>
              </w:rPr>
              <w:t>34-36</w:t>
            </w:r>
            <w:r>
              <w:rPr>
                <w:rStyle w:val="Code"/>
              </w:rPr>
              <w:t>&lt;/citedRange&gt;</w:t>
            </w:r>
            <w:r>
              <w:rPr>
                <w:rStyle w:val="Codetext"/>
              </w:rPr>
              <w:br/>
            </w:r>
            <w:r>
              <w:rPr>
                <w:rStyle w:val="Code"/>
              </w:rPr>
              <w:t>&lt;/bibl&gt;</w:t>
            </w:r>
          </w:p>
        </w:tc>
      </w:tr>
    </w:tbl>
    <w:p w14:paraId="7D94ACBF" w14:textId="77777777"/>
    <w:tbl>
      <w:tblPr>
        <w:tblStyle w:val="CodeSampleTable"/>
        <w:tblW w:w="5000" w:type="pct"/>
        <w:tblLook w:val="04A0" w:firstRow="1" w:lastRow="0" w:firstColumn="1" w:lastColumn="0" w:noHBand="0" w:noVBand="1"/>
      </w:tblPr>
      <w:tblGrid>
        <w:gridCol w:w="9628"/>
      </w:tblGrid>
      <w:tr w14:paraId="56D8810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BB416B8" w14:textId="0AC68E2C">
            <w:pPr>
              <w:pStyle w:val="Kpalrs"/>
            </w:pPr>
            <w:bookmarkStart w:id="1003" w:name="_Ref233818240"/>
            <w:r>
              <w:t xml:space="preserve">Exhibit </w:t>
            </w:r>
            <w:fldSimple w:instr=" STYLEREF 2 \s ">
              <w:r>
                <w:rPr>
                  <w:noProof/>
                </w:rPr>
                <w:t>14.6</w:t>
              </w:r>
            </w:fldSimple>
            <w:r>
              <w:t>.</w:t>
            </w:r>
            <w:fldSimple w:instr=" SEQ Exhibit \* ALPHABETIC \s 2 ">
              <w:r>
                <w:rPr>
                  <w:noProof/>
                </w:rPr>
                <w:t>F</w:t>
              </w:r>
            </w:fldSimple>
            <w:bookmarkEnd w:id="1003"/>
            <w:r>
              <w:t>: encoding a citation with a volume and page number</w:t>
            </w:r>
          </w:p>
        </w:tc>
      </w:tr>
      <w:tr w14:paraId="2E0BC6B2" w14:textId="77777777">
        <w:tc>
          <w:tcPr>
            <w:tcW w:w="5000" w:type="pct"/>
          </w:tcPr>
          <w:p w14:paraId="4ADA26B5" w14:textId="77777777">
            <w:pPr>
              <w:pStyle w:val="TableNote"/>
              <w:keepNext/>
            </w:pPr>
            <w:r>
              <w:t>Majumdar 1943, vol. 1: 23–28</w:t>
            </w:r>
          </w:p>
        </w:tc>
      </w:tr>
      <w:tr w14:paraId="668A8487" w14:textId="77777777">
        <w:tc>
          <w:tcPr>
            <w:tcW w:w="5000" w:type="pct"/>
          </w:tcPr>
          <w:p w14:paraId="14D26572" w14:textId="77777777">
            <w:pPr>
              <w:pStyle w:val="CodeParagraph"/>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"bib:Majumdar1943_01"</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"volume"</w:t>
            </w:r>
            <w:r>
              <w:rPr>
                <w:rStyle w:val="Code"/>
              </w:rPr>
              <w:t>&gt;</w:t>
            </w:r>
            <w:r>
              <w:rPr>
                <w:rStyle w:val="Codetext"/>
              </w:rPr>
              <w:t>1</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"page"</w:t>
            </w:r>
            <w:r>
              <w:rPr>
                <w:rStyle w:val="Code"/>
              </w:rPr>
              <w:t>&gt;</w:t>
            </w:r>
            <w:r>
              <w:rPr>
                <w:rStyle w:val="Codetext"/>
              </w:rPr>
              <w:t>23-28</w:t>
            </w:r>
            <w:r>
              <w:rPr>
                <w:rStyle w:val="Code"/>
              </w:rPr>
              <w:t>&lt;/citedRange&gt;</w:t>
            </w:r>
            <w:r>
              <w:rPr>
                <w:rStyle w:val="Codetext"/>
              </w:rPr>
              <w:br/>
            </w:r>
            <w:r>
              <w:rPr>
                <w:rStyle w:val="Code"/>
              </w:rPr>
              <w:t>&lt;/bibl&gt;</w:t>
            </w:r>
          </w:p>
        </w:tc>
      </w:tr>
    </w:tbl>
    <w:p w14:paraId="6B0B1F22" w14:textId="77777777"/>
    <w:tbl>
      <w:tblPr>
        <w:tblStyle w:val="CodeSampleTable"/>
        <w:tblW w:w="5000" w:type="pct"/>
        <w:tblLook w:val="04A0" w:firstRow="1" w:lastRow="0" w:firstColumn="1" w:lastColumn="0" w:noHBand="0" w:noVBand="1"/>
      </w:tblPr>
      <w:tblGrid>
        <w:gridCol w:w="9628"/>
      </w:tblGrid>
      <w:tr w14:paraId="015C39E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4B6515E" w14:textId="0B7FF93A">
            <w:pPr>
              <w:pStyle w:val="Kpalrs"/>
            </w:pPr>
            <w:bookmarkStart w:id="1004" w:name="_Ref44079042"/>
            <w:r>
              <w:t xml:space="preserve">Exhibit </w:t>
            </w:r>
            <w:fldSimple w:instr=" STYLEREF 2 \s ">
              <w:r>
                <w:rPr>
                  <w:noProof/>
                </w:rPr>
                <w:t>14.6</w:t>
              </w:r>
            </w:fldSimple>
            <w:r>
              <w:t>.</w:t>
            </w:r>
            <w:fldSimple w:instr=" SEQ Exhibit \* ALPHABETIC \s 2 ">
              <w:r>
                <w:rPr>
                  <w:noProof/>
                </w:rPr>
                <w:t>G</w:t>
              </w:r>
            </w:fldSimple>
            <w:bookmarkEnd w:id="1004"/>
            <w:r>
              <w:t>: encoding a citation of the Annual Report on Indian Epigraphy</w:t>
            </w:r>
          </w:p>
        </w:tc>
      </w:tr>
      <w:tr w14:paraId="5109C3B0" w14:textId="77777777">
        <w:tc>
          <w:tcPr>
            <w:tcW w:w="5000" w:type="pct"/>
          </w:tcPr>
          <w:p w14:paraId="4A26E41B" w14:textId="77777777">
            <w:pPr>
              <w:pStyle w:val="TableNote"/>
              <w:keepNext/>
            </w:pPr>
            <w:r>
              <w:t>ARIE 1962–63, p. 157, appendix C/1945–1946, № 1</w:t>
            </w:r>
          </w:p>
        </w:tc>
      </w:tr>
      <w:tr w14:paraId="1FF417C6" w14:textId="77777777">
        <w:tc>
          <w:tcPr>
            <w:tcW w:w="5000" w:type="pct"/>
          </w:tcPr>
          <w:p w14:paraId="7EA5211B" w14:textId="77777777">
            <w:pPr>
              <w:pStyle w:val="CodeParagraph"/>
              <w:keepNext/>
              <w:spacing w:line="240" w:lineRule="auto"/>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"bib:ARIE1962-1963"</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"page"</w:t>
            </w:r>
            <w:r>
              <w:rPr>
                <w:rStyle w:val="Code"/>
              </w:rPr>
              <w:t>&gt;</w:t>
            </w:r>
            <w:r>
              <w:rPr>
                <w:rStyle w:val="Codetext"/>
              </w:rPr>
              <w:t>157</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"appendix"</w:t>
            </w:r>
            <w:r>
              <w:rPr>
                <w:rStyle w:val="Code"/>
              </w:rPr>
              <w:t>&gt;</w:t>
            </w:r>
            <w:r>
              <w:rPr>
                <w:rStyle w:val="Codetext"/>
              </w:rPr>
              <w:t>C/1945-1946</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"item"</w:t>
            </w:r>
            <w:r>
              <w:rPr>
                <w:rStyle w:val="Code"/>
              </w:rPr>
              <w:t>&gt;</w:t>
            </w:r>
            <w:r>
              <w:rPr>
                <w:rStyle w:val="Codetext"/>
              </w:rPr>
              <w:t>1</w:t>
            </w:r>
            <w:r>
              <w:rPr>
                <w:rStyle w:val="Code"/>
              </w:rPr>
              <w:t>&lt;/citedRange&gt;</w:t>
            </w:r>
            <w:r>
              <w:rPr>
                <w:rStyle w:val="Codetext"/>
              </w:rPr>
              <w:br/>
            </w:r>
            <w:r>
              <w:rPr>
                <w:rStyle w:val="Code"/>
              </w:rPr>
              <w:t>&lt;/bibl&gt;</w:t>
            </w:r>
          </w:p>
        </w:tc>
      </w:tr>
    </w:tbl>
    <w:p w14:paraId="7240D048" w14:textId="77777777"/>
    <w:p w14:paraId="3B8353B1" w14:textId="77777777">
      <w:pPr>
        <w:pStyle w:val="Cmsor4"/>
      </w:pPr>
      <w:bookmarkStart w:id="1005" w:name="_Ref233811324"/>
      <w:r>
        <w:lastRenderedPageBreak/>
        <w:t>Freestyle specification</w:t>
      </w:r>
      <w:bookmarkEnd w:id="1005"/>
    </w:p>
    <w:p w14:paraId="382E78C1" w14:textId="77777777">
      <w:r>
        <w:rPr>
          <w:lang w:eastAsia="en-US" w:bidi="ar-SA"/>
        </w:rPr>
        <w:t xml:space="preserve">It is sometimes desirable for a single citation to refer to several points in a publication where the points are identified by different units or different combinations of units </w:t>
      </w:r>
      <w:r>
        <w:t>(e.g. “notes 9 and 10 on page 291 and the body text on page 320”, “page 15 and appendix A”,  or “pages 216–217 of Part I and Plate XI in Part II”). Encoding such citations rigorously would be greatly complicated with no tangible return as regards machine actionability, therefore we permit the “freestyle” specification of citations.</w:t>
      </w:r>
    </w:p>
    <w:p w14:paraId="69DB5A94" w14:textId="77777777">
      <w:pPr>
        <w:pStyle w:val="Lista"/>
      </w:pPr>
      <w:r>
        <w:t xml:space="preserve">to encode a freestyle specification, use </w:t>
      </w:r>
      <w:r>
        <w:rPr>
          <w:rStyle w:val="Code"/>
        </w:rPr>
        <w:t>&lt;citedRange&gt;</w:t>
      </w:r>
      <w:r>
        <w:t xml:space="preserve"> with </w:t>
      </w:r>
      <w:r>
        <w:rPr>
          <w:rStyle w:val="Codeattribute"/>
        </w:rPr>
        <w:t>@unit</w:t>
      </w:r>
      <w:r>
        <w:rPr>
          <w:rStyle w:val="Code"/>
        </w:rPr>
        <w:t>=</w:t>
      </w:r>
      <w:r>
        <w:rPr>
          <w:rStyle w:val="Codevalue"/>
        </w:rPr>
        <w:t>"mixed"</w:t>
      </w:r>
      <w:r>
        <w:t xml:space="preserve"> </w:t>
      </w:r>
    </w:p>
    <w:p w14:paraId="1F2ED122" w14:textId="77777777">
      <w:pPr>
        <w:pStyle w:val="Lista"/>
      </w:pPr>
      <w:r>
        <w:t>the contents of this element shall be a human-readable, non-rigorous but unambiguous conventional indication of the target of your citation, such as</w:t>
      </w:r>
    </w:p>
    <w:p w14:paraId="6219D85F" w14:textId="77777777">
      <w:pPr>
        <w:pStyle w:val="Lista3"/>
      </w:pPr>
      <w:r>
        <w:rPr>
          <w:rStyle w:val="Codetext"/>
        </w:rPr>
        <w:t>p. 291 nn. 9, 10; p. 320</w:t>
      </w:r>
      <w:r>
        <w:t xml:space="preserve"> </w:t>
      </w:r>
    </w:p>
    <w:p w14:paraId="148E983F" w14:textId="77777777">
      <w:pPr>
        <w:pStyle w:val="Lista3"/>
      </w:pPr>
      <w:r>
        <w:rPr>
          <w:rStyle w:val="Codetext"/>
        </w:rPr>
        <w:t>p. 15, App. A</w:t>
      </w:r>
      <w:r>
        <w:t xml:space="preserve"> </w:t>
      </w:r>
    </w:p>
    <w:p w14:paraId="3D73534C" w14:textId="77777777">
      <w:pPr>
        <w:pStyle w:val="Lista3"/>
      </w:pPr>
      <w:r>
        <w:rPr>
          <w:rStyle w:val="Codetext"/>
        </w:rPr>
        <w:t>part I, pp. 216–217; part II, pl. XI</w:t>
      </w:r>
    </w:p>
    <w:p w14:paraId="5BB3AE1F" w14:textId="07328AD2">
      <w:pPr>
        <w:pStyle w:val="Lista2"/>
      </w:pPr>
      <w:r>
        <w:t xml:space="preserve">see </w:t>
      </w:r>
      <w:r>
        <w:fldChar w:fldCharType="begin"/>
      </w:r>
      <w:r>
        <w:instrText xml:space="preserve"> REF _Ref233819299 \h </w:instrText>
      </w:r>
      <w:r>
        <w:fldChar w:fldCharType="separate"/>
      </w:r>
      <w:r>
        <w:t xml:space="preserve">Exhibit </w:t>
      </w:r>
      <w:r>
        <w:rPr>
          <w:noProof/>
        </w:rPr>
        <w:t>14.6</w:t>
      </w:r>
      <w:r>
        <w:t>.</w:t>
      </w:r>
      <w:r>
        <w:rPr>
          <w:noProof/>
        </w:rPr>
        <w:t>H</w:t>
      </w:r>
      <w:r>
        <w:fldChar w:fldCharType="end"/>
      </w:r>
      <w:r>
        <w:t xml:space="preserve"> for an illustration</w:t>
      </w:r>
    </w:p>
    <w:tbl>
      <w:tblPr>
        <w:tblStyle w:val="CodeSampleTable"/>
        <w:tblW w:w="5000" w:type="pct"/>
        <w:tblLook w:val="04A0" w:firstRow="1" w:lastRow="0" w:firstColumn="1" w:lastColumn="0" w:noHBand="0" w:noVBand="1"/>
      </w:tblPr>
      <w:tblGrid>
        <w:gridCol w:w="9628"/>
      </w:tblGrid>
      <w:tr w14:paraId="05C655F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72BC8E2" w14:textId="3DAA414D">
            <w:pPr>
              <w:pStyle w:val="Kpalrs"/>
            </w:pPr>
            <w:bookmarkStart w:id="1006" w:name="_Ref233819299"/>
            <w:r>
              <w:t xml:space="preserve">Exhibit </w:t>
            </w:r>
            <w:fldSimple w:instr=" STYLEREF 2 \s ">
              <w:r>
                <w:rPr>
                  <w:noProof/>
                </w:rPr>
                <w:t>14.6</w:t>
              </w:r>
            </w:fldSimple>
            <w:r>
              <w:t>.</w:t>
            </w:r>
            <w:fldSimple w:instr=" SEQ Exhibit \* ALPHABETIC \s 2 ">
              <w:r>
                <w:rPr>
                  <w:noProof/>
                </w:rPr>
                <w:t>H</w:t>
              </w:r>
            </w:fldSimple>
            <w:bookmarkEnd w:id="1006"/>
            <w:r>
              <w:t>: encoding a freestyle citation</w:t>
            </w:r>
          </w:p>
        </w:tc>
      </w:tr>
      <w:tr w14:paraId="52A4CAA3" w14:textId="77777777">
        <w:tc>
          <w:tcPr>
            <w:tcW w:w="5000" w:type="pct"/>
          </w:tcPr>
          <w:p w14:paraId="24DD236D" w14:textId="77777777">
            <w:pPr>
              <w:pStyle w:val="TableNote"/>
              <w:keepNext/>
            </w:pPr>
            <w:r>
              <w:t>ARIE 1938–39, p. 38, Appendix B/1938-1939, № 271; p. 91, §59</w:t>
            </w:r>
          </w:p>
        </w:tc>
      </w:tr>
      <w:tr w14:paraId="44F2B560" w14:textId="77777777">
        <w:tc>
          <w:tcPr>
            <w:tcW w:w="5000" w:type="pct"/>
          </w:tcPr>
          <w:p w14:paraId="16FEB858" w14:textId="77777777">
            <w:pPr>
              <w:pStyle w:val="CodeParagraph"/>
              <w:keepNext/>
              <w:spacing w:line="240" w:lineRule="auto"/>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"bib:ARIE1938-1939"</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"mixed"</w:t>
            </w:r>
            <w:r>
              <w:rPr>
                <w:rStyle w:val="Code"/>
              </w:rPr>
              <w:t>&gt;</w:t>
            </w:r>
            <w:r>
              <w:t xml:space="preserve"> </w:t>
            </w:r>
            <w:r>
              <w:rPr>
                <w:rStyle w:val="Codetext"/>
              </w:rPr>
              <w:t>p. 38, Appendix B/1938-1939, No. 271; p. 91, §59</w:t>
            </w:r>
            <w:r>
              <w:rPr>
                <w:rStyle w:val="Code"/>
              </w:rPr>
              <w:t>&lt;/citedRange&gt;</w:t>
            </w:r>
            <w:r>
              <w:rPr>
                <w:rStyle w:val="Codetext"/>
              </w:rPr>
              <w:br/>
            </w:r>
            <w:r>
              <w:rPr>
                <w:rStyle w:val="Code"/>
              </w:rPr>
              <w:t>&lt;/bibl&gt;</w:t>
            </w:r>
          </w:p>
        </w:tc>
      </w:tr>
    </w:tbl>
    <w:p w14:paraId="5C93623D" w14:textId="77777777">
      <w:pPr>
        <w:pStyle w:val="Cmsor4"/>
      </w:pPr>
      <w:bookmarkStart w:id="1007" w:name="_Ref233818238"/>
      <w:r>
        <w:t>Managing the appearance of displayed citations</w:t>
      </w:r>
      <w:bookmarkEnd w:id="1007"/>
    </w:p>
    <w:p w14:paraId="1D2C9468" w14:textId="77777777">
      <w:r>
        <w:t>In the DHARMA environment, encoded citations will be displayed as an author-date citation (except for specific publications for which our Zotero database specifies a display shorthand such as ARIE, cf. ZG §4.15). When encoding a citation in text (i.e. outside the structured bibliographies), the following considerations apply to the integration of the citation with the surrounding text.</w:t>
      </w:r>
    </w:p>
    <w:p w14:paraId="52460FE1" w14:textId="77777777">
      <w:pPr>
        <w:pStyle w:val="Lista"/>
      </w:pPr>
      <w:r>
        <w:t>the specifics of a citation (page numbers and/or other units) will be automatically shown as conventional human-readable notation</w:t>
      </w:r>
    </w:p>
    <w:p w14:paraId="64DC0A1F" w14:textId="77777777">
      <w:pPr>
        <w:pStyle w:val="Lista2"/>
      </w:pPr>
      <w:r>
        <w:t xml:space="preserve">when a range or list of page numbers or other specifications is encoded in </w:t>
      </w:r>
      <w:r>
        <w:rPr>
          <w:rStyle w:val="Code"/>
        </w:rPr>
        <w:t>&lt;citedRange&gt;</w:t>
      </w:r>
      <w:r>
        <w:t xml:space="preserve">, the notation will be automatically changed to the corresponding plural (e.g. </w:t>
      </w:r>
      <w:r>
        <w:rPr>
          <w:rStyle w:val="Foreign"/>
        </w:rPr>
        <w:t>pp.</w:t>
      </w:r>
      <w:r>
        <w:t xml:space="preserve"> for pages, </w:t>
      </w:r>
      <w:r>
        <w:rPr>
          <w:rStyle w:val="Foreign"/>
        </w:rPr>
        <w:t>§§</w:t>
      </w:r>
      <w:r>
        <w:t xml:space="preserve"> for sections, etc.)</w:t>
      </w:r>
    </w:p>
    <w:p w14:paraId="687D29DD" w14:textId="77777777">
      <w:pPr>
        <w:pStyle w:val="Lista2"/>
      </w:pPr>
      <w:r>
        <w:t>this automatic conversion may occasionally miss items that should be displayed in the plural or produce false positives and display a plural where a singular is desired</w:t>
      </w:r>
    </w:p>
    <w:p w14:paraId="24BC04FD" w14:textId="76F4152E">
      <w:pPr>
        <w:pStyle w:val="Lista3"/>
      </w:pPr>
      <w:r>
        <w:t>this should not be detrimental to the interpretability of our citations, but if the appearance bothers you after seeing the display transformation of your work, feel free to encode a freestyle reference (§</w:t>
      </w:r>
      <w:r>
        <w:fldChar w:fldCharType="begin"/>
      </w:r>
      <w:r>
        <w:instrText xml:space="preserve"> REF _Ref233811324 \r \h </w:instrText>
      </w:r>
      <w:r>
        <w:fldChar w:fldCharType="separate"/>
      </w:r>
      <w:r>
        <w:t>14.6.1.5</w:t>
      </w:r>
      <w:r>
        <w:fldChar w:fldCharType="end"/>
      </w:r>
      <w:r>
        <w:t>) instead</w:t>
      </w:r>
    </w:p>
    <w:p w14:paraId="5C18217E" w14:textId="77777777">
      <w:pPr>
        <w:pStyle w:val="Lista3"/>
      </w:pPr>
      <w:r>
        <w:t xml:space="preserve">automatic plural display is not generated for </w:t>
      </w:r>
      <w:r>
        <w:rPr>
          <w:rStyle w:val="Codeattribute"/>
        </w:rPr>
        <w:t>@unit=</w:t>
      </w:r>
      <w:r>
        <w:rPr>
          <w:rStyle w:val="Codevalue"/>
        </w:rPr>
        <w:t>"appendix"</w:t>
      </w:r>
      <w:r>
        <w:t>, because one rarely cites more than one appendix simultaneously, whereas some of the appendices we commonly refer to (particularly, ARIE appendices whose numbering contains a year range) would be misinterpreted by the algorithm as multiple values</w:t>
      </w:r>
    </w:p>
    <w:p w14:paraId="24C9D8D5" w14:textId="77777777">
      <w:pPr>
        <w:pStyle w:val="Lista"/>
      </w:pPr>
      <w:r>
        <w:t>parentheses will not be automatically produced around citations</w:t>
      </w:r>
    </w:p>
    <w:p w14:paraId="6E903918" w14:textId="77777777">
      <w:pPr>
        <w:pStyle w:val="Lista2"/>
      </w:pPr>
      <w:r>
        <w:t xml:space="preserve">to show a bibliographic citation in parentheses, you must add the parentheses around the </w:t>
      </w:r>
      <w:r>
        <w:rPr>
          <w:rStyle w:val="Code"/>
        </w:rPr>
        <w:t>&lt;bibl&gt;</w:t>
      </w:r>
      <w:r>
        <w:t xml:space="preserve"> element</w:t>
      </w:r>
    </w:p>
    <w:p w14:paraId="2DEB4621" w14:textId="77777777">
      <w:pPr>
        <w:pStyle w:val="Lista"/>
      </w:pPr>
      <w:r>
        <w:t>the name of the author(s) will always be shown (unless suppressed through a display shorthand in the Zotero record, ZG §4.15)</w:t>
      </w:r>
    </w:p>
    <w:p w14:paraId="35EE35EF" w14:textId="77777777">
      <w:pPr>
        <w:pStyle w:val="Lista2"/>
      </w:pPr>
      <w:r>
        <w:t>when the author name is an integral part of your text and you want only the year of publication and any applicable specifications shown in parentheses, proceed as follows</w:t>
      </w:r>
    </w:p>
    <w:p w14:paraId="0E97D26A" w14:textId="77777777">
      <w:pPr>
        <w:pStyle w:val="Lista3"/>
      </w:pPr>
      <w:r>
        <w:t>write the author name at the place and in the form you want it</w:t>
      </w:r>
    </w:p>
    <w:p w14:paraId="716FF603" w14:textId="77777777">
      <w:pPr>
        <w:pStyle w:val="Lista3"/>
      </w:pPr>
      <w:r>
        <w:t xml:space="preserve">enter the parentheses around the </w:t>
      </w:r>
      <w:r>
        <w:rPr>
          <w:rStyle w:val="Code"/>
        </w:rPr>
        <w:t>&lt;bibl&gt;</w:t>
      </w:r>
      <w:r>
        <w:t xml:space="preserve"> element</w:t>
      </w:r>
    </w:p>
    <w:p w14:paraId="6F3DB232" w14:textId="77777777">
      <w:pPr>
        <w:pStyle w:val="Lista3"/>
      </w:pPr>
      <w:r>
        <w:t xml:space="preserve">add the attribute </w:t>
      </w:r>
      <w:r>
        <w:rPr>
          <w:rStyle w:val="Codeattribute"/>
        </w:rPr>
        <w:t>@rend</w:t>
      </w:r>
      <w:r>
        <w:t xml:space="preserve"> with the value </w:t>
      </w:r>
      <w:r>
        <w:rPr>
          <w:rStyle w:val="Codevalue"/>
        </w:rPr>
        <w:t>"omitname"</w:t>
      </w:r>
      <w:r>
        <w:t xml:space="preserve"> to the </w:t>
      </w:r>
      <w:r>
        <w:rPr>
          <w:rStyle w:val="Code"/>
        </w:rPr>
        <w:t>&lt;bibl&gt;</w:t>
      </w:r>
      <w:r>
        <w:t xml:space="preserve"> element to suppress the automatic display of the author name</w:t>
      </w:r>
    </w:p>
    <w:p w14:paraId="2CEA1197" w14:textId="34834905">
      <w:pPr>
        <w:pStyle w:val="Lista3"/>
      </w:pPr>
      <w:r>
        <w:t xml:space="preserve">see </w:t>
      </w:r>
      <w:r>
        <w:fldChar w:fldCharType="begin"/>
      </w:r>
      <w:r>
        <w:instrText xml:space="preserve"> REF _Ref44079069 \h  \* MERGEFORMAT </w:instrText>
      </w:r>
      <w:r>
        <w:fldChar w:fldCharType="separate"/>
      </w:r>
      <w:r>
        <w:t xml:space="preserve">Exhibit </w:t>
      </w:r>
      <w:r>
        <w:rPr>
          <w:noProof/>
        </w:rPr>
        <w:t>14.6.I</w:t>
      </w:r>
      <w:r>
        <w:fldChar w:fldCharType="end"/>
      </w:r>
      <w:r>
        <w:t xml:space="preserve"> below for an illustration</w:t>
      </w:r>
    </w:p>
    <w:p w14:paraId="2AB19736" w14:textId="77777777">
      <w:pPr>
        <w:pStyle w:val="Lista"/>
      </w:pPr>
      <w:r>
        <w:lastRenderedPageBreak/>
        <w:t>if you wish to show “ibid.” instead of the name of the author</w:t>
      </w:r>
      <w:r>
        <w:rPr>
          <w:noProof/>
        </w:rPr>
        <w:t>(</w:t>
      </w:r>
      <w:r>
        <w:t>s):</w:t>
      </w:r>
    </w:p>
    <w:p w14:paraId="7A02C5C9" w14:textId="77777777">
      <w:pPr>
        <w:pStyle w:val="Lista2"/>
      </w:pPr>
      <w:r>
        <w:t xml:space="preserve">add the attribute </w:t>
      </w:r>
      <w:r>
        <w:rPr>
          <w:rStyle w:val="Codeattribute"/>
        </w:rPr>
        <w:t>@rend</w:t>
      </w:r>
      <w:r>
        <w:t xml:space="preserve"> with the value </w:t>
      </w:r>
      <w:r>
        <w:rPr>
          <w:rStyle w:val="Codevalue"/>
        </w:rPr>
        <w:t>"ibid"</w:t>
      </w:r>
      <w:r>
        <w:t xml:space="preserve"> to the </w:t>
      </w:r>
      <w:r>
        <w:rPr>
          <w:rStyle w:val="Code"/>
        </w:rPr>
        <w:t>&lt;bibl&gt;</w:t>
      </w:r>
      <w:r>
        <w:t xml:space="preserve"> element, which will display “ibid.” instead of the name</w:t>
      </w:r>
    </w:p>
    <w:p w14:paraId="576AA1AF" w14:textId="77777777">
      <w:pPr>
        <w:pStyle w:val="Lista2"/>
      </w:pPr>
      <w:r>
        <w:t>this encoding may be used</w:t>
      </w:r>
    </w:p>
    <w:p w14:paraId="30C9A58B" w14:textId="77777777">
      <w:pPr>
        <w:pStyle w:val="Lista3"/>
      </w:pPr>
      <w:r>
        <w:t>with a page reference to refer to another part of a publication cited immediately before</w:t>
      </w:r>
    </w:p>
    <w:p w14:paraId="42E09FB6" w14:textId="77777777">
      <w:pPr>
        <w:pStyle w:val="Lista3"/>
      </w:pPr>
      <w:r>
        <w:t>without a page reference to refer to the same locus as that cited immediately before</w:t>
      </w:r>
    </w:p>
    <w:p w14:paraId="3E5BD745" w14:textId="77777777">
      <w:pPr>
        <w:pStyle w:val="Lista2"/>
      </w:pPr>
      <w:r>
        <w:t>as above, parentheses will not be automatically added and will have to be created by you if you need them</w:t>
      </w:r>
    </w:p>
    <w:p w14:paraId="0D6B194C" w14:textId="423D077A">
      <w:pPr>
        <w:pStyle w:val="Lista2"/>
      </w:pPr>
      <w:r>
        <w:t xml:space="preserve">see </w:t>
      </w:r>
      <w:r>
        <w:fldChar w:fldCharType="begin"/>
      </w:r>
      <w:r>
        <w:instrText xml:space="preserve"> REF _Ref44079082 \h  \* MERGEFORMAT </w:instrText>
      </w:r>
      <w:r>
        <w:fldChar w:fldCharType="separate"/>
      </w:r>
      <w:r>
        <w:t xml:space="preserve">Exhibit </w:t>
      </w:r>
      <w:r>
        <w:rPr>
          <w:noProof/>
        </w:rPr>
        <w:t>14.6.J</w:t>
      </w:r>
      <w:r>
        <w:fldChar w:fldCharType="end"/>
      </w:r>
      <w:r>
        <w:t xml:space="preserve"> below for an illustration</w:t>
      </w:r>
    </w:p>
    <w:tbl>
      <w:tblPr>
        <w:tblStyle w:val="CodeSampleTable"/>
        <w:tblW w:w="5000" w:type="pct"/>
        <w:tblLook w:val="04A0" w:firstRow="1" w:lastRow="0" w:firstColumn="1" w:lastColumn="0" w:noHBand="0" w:noVBand="1"/>
      </w:tblPr>
      <w:tblGrid>
        <w:gridCol w:w="9628"/>
      </w:tblGrid>
      <w:tr w14:paraId="48C5EE27"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0B632C1" w14:textId="11B6F58D">
            <w:pPr>
              <w:pStyle w:val="Kpalrs"/>
            </w:pPr>
            <w:bookmarkStart w:id="1008" w:name="_Ref44079069"/>
            <w:r>
              <w:t xml:space="preserve">Exhibit </w:t>
            </w:r>
            <w:fldSimple w:instr=" STYLEREF 2 \s ">
              <w:r>
                <w:rPr>
                  <w:noProof/>
                </w:rPr>
                <w:t>14.6</w:t>
              </w:r>
            </w:fldSimple>
            <w:r>
              <w:t>.</w:t>
            </w:r>
            <w:fldSimple w:instr=" SEQ Exhibit \* ALPHABETIC \s 2 ">
              <w:r>
                <w:rPr>
                  <w:noProof/>
                </w:rPr>
                <w:t>I</w:t>
              </w:r>
            </w:fldSimple>
            <w:bookmarkEnd w:id="1008"/>
            <w:r>
              <w:t>: encoding a citation with parentheses only around the year and pages</w:t>
            </w:r>
          </w:p>
        </w:tc>
      </w:tr>
      <w:tr w14:paraId="4C760693" w14:textId="77777777">
        <w:tc>
          <w:tcPr>
            <w:tcW w:w="5000" w:type="pct"/>
          </w:tcPr>
          <w:p w14:paraId="6C4E386A" w14:textId="77777777">
            <w:pPr>
              <w:pStyle w:val="TableNote"/>
              <w:keepNext/>
            </w:pPr>
            <w:r>
              <w:t xml:space="preserve">Majumdar </w:t>
            </w:r>
            <w:r>
              <w:rPr>
                <w:noProof/>
              </w:rPr>
              <w:t>(</w:t>
            </w:r>
            <w:r>
              <w:t>1943: 23–28)</w:t>
            </w:r>
          </w:p>
          <w:p w14:paraId="0FD72A14" w14:textId="77777777">
            <w:pPr>
              <w:pStyle w:val="TableNote"/>
              <w:keepNext/>
            </w:pPr>
            <w:r>
              <w:t xml:space="preserve">note that the parentheses are added manually around the </w:t>
            </w:r>
            <w:r>
              <w:rPr>
                <w:rStyle w:val="Code"/>
              </w:rPr>
              <w:t>&lt;bibl&gt;</w:t>
            </w:r>
            <w:r>
              <w:t xml:space="preserve"> element</w:t>
            </w:r>
          </w:p>
        </w:tc>
      </w:tr>
      <w:tr w14:paraId="495A6E08" w14:textId="77777777">
        <w:tc>
          <w:tcPr>
            <w:tcW w:w="5000" w:type="pct"/>
          </w:tcPr>
          <w:p w14:paraId="66E70FEA" w14:textId="77777777">
            <w:pPr>
              <w:pStyle w:val="CodeParagraph"/>
              <w:rPr>
                <w:rStyle w:val="Code"/>
              </w:rPr>
            </w:pPr>
            <w:r>
              <w:rPr>
                <w:rStyle w:val="Codetext"/>
              </w:rPr>
              <w:t>Majumdar (</w:t>
            </w:r>
            <w:r>
              <w:rPr>
                <w:rStyle w:val="Code"/>
              </w:rPr>
              <w:t xml:space="preserve">&lt;bibl </w:t>
            </w:r>
            <w:r>
              <w:rPr>
                <w:rStyle w:val="Codeattribute"/>
              </w:rPr>
              <w:t>rend</w:t>
            </w:r>
            <w:r>
              <w:rPr>
                <w:rStyle w:val="Code"/>
              </w:rPr>
              <w:t>=</w:t>
            </w:r>
            <w:r>
              <w:rPr>
                <w:rStyle w:val="Codevalue"/>
              </w:rPr>
              <w:t>"omitname"</w:t>
            </w:r>
            <w:r>
              <w:rPr>
                <w:rStyle w:val="Code"/>
              </w:rPr>
              <w:t>&gt;</w:t>
            </w:r>
            <w:r>
              <w:rPr>
                <w:rStyle w:val="Codetext"/>
              </w:rPr>
              <w:br/>
              <w:t xml:space="preserve">  </w:t>
            </w:r>
            <w:r>
              <w:rPr>
                <w:rStyle w:val="Code"/>
              </w:rPr>
              <w:t xml:space="preserve">&lt;ptr </w:t>
            </w:r>
            <w:r>
              <w:rPr>
                <w:rStyle w:val="Codeattribute"/>
              </w:rPr>
              <w:t>target</w:t>
            </w:r>
            <w:r>
              <w:rPr>
                <w:rStyle w:val="Code"/>
              </w:rPr>
              <w:t>=</w:t>
            </w:r>
            <w:r>
              <w:rPr>
                <w:rStyle w:val="Codevalue"/>
              </w:rPr>
              <w:t>"bib:Majumdar1943_01"</w:t>
            </w:r>
            <w:r>
              <w:rPr>
                <w:rStyle w:val="Code"/>
              </w:rPr>
              <w:t>/&gt;</w:t>
            </w:r>
            <w:r>
              <w:rPr>
                <w:rStyle w:val="Codetext"/>
              </w:rPr>
              <w:br/>
              <w:t xml:space="preserve">  </w:t>
            </w:r>
            <w:r>
              <w:rPr>
                <w:rStyle w:val="Code"/>
              </w:rPr>
              <w:t>&lt;citedRange&gt;</w:t>
            </w:r>
            <w:r>
              <w:rPr>
                <w:rStyle w:val="Codetext"/>
              </w:rPr>
              <w:t>23-28</w:t>
            </w:r>
            <w:r>
              <w:rPr>
                <w:rStyle w:val="Code"/>
              </w:rPr>
              <w:t>&lt;/citedRange&gt;</w:t>
            </w:r>
            <w:r>
              <w:rPr>
                <w:rStyle w:val="Codetext"/>
              </w:rPr>
              <w:br/>
            </w:r>
            <w:r>
              <w:rPr>
                <w:rStyle w:val="Code"/>
              </w:rPr>
              <w:t>&lt;/bibl&gt;</w:t>
            </w:r>
            <w:r>
              <w:t>)</w:t>
            </w:r>
          </w:p>
        </w:tc>
      </w:tr>
    </w:tbl>
    <w:p w14:paraId="2D3C0392" w14:textId="77777777"/>
    <w:tbl>
      <w:tblPr>
        <w:tblStyle w:val="CodeSampleTable"/>
        <w:tblW w:w="5000" w:type="pct"/>
        <w:tblLook w:val="04A0" w:firstRow="1" w:lastRow="0" w:firstColumn="1" w:lastColumn="0" w:noHBand="0" w:noVBand="1"/>
      </w:tblPr>
      <w:tblGrid>
        <w:gridCol w:w="9628"/>
      </w:tblGrid>
      <w:tr w14:paraId="2C8144A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261C9A2" w14:textId="45417454">
            <w:pPr>
              <w:pStyle w:val="Kpalrs"/>
            </w:pPr>
            <w:bookmarkStart w:id="1009" w:name="_Ref44079082"/>
            <w:r>
              <w:t xml:space="preserve">Exhibit </w:t>
            </w:r>
            <w:fldSimple w:instr=" STYLEREF 2 \s ">
              <w:r>
                <w:rPr>
                  <w:noProof/>
                </w:rPr>
                <w:t>14.6</w:t>
              </w:r>
            </w:fldSimple>
            <w:r>
              <w:t>.</w:t>
            </w:r>
            <w:fldSimple w:instr=" SEQ Exhibit \* ALPHABETIC \s 2 ">
              <w:r>
                <w:rPr>
                  <w:noProof/>
                </w:rPr>
                <w:t>J</w:t>
              </w:r>
            </w:fldSimple>
            <w:bookmarkEnd w:id="1009"/>
            <w:r>
              <w:t>: encoding a citation with ibid.</w:t>
            </w:r>
          </w:p>
        </w:tc>
      </w:tr>
      <w:tr w14:paraId="1BB6A6B1" w14:textId="77777777">
        <w:tc>
          <w:tcPr>
            <w:tcW w:w="5000" w:type="pct"/>
          </w:tcPr>
          <w:p w14:paraId="7632F38F" w14:textId="77777777">
            <w:pPr>
              <w:pStyle w:val="TableNote"/>
              <w:keepNext/>
            </w:pPr>
            <w:r>
              <w:rPr>
                <w:i/>
                <w:iCs/>
              </w:rPr>
              <w:t>ibid.</w:t>
            </w:r>
            <w:r>
              <w:t>: 23–28</w:t>
            </w:r>
          </w:p>
        </w:tc>
      </w:tr>
      <w:tr w14:paraId="440F7E57" w14:textId="77777777">
        <w:tc>
          <w:tcPr>
            <w:tcW w:w="5000" w:type="pct"/>
          </w:tcPr>
          <w:p w14:paraId="4925A3F3" w14:textId="77777777">
            <w:pPr>
              <w:pStyle w:val="CodeParagraph"/>
              <w:rPr>
                <w:rStyle w:val="Code"/>
              </w:rPr>
            </w:pPr>
            <w:r>
              <w:rPr>
                <w:rStyle w:val="Code"/>
              </w:rPr>
              <w:t xml:space="preserve">&lt;bibl </w:t>
            </w:r>
            <w:r>
              <w:rPr>
                <w:rStyle w:val="Codeattribute"/>
              </w:rPr>
              <w:t>rend</w:t>
            </w:r>
            <w:r>
              <w:rPr>
                <w:rStyle w:val="Code"/>
              </w:rPr>
              <w:t>=</w:t>
            </w:r>
            <w:r>
              <w:rPr>
                <w:rStyle w:val="Codevalue"/>
              </w:rPr>
              <w:t>"ibid"</w:t>
            </w:r>
            <w:r>
              <w:rPr>
                <w:rStyle w:val="Code"/>
              </w:rPr>
              <w:t>&gt;</w:t>
            </w:r>
            <w:r>
              <w:rPr>
                <w:rStyle w:val="Codetext"/>
              </w:rPr>
              <w:br/>
              <w:t xml:space="preserve">  </w:t>
            </w:r>
            <w:r>
              <w:rPr>
                <w:rStyle w:val="Code"/>
              </w:rPr>
              <w:t xml:space="preserve">&lt;ptr </w:t>
            </w:r>
            <w:r>
              <w:rPr>
                <w:rStyle w:val="Codeattribute"/>
              </w:rPr>
              <w:t>target</w:t>
            </w:r>
            <w:r>
              <w:rPr>
                <w:rStyle w:val="Code"/>
              </w:rPr>
              <w:t>=</w:t>
            </w:r>
            <w:r>
              <w:rPr>
                <w:rStyle w:val="Codevalue"/>
              </w:rPr>
              <w:t>"bib:Majumdar1943_01"</w:t>
            </w:r>
            <w:r>
              <w:rPr>
                <w:rStyle w:val="Code"/>
              </w:rPr>
              <w:t>/&gt;</w:t>
            </w:r>
            <w:r>
              <w:rPr>
                <w:rStyle w:val="Codetext"/>
              </w:rPr>
              <w:br/>
              <w:t xml:space="preserve">  </w:t>
            </w:r>
            <w:r>
              <w:rPr>
                <w:rStyle w:val="Code"/>
              </w:rPr>
              <w:t>&lt;citedRange&gt;</w:t>
            </w:r>
            <w:r>
              <w:rPr>
                <w:rStyle w:val="Codetext"/>
              </w:rPr>
              <w:t>23-28</w:t>
            </w:r>
            <w:r>
              <w:rPr>
                <w:rStyle w:val="Code"/>
              </w:rPr>
              <w:t>&lt;/citedRange&gt;</w:t>
            </w:r>
            <w:r>
              <w:rPr>
                <w:rStyle w:val="Codetext"/>
              </w:rPr>
              <w:br/>
            </w:r>
            <w:r>
              <w:rPr>
                <w:rStyle w:val="Code"/>
              </w:rPr>
              <w:t>&lt;/bibl&gt;</w:t>
            </w:r>
          </w:p>
        </w:tc>
      </w:tr>
    </w:tbl>
    <w:p w14:paraId="216E9A03" w14:textId="77777777">
      <w:pPr>
        <w:pStyle w:val="Cmsor3"/>
      </w:pPr>
      <w:bookmarkStart w:id="1010" w:name="_7sk1okht0w4v" w:colFirst="0" w:colLast="0"/>
      <w:bookmarkStart w:id="1011" w:name="_awz2oua7qthd" w:colFirst="0" w:colLast="0"/>
      <w:bookmarkStart w:id="1012" w:name="_wsjjvbttqmtg" w:colFirst="0" w:colLast="0"/>
      <w:bookmarkStart w:id="1013" w:name="_Ref43989551"/>
      <w:bookmarkStart w:id="1014" w:name="_Ref44490119"/>
      <w:bookmarkStart w:id="1015" w:name="_Toc243922803"/>
      <w:bookmarkEnd w:id="1010"/>
      <w:bookmarkEnd w:id="1011"/>
      <w:bookmarkEnd w:id="1012"/>
      <w:r>
        <w:t xml:space="preserve">Crediting publications with </w:t>
      </w:r>
      <w:bookmarkEnd w:id="1013"/>
      <w:r>
        <w:rPr>
          <w:rStyle w:val="Codeattribute"/>
        </w:rPr>
        <w:t>@source</w:t>
      </w:r>
      <w:bookmarkEnd w:id="1014"/>
      <w:bookmarkEnd w:id="1015"/>
    </w:p>
    <w:p w14:paraId="2B1726BB" w14:textId="5FD3F4EC">
      <w:r>
        <w:t xml:space="preserve">The attribute </w:t>
      </w:r>
      <w:r>
        <w:rPr>
          <w:rStyle w:val="Codeattribute"/>
        </w:rPr>
        <w:t>@source</w:t>
      </w:r>
      <w:r>
        <w:t xml:space="preserve"> may be used on certain elements to accredit the content of the element to a particular source such as a publication. Unlike bibliographic citations (§</w:t>
      </w:r>
      <w:r>
        <w:fldChar w:fldCharType="begin"/>
      </w:r>
      <w:r>
        <w:instrText xml:space="preserve"> REF _Ref233877601 \r \h </w:instrText>
      </w:r>
      <w:r>
        <w:fldChar w:fldCharType="separate"/>
      </w:r>
      <w:r>
        <w:t>14.6.1</w:t>
      </w:r>
      <w:r>
        <w:fldChar w:fldCharType="end"/>
      </w:r>
      <w:r>
        <w:t xml:space="preserve">), accrediting by means of </w:t>
      </w:r>
      <w:r>
        <w:rPr>
          <w:rStyle w:val="Codeattribute"/>
        </w:rPr>
        <w:t>@source</w:t>
      </w:r>
      <w:r>
        <w:t xml:space="preserve"> applies specifically to an XML element (rather than to unspecified adjacent text), and cannot specify a particular locus within the source.</w:t>
      </w:r>
    </w:p>
    <w:p w14:paraId="32358BE8" w14:textId="77777777">
      <w:pPr>
        <w:pStyle w:val="Lista"/>
      </w:pPr>
      <w:r>
        <w:t xml:space="preserve">in DHARMA practice, </w:t>
      </w:r>
      <w:r>
        <w:rPr>
          <w:rStyle w:val="Codeattribute"/>
        </w:rPr>
        <w:t>@source</w:t>
      </w:r>
      <w:r>
        <w:t xml:space="preserve"> is used only in the following conditions</w:t>
      </w:r>
    </w:p>
    <w:p w14:paraId="4B45110E" w14:textId="6A1236C3">
      <w:pPr>
        <w:pStyle w:val="Lista2"/>
      </w:pPr>
      <w:r>
        <w:t>in a critical apparatus, for lemmas (§</w:t>
      </w:r>
      <w:r>
        <w:fldChar w:fldCharType="begin"/>
      </w:r>
      <w:r>
        <w:instrText xml:space="preserve"> REF _Ref233625530 \r \h </w:instrText>
      </w:r>
      <w:r>
        <w:fldChar w:fldCharType="separate"/>
      </w:r>
      <w:r>
        <w:t>10.3.3</w:t>
      </w:r>
      <w:r>
        <w:fldChar w:fldCharType="end"/>
      </w:r>
      <w:r>
        <w:t xml:space="preserve">) and alternative readings </w:t>
      </w:r>
      <w:r>
        <w:rPr>
          <w:noProof/>
        </w:rPr>
        <w:t>(</w:t>
      </w:r>
      <w:r>
        <w:t>§</w:t>
      </w:r>
      <w:r>
        <w:fldChar w:fldCharType="begin"/>
      </w:r>
      <w:r>
        <w:instrText xml:space="preserve"> REF _Ref233625579 \r \h </w:instrText>
      </w:r>
      <w:r>
        <w:fldChar w:fldCharType="separate"/>
      </w:r>
      <w:r>
        <w:t>10.4.3</w:t>
      </w:r>
      <w:r>
        <w:fldChar w:fldCharType="end"/>
      </w:r>
      <w:r>
        <w:t>)</w:t>
      </w:r>
    </w:p>
    <w:p w14:paraId="33AC34C2" w14:textId="42499B00">
      <w:pPr>
        <w:pStyle w:val="Lista2"/>
      </w:pPr>
      <w:r>
        <w:t>notes in translations (§</w:t>
      </w:r>
      <w:r>
        <w:fldChar w:fldCharType="begin"/>
      </w:r>
      <w:r>
        <w:instrText xml:space="preserve"> REF _Ref233298582 \r \h </w:instrText>
      </w:r>
      <w:r>
        <w:fldChar w:fldCharType="separate"/>
      </w:r>
      <w:r>
        <w:t>11.5.3</w:t>
      </w:r>
      <w:r>
        <w:fldChar w:fldCharType="end"/>
      </w:r>
      <w:r>
        <w:t xml:space="preserve">) and elsewhere </w:t>
      </w:r>
      <w:r>
        <w:rPr>
          <w:noProof/>
        </w:rPr>
        <w:t>(</w:t>
      </w:r>
      <w:r>
        <w:t>§</w:t>
      </w:r>
      <w:r>
        <w:fldChar w:fldCharType="begin"/>
      </w:r>
      <w:r>
        <w:instrText xml:space="preserve"> REF _Ref233730339 \r \h </w:instrText>
      </w:r>
      <w:r>
        <w:fldChar w:fldCharType="separate"/>
      </w:r>
      <w:r>
        <w:t>14.5.1.1</w:t>
      </w:r>
      <w:r>
        <w:fldChar w:fldCharType="end"/>
      </w:r>
      <w:r>
        <w:t>)</w:t>
      </w:r>
    </w:p>
    <w:p w14:paraId="7070B4D0" w14:textId="5DA104C9">
      <w:pPr>
        <w:pStyle w:val="Lista2"/>
      </w:pPr>
      <w:r>
        <w:t xml:space="preserve">translations as a whole </w:t>
      </w:r>
      <w:r>
        <w:rPr>
          <w:noProof/>
        </w:rPr>
        <w:t>(</w:t>
      </w:r>
      <w:r>
        <w:t>§</w:t>
      </w:r>
      <w:r>
        <w:fldChar w:fldCharType="begin"/>
      </w:r>
      <w:r>
        <w:instrText xml:space="preserve"> REF _Ref233887001 \r \h </w:instrText>
      </w:r>
      <w:r>
        <w:fldChar w:fldCharType="separate"/>
      </w:r>
      <w:r>
        <w:t>11.5.2</w:t>
      </w:r>
      <w:r>
        <w:fldChar w:fldCharType="end"/>
      </w:r>
      <w:r>
        <w:t>)</w:t>
      </w:r>
    </w:p>
    <w:p w14:paraId="2ED59490" w14:textId="77777777">
      <w:pPr>
        <w:pStyle w:val="Lista"/>
      </w:pPr>
      <w:r>
        <w:t xml:space="preserve">to credit a previous publication, the attribute </w:t>
      </w:r>
      <w:r>
        <w:rPr>
          <w:rStyle w:val="Codeattribute"/>
        </w:rPr>
        <w:t>@source</w:t>
      </w:r>
      <w:r>
        <w:t xml:space="preserve"> must be added to the XML entity representing the item you wish to credit</w:t>
      </w:r>
    </w:p>
    <w:p w14:paraId="52B11BAC" w14:textId="77777777">
      <w:pPr>
        <w:pStyle w:val="Lista"/>
      </w:pPr>
      <w:r>
        <w:t xml:space="preserve">the value of </w:t>
      </w:r>
      <w:r>
        <w:rPr>
          <w:rStyle w:val="Codeattribute"/>
        </w:rPr>
        <w:t>@source</w:t>
      </w:r>
      <w:r>
        <w:t xml:space="preserve"> shall be the Zotero Short Title (ZG §4.10) of the publication containing the reading you are crediting, prefixed with the string </w:t>
      </w:r>
      <w:r>
        <w:rPr>
          <w:rStyle w:val="Codevalue"/>
        </w:rPr>
        <w:t>bib:</w:t>
      </w:r>
    </w:p>
    <w:p w14:paraId="6F7F7AA3" w14:textId="77777777">
      <w:pPr>
        <w:pStyle w:val="Lista"/>
      </w:pPr>
      <w:r>
        <w:t xml:space="preserve">to credit more than one publication </w:t>
      </w:r>
      <w:r>
        <w:rPr>
          <w:noProof/>
        </w:rPr>
        <w:t>(</w:t>
      </w:r>
      <w:r>
        <w:t xml:space="preserve">e.g. because more than one scholar has suggested or endorsed a certain reading, or because a note was published in several publications), list all relevant short titles, each with the prefix </w:t>
      </w:r>
      <w:r>
        <w:rPr>
          <w:rStyle w:val="Codevalue"/>
        </w:rPr>
        <w:t>bib:</w:t>
      </w:r>
      <w:r>
        <w:t xml:space="preserve">, within a single </w:t>
      </w:r>
      <w:r>
        <w:rPr>
          <w:rStyle w:val="Codeattribute"/>
        </w:rPr>
        <w:t>@source</w:t>
      </w:r>
      <w:r>
        <w:t xml:space="preserve"> attribute, separated by a space (and nothing else)</w:t>
      </w:r>
    </w:p>
    <w:p w14:paraId="0890A14D" w14:textId="77777777">
      <w:pPr>
        <w:pStyle w:val="Lista2"/>
      </w:pPr>
      <w:r>
        <w:t>list the publications in chronological order</w:t>
      </w:r>
    </w:p>
    <w:p w14:paraId="2F88B19C" w14:textId="77777777">
      <w:pPr>
        <w:pStyle w:val="Lista2"/>
        <w:rPr>
          <w:rStyle w:val="Code"/>
          <w:rFonts w:ascii="Gentium" w:hAnsi="Gentium" w:cs="Tiro Devanagari Sanskrit"/>
          <w:noProof w:val="0"/>
          <w:color w:val="auto"/>
          <w:shd w:val="clear" w:color="auto" w:fill="auto"/>
        </w:rPr>
      </w:pPr>
      <w:r>
        <w:t xml:space="preserve">e.g. </w:t>
      </w:r>
      <w:r>
        <w:rPr>
          <w:rStyle w:val="Code"/>
        </w:rPr>
        <w:t xml:space="preserve">&lt;rdg </w:t>
      </w:r>
      <w:r>
        <w:rPr>
          <w:rStyle w:val="Codeattribute"/>
        </w:rPr>
        <w:t>source</w:t>
      </w:r>
      <w:r>
        <w:rPr>
          <w:rStyle w:val="Code"/>
        </w:rPr>
        <w:t>=</w:t>
      </w:r>
      <w:r>
        <w:rPr>
          <w:rStyle w:val="Codevalue"/>
        </w:rPr>
        <w:t>"bib:Devadatta1863_01 bib:Doe2019_01"</w:t>
      </w:r>
      <w:r>
        <w:rPr>
          <w:rStyle w:val="Code"/>
        </w:rPr>
        <w:t>&gt;</w:t>
      </w:r>
    </w:p>
    <w:p w14:paraId="2A126EB6" w14:textId="77777777">
      <w:pPr>
        <w:pStyle w:val="Cmsor3"/>
      </w:pPr>
      <w:bookmarkStart w:id="1016" w:name="_Toc243922804"/>
      <w:r>
        <w:t>Quotation</w:t>
      </w:r>
      <w:bookmarkEnd w:id="1016"/>
    </w:p>
    <w:p w14:paraId="202E0912" w14:textId="77777777">
      <w:pPr>
        <w:pStyle w:val="Cmsor4"/>
      </w:pPr>
      <w:bookmarkStart w:id="1017" w:name="_Ref233880809"/>
      <w:r>
        <w:t>Generic quotes</w:t>
      </w:r>
      <w:bookmarkEnd w:id="1017"/>
    </w:p>
    <w:p w14:paraId="211EBFEC" w14:textId="77777777">
      <w:r>
        <w:rPr>
          <w:lang w:eastAsia="en-US" w:bidi="ar-SA"/>
        </w:rPr>
        <w:t xml:space="preserve">Quotations which are not accredited to a publication shall normally </w:t>
      </w:r>
      <w:r>
        <w:t xml:space="preserve">be wrapped in the element </w:t>
      </w:r>
      <w:r>
        <w:rPr>
          <w:rStyle w:val="Code"/>
        </w:rPr>
        <w:t>&lt;q&gt;</w:t>
      </w:r>
      <w:r>
        <w:t xml:space="preserve"> (for “quoted”), available at any point in the XML document where free modern-language text is permitted. Quotation marks will be automatically displayed and must not be entered manually when </w:t>
      </w:r>
      <w:r>
        <w:rPr>
          <w:rStyle w:val="Code"/>
        </w:rPr>
        <w:t>&lt;q&gt;</w:t>
      </w:r>
      <w:r>
        <w:t xml:space="preserve"> is present. </w:t>
      </w:r>
    </w:p>
    <w:p w14:paraId="33B5860B" w14:textId="3E74F1FE">
      <w:pPr>
        <w:pStyle w:val="Lista"/>
      </w:pPr>
      <w:r>
        <w:t xml:space="preserve">if the quotation is in a modern language other than that of the surrounding text, use </w:t>
      </w:r>
      <w:r>
        <w:rPr>
          <w:rStyle w:val="Codeattribute"/>
        </w:rPr>
        <w:t>@xml:lang</w:t>
      </w:r>
      <w:r>
        <w:t xml:space="preserve"> on the </w:t>
      </w:r>
      <w:r>
        <w:rPr>
          <w:rStyle w:val="Code"/>
        </w:rPr>
        <w:t>&lt;q&gt;</w:t>
      </w:r>
      <w:r>
        <w:t xml:space="preserve"> element, as per §</w:t>
      </w:r>
      <w:r>
        <w:fldChar w:fldCharType="begin"/>
      </w:r>
      <w:r>
        <w:instrText xml:space="preserve"> REF _Ref233727317 \r \h </w:instrText>
      </w:r>
      <w:r>
        <w:fldChar w:fldCharType="separate"/>
      </w:r>
      <w:r>
        <w:t>14.4.1</w:t>
      </w:r>
      <w:r>
        <w:fldChar w:fldCharType="end"/>
      </w:r>
      <w:r>
        <w:t xml:space="preserve"> </w:t>
      </w:r>
    </w:p>
    <w:p w14:paraId="55E42E82" w14:textId="3AC53CCD">
      <w:pPr>
        <w:pStyle w:val="Lista2"/>
      </w:pPr>
      <w:r>
        <w:lastRenderedPageBreak/>
        <w:t xml:space="preserve">text quoted from a primary source in the original language, to be displayed in italics without quotation marks, shall not be marked up in this way, but must be tagged as </w:t>
      </w:r>
      <w:r>
        <w:rPr>
          <w:rStyle w:val="Code"/>
        </w:rPr>
        <w:t>&lt;foreign&gt;</w:t>
      </w:r>
      <w:r>
        <w:t xml:space="preserve"> as per §</w:t>
      </w:r>
      <w:r>
        <w:fldChar w:fldCharType="begin"/>
      </w:r>
      <w:r>
        <w:instrText xml:space="preserve"> REF _Ref43986658 \r \h </w:instrText>
      </w:r>
      <w:r>
        <w:fldChar w:fldCharType="separate"/>
      </w:r>
      <w:r>
        <w:t>14.4.2</w:t>
      </w:r>
      <w:r>
        <w:fldChar w:fldCharType="end"/>
      </w:r>
    </w:p>
    <w:p w14:paraId="2DD91B40" w14:textId="77777777">
      <w:pPr>
        <w:pStyle w:val="Lista"/>
      </w:pPr>
      <w:r>
        <w:t xml:space="preserve">by default, a quotation tagged with </w:t>
      </w:r>
      <w:r>
        <w:rPr>
          <w:rStyle w:val="Code"/>
        </w:rPr>
        <w:t>&lt;q&gt;</w:t>
      </w:r>
      <w:r>
        <w:t xml:space="preserve"> will be displayed inline</w:t>
      </w:r>
    </w:p>
    <w:p w14:paraId="7CF740E9" w14:textId="0521472B">
      <w:pPr>
        <w:pStyle w:val="Lista2"/>
      </w:pPr>
      <w:r>
        <w:t xml:space="preserve">to create a block quote, add the attribute </w:t>
      </w:r>
      <w:r>
        <w:rPr>
          <w:rStyle w:val="Codeattribute"/>
        </w:rPr>
        <w:t>@rend</w:t>
      </w:r>
      <w:r>
        <w:rPr>
          <w:rStyle w:val="Codetext"/>
        </w:rPr>
        <w:t>=</w:t>
      </w:r>
      <w:r>
        <w:rPr>
          <w:rStyle w:val="Codevalue"/>
        </w:rPr>
        <w:t>"block"</w:t>
      </w:r>
      <w:r>
        <w:t xml:space="preserve"> as described in §</w:t>
      </w:r>
      <w:r>
        <w:fldChar w:fldCharType="begin"/>
      </w:r>
      <w:r>
        <w:instrText xml:space="preserve"> REF _Ref233793283 \r \h </w:instrText>
      </w:r>
      <w:r>
        <w:fldChar w:fldCharType="separate"/>
      </w:r>
      <w:r>
        <w:t>14.3.3</w:t>
      </w:r>
      <w:r>
        <w:fldChar w:fldCharType="end"/>
      </w:r>
      <w:r>
        <w:t xml:space="preserve"> and illustrated in </w:t>
      </w:r>
      <w:r>
        <w:fldChar w:fldCharType="begin"/>
      </w:r>
      <w:r>
        <w:instrText xml:space="preserve"> REF _Ref233795218 \h </w:instrText>
      </w:r>
      <w:r>
        <w:fldChar w:fldCharType="separate"/>
      </w:r>
      <w:r>
        <w:t xml:space="preserve">Exhibit </w:t>
      </w:r>
      <w:r>
        <w:rPr>
          <w:noProof/>
        </w:rPr>
        <w:t>14.3</w:t>
      </w:r>
      <w:r>
        <w:t>.</w:t>
      </w:r>
      <w:r>
        <w:rPr>
          <w:noProof/>
        </w:rPr>
        <w:t>A</w:t>
      </w:r>
      <w:r>
        <w:fldChar w:fldCharType="end"/>
      </w:r>
    </w:p>
    <w:p w14:paraId="3482229B" w14:textId="77777777">
      <w:pPr>
        <w:pStyle w:val="Lista"/>
      </w:pPr>
      <w:r>
        <w:t xml:space="preserve">encoding with </w:t>
      </w:r>
      <w:r>
        <w:rPr>
          <w:rStyle w:val="Code"/>
        </w:rPr>
        <w:t>&lt;q&gt;</w:t>
      </w:r>
      <w:r>
        <w:t xml:space="preserve"> is acceptable but not essential for situations which conventionally involve the use of quotation marks but are not actually quotation, for example with technical terms or glosses</w:t>
      </w:r>
    </w:p>
    <w:p w14:paraId="7F7666CD" w14:textId="77777777">
      <w:pPr>
        <w:pStyle w:val="Lista2"/>
      </w:pPr>
      <w:r>
        <w:t xml:space="preserve">if you opt for entering quotation marks instead of encoding, preferably use the printer’s quotes applicable to the language and context </w:t>
      </w:r>
      <w:r>
        <w:rPr>
          <w:noProof/>
        </w:rPr>
        <w:t>(</w:t>
      </w:r>
      <w:r>
        <w:t>„...” “...” ‘...’ «...») rather than generic typewriter quotes or apostrophes</w:t>
      </w:r>
    </w:p>
    <w:p w14:paraId="7C52C626" w14:textId="77777777">
      <w:pPr>
        <w:pStyle w:val="Cmsor4"/>
      </w:pPr>
      <w:bookmarkStart w:id="1018" w:name="_oux10a9n6xn3" w:colFirst="0" w:colLast="0"/>
      <w:bookmarkStart w:id="1019" w:name="_Ref233880854"/>
      <w:bookmarkEnd w:id="1018"/>
      <w:r>
        <w:t>Quotations attributed to a source</w:t>
      </w:r>
      <w:bookmarkEnd w:id="1019"/>
    </w:p>
    <w:p w14:paraId="0E888D6E" w14:textId="470BDCF0">
      <w:pPr>
        <w:rPr>
          <w:lang w:eastAsia="en-US" w:bidi="ar-SA"/>
        </w:rPr>
      </w:pPr>
      <w:r>
        <w:rPr>
          <w:lang w:eastAsia="en-US" w:bidi="ar-SA"/>
        </w:rPr>
        <w:t>Quotations from a published source, especially from scholarly literature, may be encoded in a structured manner as follows. Alternatively, the quotation may be encoded as a generic quote (§</w:t>
      </w:r>
      <w:r>
        <w:rPr>
          <w:lang w:eastAsia="en-US" w:bidi="ar-SA"/>
        </w:rPr>
        <w:fldChar w:fldCharType="begin"/>
      </w:r>
      <w:r>
        <w:rPr>
          <w:lang w:eastAsia="en-US" w:bidi="ar-SA"/>
        </w:rPr>
        <w:instrText xml:space="preserve"> REF _Ref233880809 \r \h </w:instrText>
      </w:r>
      <w:r>
        <w:rPr>
          <w:lang w:eastAsia="en-US" w:bidi="ar-SA"/>
        </w:rPr>
      </w:r>
      <w:r>
        <w:rPr>
          <w:lang w:eastAsia="en-US" w:bidi="ar-SA"/>
        </w:rPr>
        <w:fldChar w:fldCharType="separate"/>
      </w:r>
      <w:r>
        <w:rPr>
          <w:lang w:eastAsia="en-US" w:bidi="ar-SA"/>
        </w:rPr>
        <w:t>14.6.3.1</w:t>
      </w:r>
      <w:r>
        <w:rPr>
          <w:lang w:eastAsia="en-US" w:bidi="ar-SA"/>
        </w:rPr>
        <w:fldChar w:fldCharType="end"/>
      </w:r>
      <w:r>
        <w:rPr>
          <w:lang w:eastAsia="en-US" w:bidi="ar-SA"/>
        </w:rPr>
        <w:t xml:space="preserve">) and a bibliographic reference may be integrated into the surrounding text. Both are illustrated in </w:t>
      </w:r>
      <w:r>
        <w:rPr>
          <w:lang w:eastAsia="en-US" w:bidi="ar-SA"/>
        </w:rPr>
        <w:fldChar w:fldCharType="begin"/>
      </w:r>
      <w:r>
        <w:rPr>
          <w:lang w:eastAsia="en-US" w:bidi="ar-SA"/>
        </w:rPr>
        <w:instrText xml:space="preserve"> REF _Ref233881565 \h </w:instrText>
      </w:r>
      <w:r>
        <w:rPr>
          <w:lang w:eastAsia="en-US" w:bidi="ar-SA"/>
        </w:rPr>
      </w:r>
      <w:r>
        <w:rPr>
          <w:lang w:eastAsia="en-US" w:bidi="ar-SA"/>
        </w:rPr>
        <w:fldChar w:fldCharType="separate"/>
      </w:r>
      <w:r>
        <w:t xml:space="preserve">Exhibit </w:t>
      </w:r>
      <w:r>
        <w:rPr>
          <w:noProof/>
        </w:rPr>
        <w:t>14.6</w:t>
      </w:r>
      <w:r>
        <w:t>.</w:t>
      </w:r>
      <w:r>
        <w:rPr>
          <w:noProof/>
        </w:rPr>
        <w:t>K</w:t>
      </w:r>
      <w:r>
        <w:rPr>
          <w:lang w:eastAsia="en-US" w:bidi="ar-SA"/>
        </w:rPr>
        <w:fldChar w:fldCharType="end"/>
      </w:r>
      <w:r>
        <w:rPr>
          <w:lang w:eastAsia="en-US" w:bidi="ar-SA"/>
        </w:rPr>
        <w:t>.</w:t>
      </w:r>
    </w:p>
    <w:p w14:paraId="27A65E8C" w14:textId="77777777">
      <w:pPr>
        <w:pStyle w:val="Lista"/>
      </w:pPr>
      <w:r>
        <w:t xml:space="preserve">within the </w:t>
      </w:r>
      <w:r>
        <w:rPr>
          <w:rStyle w:val="Code"/>
        </w:rPr>
        <w:t>&lt;p&gt;</w:t>
      </w:r>
      <w:r>
        <w:t xml:space="preserve"> or </w:t>
      </w:r>
      <w:r>
        <w:rPr>
          <w:rStyle w:val="Code"/>
        </w:rPr>
        <w:t>&lt;note&gt;</w:t>
      </w:r>
      <w:r>
        <w:t xml:space="preserve"> element in which you quote a publication, create the wrapper </w:t>
      </w:r>
      <w:r>
        <w:rPr>
          <w:rStyle w:val="Code"/>
        </w:rPr>
        <w:t>&lt;cit&gt;</w:t>
      </w:r>
    </w:p>
    <w:p w14:paraId="3485F36E" w14:textId="77777777">
      <w:pPr>
        <w:pStyle w:val="Lista2"/>
      </w:pPr>
      <w:r>
        <w:t xml:space="preserve">within </w:t>
      </w:r>
      <w:r>
        <w:rPr>
          <w:rStyle w:val="Code"/>
        </w:rPr>
        <w:t>&lt;cit&gt;</w:t>
      </w:r>
      <w:r>
        <w:t xml:space="preserve">, as its first child, create the element </w:t>
      </w:r>
      <w:r>
        <w:rPr>
          <w:rStyle w:val="Code"/>
        </w:rPr>
        <w:t>&lt;quote&gt;</w:t>
      </w:r>
      <w:r>
        <w:t xml:space="preserve"> (for “quotation”)</w:t>
      </w:r>
    </w:p>
    <w:p w14:paraId="11D8A33F" w14:textId="77777777">
      <w:pPr>
        <w:pStyle w:val="Lista3"/>
      </w:pPr>
      <w:r>
        <w:t xml:space="preserve">enter the quoted text within </w:t>
      </w:r>
      <w:r>
        <w:rPr>
          <w:rStyle w:val="Code"/>
        </w:rPr>
        <w:t>&lt;quote&gt;</w:t>
      </w:r>
    </w:p>
    <w:p w14:paraId="3EFB6B06" w14:textId="77777777">
      <w:pPr>
        <w:pStyle w:val="Lista3"/>
      </w:pPr>
      <w:r>
        <w:t>do not add quotation marks to the text, as these will be automatically produced in display</w:t>
      </w:r>
    </w:p>
    <w:p w14:paraId="4E45956D" w14:textId="686EC882">
      <w:pPr>
        <w:pStyle w:val="Lista2"/>
      </w:pPr>
      <w:r>
        <w:t xml:space="preserve">also within </w:t>
      </w:r>
      <w:r>
        <w:rPr>
          <w:rStyle w:val="Code"/>
        </w:rPr>
        <w:t>&lt;cit&gt;</w:t>
      </w:r>
      <w:r>
        <w:t xml:space="preserve">, as its second child immediately after </w:t>
      </w:r>
      <w:r>
        <w:rPr>
          <w:rStyle w:val="Code"/>
        </w:rPr>
        <w:t>&lt;quote&gt;</w:t>
      </w:r>
      <w:r>
        <w:t>, create a bibliographic citation as per §</w:t>
      </w:r>
      <w:r>
        <w:fldChar w:fldCharType="begin"/>
      </w:r>
      <w:r>
        <w:instrText xml:space="preserve"> REF _Ref233877601 \r \h </w:instrText>
      </w:r>
      <w:r>
        <w:fldChar w:fldCharType="separate"/>
      </w:r>
      <w:r>
        <w:t>14.6.1</w:t>
      </w:r>
      <w:r>
        <w:fldChar w:fldCharType="end"/>
      </w:r>
      <w:r>
        <w:t xml:space="preserve"> identifying the source of the quotation</w:t>
      </w:r>
    </w:p>
    <w:p w14:paraId="5E82650A" w14:textId="436B42B6">
      <w:pPr>
        <w:pStyle w:val="Lista"/>
      </w:pPr>
      <w:r>
        <w:t xml:space="preserve">if the quotation is in a modern language other than that of the surrounding text, use </w:t>
      </w:r>
      <w:r>
        <w:rPr>
          <w:rStyle w:val="Codeattribute"/>
        </w:rPr>
        <w:t>@xml:lang</w:t>
      </w:r>
      <w:r>
        <w:t xml:space="preserve"> on the </w:t>
      </w:r>
      <w:r>
        <w:rPr>
          <w:rStyle w:val="Code"/>
        </w:rPr>
        <w:t>&lt;quote&gt;</w:t>
      </w:r>
      <w:r>
        <w:t xml:space="preserve"> element, as per §</w:t>
      </w:r>
      <w:r>
        <w:fldChar w:fldCharType="begin"/>
      </w:r>
      <w:r>
        <w:instrText xml:space="preserve"> REF _Ref233727317 \r \h </w:instrText>
      </w:r>
      <w:r>
        <w:fldChar w:fldCharType="separate"/>
      </w:r>
      <w:r>
        <w:t>14.4.1</w:t>
      </w:r>
      <w:r>
        <w:fldChar w:fldCharType="end"/>
      </w:r>
      <w:r>
        <w:t xml:space="preserve"> </w:t>
      </w:r>
    </w:p>
    <w:p w14:paraId="4B6B26CB" w14:textId="77777777">
      <w:pPr>
        <w:pStyle w:val="Lista"/>
      </w:pPr>
      <w:r>
        <w:t>by default, a quotation encoded in this manner will be displayed inline, with the citation following the quoted text</w:t>
      </w:r>
    </w:p>
    <w:p w14:paraId="68BC24BE" w14:textId="47C03B29">
      <w:pPr>
        <w:pStyle w:val="Lista2"/>
      </w:pPr>
      <w:r>
        <w:t xml:space="preserve">to create a block quote, add the attribute </w:t>
      </w:r>
      <w:r>
        <w:rPr>
          <w:rStyle w:val="Codeattribute"/>
        </w:rPr>
        <w:t>@rend</w:t>
      </w:r>
      <w:r>
        <w:rPr>
          <w:rStyle w:val="Codetext"/>
        </w:rPr>
        <w:t>=</w:t>
      </w:r>
      <w:r>
        <w:rPr>
          <w:rStyle w:val="Codevalue"/>
        </w:rPr>
        <w:t>"block"</w:t>
      </w:r>
      <w:r>
        <w:t xml:space="preserve"> to the </w:t>
      </w:r>
      <w:r>
        <w:rPr>
          <w:rStyle w:val="Code"/>
        </w:rPr>
        <w:t>&lt;quote&gt;</w:t>
      </w:r>
      <w:r>
        <w:t xml:space="preserve"> element as described in §</w:t>
      </w:r>
      <w:r>
        <w:fldChar w:fldCharType="begin"/>
      </w:r>
      <w:r>
        <w:instrText xml:space="preserve"> REF _Ref233793283 \r \h </w:instrText>
      </w:r>
      <w:r>
        <w:fldChar w:fldCharType="separate"/>
      </w:r>
      <w:r>
        <w:t>14.3.3</w:t>
      </w:r>
      <w:r>
        <w:fldChar w:fldCharType="end"/>
      </w:r>
    </w:p>
    <w:p w14:paraId="14DA758D" w14:textId="77777777">
      <w:pPr>
        <w:pStyle w:val="Lista"/>
      </w:pPr>
      <w:r>
        <w:t xml:space="preserve">when citing text from a publication with </w:t>
      </w:r>
      <w:r>
        <w:rPr>
          <w:rStyle w:val="Code"/>
        </w:rPr>
        <w:t>&lt;quote&gt;</w:t>
      </w:r>
      <w:r>
        <w:t>, any transliterated words in the cited text shall be retained in their original form rather than being converted to our transliteration system</w:t>
      </w:r>
    </w:p>
    <w:p w14:paraId="1BDC649D" w14:textId="77777777">
      <w:pPr>
        <w:pStyle w:val="Lista2"/>
      </w:pPr>
      <w:r>
        <w:t xml:space="preserve">but any text adopted without </w:t>
      </w:r>
      <w:r>
        <w:rPr>
          <w:rStyle w:val="Code"/>
        </w:rPr>
        <w:t>&lt;quote&gt;</w:t>
      </w:r>
      <w:r>
        <w:t>, for example in apparatus readings, translations and paraphrased/summarised opinions, should be converted to the DHARMA transliteration system</w:t>
      </w:r>
    </w:p>
    <w:tbl>
      <w:tblPr>
        <w:tblStyle w:val="CodeSampleTable"/>
        <w:tblW w:w="5000" w:type="pct"/>
        <w:tblLook w:val="04A0" w:firstRow="1" w:lastRow="0" w:firstColumn="1" w:lastColumn="0" w:noHBand="0" w:noVBand="1"/>
      </w:tblPr>
      <w:tblGrid>
        <w:gridCol w:w="9628"/>
      </w:tblGrid>
      <w:tr w14:paraId="09624DAA"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10C8BF6" w14:textId="33E98B3F">
            <w:pPr>
              <w:pStyle w:val="Kpalrs"/>
            </w:pPr>
            <w:bookmarkStart w:id="1020" w:name="_Ref233881565"/>
            <w:r>
              <w:t xml:space="preserve">Exhibit </w:t>
            </w:r>
            <w:fldSimple w:instr=" STYLEREF 2 \s ">
              <w:r>
                <w:rPr>
                  <w:noProof/>
                </w:rPr>
                <w:t>14.6</w:t>
              </w:r>
            </w:fldSimple>
            <w:r>
              <w:t>.</w:t>
            </w:r>
            <w:fldSimple w:instr=" SEQ Exhibit \* ALPHABETIC \s 2 ">
              <w:r>
                <w:rPr>
                  <w:noProof/>
                </w:rPr>
                <w:t>K</w:t>
              </w:r>
            </w:fldSimple>
            <w:bookmarkEnd w:id="1020"/>
            <w:r>
              <w:t>: attributing quotations to a publication</w:t>
            </w:r>
          </w:p>
        </w:tc>
      </w:tr>
      <w:tr w14:paraId="0498B545" w14:textId="77777777">
        <w:tc>
          <w:tcPr>
            <w:tcW w:w="5000" w:type="pct"/>
          </w:tcPr>
          <w:p w14:paraId="1B4A1873" w14:textId="77777777">
            <w:pPr>
              <w:pStyle w:val="TableNote"/>
              <w:keepNext/>
            </w:pPr>
            <w:r>
              <w:t>encoded as an attributed quotation</w:t>
            </w:r>
          </w:p>
        </w:tc>
      </w:tr>
      <w:tr w14:paraId="41193577" w14:textId="77777777">
        <w:tc>
          <w:tcPr>
            <w:tcW w:w="5000" w:type="pct"/>
          </w:tcPr>
          <w:p w14:paraId="716EC219" w14:textId="77777777">
            <w:pPr>
              <w:pStyle w:val="CodeParagraph"/>
              <w:keepNext/>
              <w:rPr>
                <w:rStyle w:val="Code"/>
              </w:rPr>
            </w:pPr>
            <w:r>
              <w:rPr>
                <w:rStyle w:val="Code"/>
              </w:rPr>
              <w:t>&lt;note&gt;</w:t>
            </w:r>
            <w:r>
              <w:t xml:space="preserve"> </w:t>
            </w:r>
            <w:r>
              <w:rPr>
                <w:rStyle w:val="Codetext"/>
              </w:rPr>
              <w:t xml:space="preserve">Hultzsch notes: </w:t>
            </w:r>
            <w:r>
              <w:rPr>
                <w:rStyle w:val="Code"/>
              </w:rPr>
              <w:t>&lt;cit&gt;&lt;quote&gt;</w:t>
            </w:r>
            <w:r>
              <w:rPr>
                <w:rStyle w:val="Codetext"/>
              </w:rPr>
              <w:t>The genitive bhagavato refers to Chittarathasâmi, the first member of the following compound. This is of course a grammatical blunder of the officer who drafted the inscription</w:t>
            </w:r>
            <w:r>
              <w:rPr>
                <w:rStyle w:val="Code"/>
              </w:rPr>
              <w:t xml:space="preserve">&lt;/quote&gt;&lt;bibl&gt;&lt;ptr </w:t>
            </w:r>
            <w:r>
              <w:rPr>
                <w:rStyle w:val="Codeattribute"/>
              </w:rPr>
              <w:t>target=</w:t>
            </w:r>
            <w:r>
              <w:rPr>
                <w:rStyle w:val="Codevalue"/>
              </w:rPr>
              <w:t>"bib:Hultzsch1907-1908_03"</w:t>
            </w:r>
            <w:r>
              <w:rPr>
                <w:rStyle w:val="Code"/>
              </w:rPr>
              <w:t>/&gt;</w:t>
            </w:r>
            <w:r>
              <w:rPr>
                <w:rStyle w:val="Codetext"/>
              </w:rPr>
              <w:t xml:space="preserve">: </w:t>
            </w:r>
            <w:r>
              <w:rPr>
                <w:rStyle w:val="Code"/>
              </w:rPr>
              <w:t>&lt;citedRange&gt;</w:t>
            </w:r>
            <w:r>
              <w:rPr>
                <w:rStyle w:val="Codetext"/>
              </w:rPr>
              <w:t>59</w:t>
            </w:r>
            <w:r>
              <w:rPr>
                <w:rStyle w:val="Code"/>
              </w:rPr>
              <w:t>&lt;/citedRange&gt;&lt;/bibl&gt;&lt;/cit&gt;</w:t>
            </w:r>
            <w:r>
              <w:rPr>
                <w:rStyle w:val="Codetext"/>
              </w:rPr>
              <w:t>. The same “blunder” is found...</w:t>
            </w:r>
            <w:r>
              <w:rPr>
                <w:rStyle w:val="Code"/>
              </w:rPr>
              <w:t>&lt;/note&gt;</w:t>
            </w:r>
          </w:p>
        </w:tc>
      </w:tr>
      <w:tr w14:paraId="445D53C4" w14:textId="77777777">
        <w:tc>
          <w:tcPr>
            <w:tcW w:w="5000" w:type="pct"/>
          </w:tcPr>
          <w:p w14:paraId="7F24DDC9" w14:textId="77777777">
            <w:pPr>
              <w:pStyle w:val="TableNote"/>
              <w:keepNext/>
            </w:pPr>
            <w:r>
              <w:t>encoded with a separate citation</w:t>
            </w:r>
          </w:p>
        </w:tc>
      </w:tr>
      <w:tr w14:paraId="3F934A38" w14:textId="77777777">
        <w:tc>
          <w:tcPr>
            <w:tcW w:w="5000" w:type="pct"/>
          </w:tcPr>
          <w:p w14:paraId="4B6367D6" w14:textId="77777777">
            <w:pPr>
              <w:pStyle w:val="CodeParagraph"/>
              <w:keepNext/>
              <w:rPr>
                <w:rStyle w:val="Code"/>
              </w:rPr>
            </w:pPr>
            <w:r>
              <w:rPr>
                <w:rStyle w:val="Code"/>
              </w:rPr>
              <w:t>&lt;note&gt;</w:t>
            </w:r>
            <w:r>
              <w:t xml:space="preserve"> </w:t>
            </w:r>
            <w:r>
              <w:rPr>
                <w:rStyle w:val="Codetext"/>
              </w:rPr>
              <w:t>Hultzsch (</w:t>
            </w:r>
            <w:r>
              <w:rPr>
                <w:rStyle w:val="Code"/>
              </w:rPr>
              <w:t xml:space="preserve">&lt;bibl </w:t>
            </w:r>
            <w:r>
              <w:rPr>
                <w:rStyle w:val="Codeattribute"/>
              </w:rPr>
              <w:t>rend</w:t>
            </w:r>
            <w:r>
              <w:rPr>
                <w:rStyle w:val="Code"/>
              </w:rPr>
              <w:t>=</w:t>
            </w:r>
            <w:r>
              <w:rPr>
                <w:rStyle w:val="Codevalue"/>
              </w:rPr>
              <w:t>"omitname"</w:t>
            </w:r>
            <w:r>
              <w:rPr>
                <w:rStyle w:val="Code"/>
              </w:rPr>
              <w:t xml:space="preserve">&gt;&lt;ptr </w:t>
            </w:r>
            <w:r>
              <w:rPr>
                <w:rStyle w:val="Codeattribute"/>
              </w:rPr>
              <w:t>target=</w:t>
            </w:r>
            <w:r>
              <w:rPr>
                <w:rStyle w:val="Codevalue"/>
              </w:rPr>
              <w:t>"bib:Hultzsch1907-1908_03"</w:t>
            </w:r>
            <w:r>
              <w:rPr>
                <w:rStyle w:val="Code"/>
              </w:rPr>
              <w:t>/&gt;</w:t>
            </w:r>
            <w:r>
              <w:rPr>
                <w:rStyle w:val="Codetext"/>
              </w:rPr>
              <w:t xml:space="preserve">: </w:t>
            </w:r>
            <w:r>
              <w:rPr>
                <w:rStyle w:val="Code"/>
              </w:rPr>
              <w:t>&lt;citedRange&gt;</w:t>
            </w:r>
            <w:r>
              <w:rPr>
                <w:rStyle w:val="Codetext"/>
              </w:rPr>
              <w:t>59</w:t>
            </w:r>
            <w:r>
              <w:rPr>
                <w:rStyle w:val="Code"/>
              </w:rPr>
              <w:t>&lt;/citedRange&gt;&lt;/bibl&gt;</w:t>
            </w:r>
            <w:r>
              <w:rPr>
                <w:rStyle w:val="Codetext"/>
              </w:rPr>
              <w:t xml:space="preserve">) notes: </w:t>
            </w:r>
            <w:r>
              <w:rPr>
                <w:rStyle w:val="Code"/>
              </w:rPr>
              <w:t>&lt;q&gt;</w:t>
            </w:r>
            <w:r>
              <w:rPr>
                <w:rStyle w:val="Codetext"/>
              </w:rPr>
              <w:t>The genitive bhagavato refers to Chittarathasâmi, the first member of the following compound. This is of course a grammatical blunder of the officer who drafted the inscription</w:t>
            </w:r>
            <w:r>
              <w:rPr>
                <w:rStyle w:val="Code"/>
              </w:rPr>
              <w:t>&lt;/q&gt;</w:t>
            </w:r>
            <w:r>
              <w:rPr>
                <w:rStyle w:val="Codetext"/>
              </w:rPr>
              <w:t>. The same “blunder” is found...</w:t>
            </w:r>
            <w:r>
              <w:rPr>
                <w:rStyle w:val="Code"/>
              </w:rPr>
              <w:t>&lt;/note&gt;</w:t>
            </w:r>
          </w:p>
        </w:tc>
      </w:tr>
    </w:tbl>
    <w:p w14:paraId="763848E6" w14:textId="77777777">
      <w:pPr>
        <w:pStyle w:val="Cmsor3"/>
      </w:pPr>
      <w:bookmarkStart w:id="1021" w:name="_Toc243922805"/>
      <w:r>
        <w:t>Referring to web resources</w:t>
      </w:r>
      <w:bookmarkEnd w:id="1021"/>
    </w:p>
    <w:p w14:paraId="6851A30D" w14:textId="0C03B728">
      <w:r>
        <w:t xml:space="preserve">References to electronic resources available on the internet shall be encoded with the element </w:t>
      </w:r>
      <w:r>
        <w:rPr>
          <w:rStyle w:val="Code"/>
        </w:rPr>
        <w:t>&lt;ref&gt;</w:t>
      </w:r>
      <w:r>
        <w:t xml:space="preserve">, as described in the following subsections. Unlike the </w:t>
      </w:r>
      <w:r>
        <w:rPr>
          <w:rStyle w:val="Code"/>
        </w:rPr>
        <w:t>&lt;ptr/&gt;</w:t>
      </w:r>
      <w:r>
        <w:t xml:space="preserve"> element used in bibliographic citations </w:t>
      </w:r>
      <w:r>
        <w:rPr>
          <w:noProof/>
        </w:rPr>
        <w:t>(</w:t>
      </w:r>
      <w:r>
        <w:t>§</w:t>
      </w:r>
      <w:r>
        <w:fldChar w:fldCharType="begin"/>
      </w:r>
      <w:r>
        <w:instrText xml:space="preserve"> REF _Ref233877601 \r \h </w:instrText>
      </w:r>
      <w:r>
        <w:fldChar w:fldCharType="separate"/>
      </w:r>
      <w:r>
        <w:t>14.6.1</w:t>
      </w:r>
      <w:r>
        <w:fldChar w:fldCharType="end"/>
      </w:r>
      <w:r>
        <w:t xml:space="preserve">), </w:t>
      </w:r>
      <w:r>
        <w:rPr>
          <w:rStyle w:val="Code"/>
        </w:rPr>
        <w:t>&lt;ref&gt;</w:t>
      </w:r>
      <w:r>
        <w:t xml:space="preserve"> must contain the text that is to be shown with a hyperlink to the digital resource. The contents are technically free text, but we strongly recommend that you use short and clear human-readable conventional references in the form that is best integrated into the context. Detailed specification of the reference, such as a line or verse number, is best added outside this markup in plain text for human consumption. Such references may be encoded at any point in the XML document where free modern-language text is permitted.</w:t>
      </w:r>
    </w:p>
    <w:p w14:paraId="1EE92189" w14:textId="77777777">
      <w:pPr>
        <w:pStyle w:val="Cmsor4"/>
      </w:pPr>
      <w:bookmarkStart w:id="1022" w:name="_Ref43988648"/>
      <w:bookmarkStart w:id="1023" w:name="_Ref148531705"/>
      <w:r>
        <w:lastRenderedPageBreak/>
        <w:t>Referring to editions in the DHARMA corpus</w:t>
      </w:r>
      <w:bookmarkEnd w:id="1022"/>
      <w:bookmarkEnd w:id="1023"/>
    </w:p>
    <w:p w14:paraId="70B84940" w14:textId="77777777">
      <w:pPr>
        <w:pStyle w:val="Lista"/>
      </w:pPr>
      <w:r>
        <w:t xml:space="preserve">to refer to another edition in the DHARMA corpus, use the element </w:t>
      </w:r>
      <w:r>
        <w:rPr>
          <w:rStyle w:val="Code"/>
        </w:rPr>
        <w:t>&lt;ref&gt;</w:t>
      </w:r>
      <w:r>
        <w:t xml:space="preserve"> in the following manner</w:t>
      </w:r>
    </w:p>
    <w:p w14:paraId="68DF1D33" w14:textId="77777777">
      <w:pPr>
        <w:pStyle w:val="Lista2"/>
      </w:pPr>
      <w:r>
        <w:t xml:space="preserve">add the attribute </w:t>
      </w:r>
      <w:r>
        <w:rPr>
          <w:rStyle w:val="Codeattribute"/>
        </w:rPr>
        <w:t>@target</w:t>
      </w:r>
      <w:r>
        <w:t xml:space="preserve"> with a value that is the full filename of the edition</w:t>
      </w:r>
    </w:p>
    <w:p w14:paraId="52701E98" w14:textId="77777777">
      <w:pPr>
        <w:pStyle w:val="Lista2"/>
      </w:pPr>
      <w:r>
        <w:t xml:space="preserve">as the contents of </w:t>
      </w:r>
      <w:r>
        <w:rPr>
          <w:rStyle w:val="Code"/>
        </w:rPr>
        <w:t>&lt;ref&gt;</w:t>
      </w:r>
      <w:r>
        <w:t>, enter a human-friendly identifier or title of the edition</w:t>
      </w:r>
    </w:p>
    <w:p w14:paraId="32528ABB" w14:textId="77777777">
      <w:pPr>
        <w:pStyle w:val="Lista"/>
      </w:pPr>
      <w:r>
        <w:t>examples:</w:t>
      </w:r>
    </w:p>
    <w:p w14:paraId="23A0F5C9" w14:textId="77777777">
      <w:pPr>
        <w:pStyle w:val="Lista2"/>
        <w:rPr>
          <w:rStyle w:val="Code"/>
          <w:rFonts w:ascii="Gentium" w:hAnsi="Gentium" w:cs="Tiro Devanagari Sanskrit"/>
          <w:noProof w:val="0"/>
          <w:color w:val="auto"/>
          <w:shd w:val="clear" w:color="auto" w:fill="auto"/>
        </w:rPr>
      </w:pPr>
      <w:r>
        <w:rPr>
          <w:rStyle w:val="Code"/>
        </w:rPr>
        <w:t xml:space="preserve">&lt;ref </w:t>
      </w:r>
      <w:r>
        <w:rPr>
          <w:rStyle w:val="Codeattribute"/>
        </w:rPr>
        <w:t>target</w:t>
      </w:r>
      <w:r>
        <w:rPr>
          <w:rStyle w:val="Code"/>
        </w:rPr>
        <w:t>=</w:t>
      </w:r>
      <w:r>
        <w:rPr>
          <w:rStyle w:val="Codevalue"/>
        </w:rPr>
        <w:t>"DHARMA_INSPallava00002.xml"</w:t>
      </w:r>
      <w:r>
        <w:rPr>
          <w:rStyle w:val="Code"/>
        </w:rPr>
        <w:t>&gt;</w:t>
      </w:r>
      <w:r>
        <w:rPr>
          <w:rStyle w:val="Codetext"/>
        </w:rPr>
        <w:t>Pallava 2</w:t>
      </w:r>
      <w:r>
        <w:rPr>
          <w:rStyle w:val="Code"/>
        </w:rPr>
        <w:t>&lt;/ref&gt;</w:t>
      </w:r>
    </w:p>
    <w:p w14:paraId="7101EF4A" w14:textId="77777777">
      <w:pPr>
        <w:pStyle w:val="Lista2"/>
        <w:rPr>
          <w:rStyle w:val="Code"/>
        </w:rPr>
      </w:pPr>
      <w:r>
        <w:rPr>
          <w:rStyle w:val="Code"/>
        </w:rPr>
        <w:t xml:space="preserve">&lt;ref </w:t>
      </w:r>
      <w:r>
        <w:rPr>
          <w:rStyle w:val="Codeattribute"/>
        </w:rPr>
        <w:t>target=</w:t>
      </w:r>
      <w:r>
        <w:rPr>
          <w:rStyle w:val="Codevalue"/>
        </w:rPr>
        <w:t>"DHARMA_INSVengiCalukya00048.xml"</w:t>
      </w:r>
      <w:r>
        <w:rPr>
          <w:rStyle w:val="Code"/>
        </w:rPr>
        <w:t>&gt;</w:t>
      </w:r>
      <w:r>
        <w:rPr>
          <w:rStyle w:val="Codetext"/>
        </w:rPr>
        <w:t>London plates of Maṅgi Yuvarāja</w:t>
      </w:r>
      <w:r>
        <w:rPr>
          <w:rStyle w:val="Code"/>
        </w:rPr>
        <w:t>&lt;/ref&gt;</w:t>
      </w:r>
    </w:p>
    <w:p w14:paraId="7245F0D3" w14:textId="77777777">
      <w:pPr>
        <w:pStyle w:val="Cmsor4"/>
      </w:pPr>
      <w:bookmarkStart w:id="1024" w:name="_Ref155689459"/>
      <w:r>
        <w:t>Referring to websites</w:t>
      </w:r>
      <w:bookmarkEnd w:id="1024"/>
    </w:p>
    <w:p w14:paraId="0034D41B" w14:textId="77777777">
      <w:pPr>
        <w:pStyle w:val="Lista"/>
      </w:pPr>
      <w:r>
        <w:t xml:space="preserve">to refer to an external website or other web resource, use the element </w:t>
      </w:r>
      <w:r>
        <w:rPr>
          <w:rStyle w:val="Code"/>
        </w:rPr>
        <w:t>&lt;ref&gt;</w:t>
      </w:r>
      <w:r>
        <w:t xml:space="preserve"> in the following manner</w:t>
      </w:r>
    </w:p>
    <w:p w14:paraId="05B9B042" w14:textId="77777777">
      <w:pPr>
        <w:pStyle w:val="Lista2"/>
      </w:pPr>
      <w:r>
        <w:t xml:space="preserve">add the attribute </w:t>
      </w:r>
      <w:r>
        <w:rPr>
          <w:rStyle w:val="Codeattribute"/>
        </w:rPr>
        <w:t>@target</w:t>
      </w:r>
      <w:r>
        <w:t xml:space="preserve"> with a value that is the full URL of the resource</w:t>
      </w:r>
    </w:p>
    <w:p w14:paraId="3FAB7A0B" w14:textId="77777777">
      <w:pPr>
        <w:pStyle w:val="Lista2"/>
      </w:pPr>
      <w:r>
        <w:t xml:space="preserve">as the contents of </w:t>
      </w:r>
      <w:r>
        <w:rPr>
          <w:rStyle w:val="Code"/>
        </w:rPr>
        <w:t>&lt;ref&gt;</w:t>
      </w:r>
      <w:r>
        <w:t>, enter the title of the site or page or simply repeat the URL</w:t>
      </w:r>
    </w:p>
    <w:p w14:paraId="3075C456" w14:textId="77777777">
      <w:pPr>
        <w:pStyle w:val="Lista"/>
      </w:pPr>
      <w:r>
        <w:t>examples</w:t>
      </w:r>
    </w:p>
    <w:p w14:paraId="30F9DDC0" w14:textId="77777777">
      <w:pPr>
        <w:pStyle w:val="Lista2"/>
      </w:pPr>
      <w:r>
        <w:rPr>
          <w:rStyle w:val="Codetext"/>
        </w:rPr>
        <w:t>&lt;</w:t>
      </w:r>
      <w:r>
        <w:rPr>
          <w:rStyle w:val="Code"/>
        </w:rPr>
        <w:t>ref</w:t>
      </w:r>
      <w:r>
        <w:rPr>
          <w:rStyle w:val="Codetext"/>
        </w:rPr>
        <w:t xml:space="preserve"> </w:t>
      </w:r>
      <w:r>
        <w:rPr>
          <w:rStyle w:val="Codeattribute"/>
        </w:rPr>
        <w:t>target</w:t>
      </w:r>
      <w:r>
        <w:rPr>
          <w:rStyle w:val="Codetext"/>
        </w:rPr>
        <w:t>="</w:t>
      </w:r>
      <w:r>
        <w:rPr>
          <w:rStyle w:val="Codevalue"/>
        </w:rPr>
        <w:t>http://museumsofindia.gov.in/repository/record/im_kol-A20050-9085-18</w:t>
      </w:r>
      <w:r>
        <w:rPr>
          <w:rStyle w:val="Codetext"/>
        </w:rPr>
        <w:t>"&gt;Baigram fragment&lt;/</w:t>
      </w:r>
      <w:r>
        <w:rPr>
          <w:rStyle w:val="Code"/>
        </w:rPr>
        <w:t>ref</w:t>
      </w:r>
      <w:r>
        <w:rPr>
          <w:rStyle w:val="Codetext"/>
        </w:rPr>
        <w:t>&gt;</w:t>
      </w:r>
    </w:p>
    <w:p w14:paraId="7CBCE5AA" w14:textId="77777777">
      <w:pPr>
        <w:pStyle w:val="Lista2"/>
      </w:pPr>
      <w:r>
        <w:rPr>
          <w:rStyle w:val="Codetext"/>
        </w:rPr>
        <w:t>&lt;</w:t>
      </w:r>
      <w:r>
        <w:rPr>
          <w:rStyle w:val="Code"/>
        </w:rPr>
        <w:t>ref</w:t>
      </w:r>
      <w:r>
        <w:rPr>
          <w:rStyle w:val="Codetext"/>
        </w:rPr>
        <w:t xml:space="preserve"> </w:t>
      </w:r>
      <w:r>
        <w:rPr>
          <w:rStyle w:val="Codeattribute"/>
        </w:rPr>
        <w:t>target</w:t>
      </w:r>
      <w:r>
        <w:rPr>
          <w:rStyle w:val="Codetext"/>
        </w:rPr>
        <w:t>="</w:t>
      </w:r>
      <w:r>
        <w:rPr>
          <w:rStyle w:val="Codevalue"/>
        </w:rPr>
        <w:t>https://tei-c.org/</w:t>
      </w:r>
      <w:r>
        <w:rPr>
          <w:rStyle w:val="Codetext"/>
        </w:rPr>
        <w:t>"&gt;</w:t>
      </w:r>
      <w:r>
        <w:rPr>
          <w:rFonts w:ascii="Consolas" w:hAnsi="Consolas" w:cs="Consolas"/>
          <w:noProof/>
          <w:shd w:val="clear" w:color="auto" w:fill="F2F2F2" w:themeFill="background1" w:themeFillShade="F2"/>
        </w:rPr>
        <w:t>https://tei-c.org/</w:t>
      </w:r>
      <w:r>
        <w:rPr>
          <w:rStyle w:val="Code"/>
        </w:rPr>
        <w:t>&lt;/ref&gt;</w:t>
      </w:r>
    </w:p>
    <w:p w14:paraId="75C39F91" w14:textId="77777777">
      <w:pPr>
        <w:pStyle w:val="Cmsor3"/>
      </w:pPr>
      <w:bookmarkStart w:id="1025" w:name="_57tiei7g7b2r" w:colFirst="0" w:colLast="0"/>
      <w:bookmarkStart w:id="1026" w:name="_dx7skv6pu8qf" w:colFirst="0" w:colLast="0"/>
      <w:bookmarkStart w:id="1027" w:name="_g75gsrc5lpm1" w:colFirst="0" w:colLast="0"/>
      <w:bookmarkStart w:id="1028" w:name="_Ref43989765"/>
      <w:bookmarkStart w:id="1029" w:name="_Toc243922806"/>
      <w:bookmarkEnd w:id="1025"/>
      <w:bookmarkEnd w:id="1026"/>
      <w:bookmarkEnd w:id="1027"/>
      <w:r>
        <w:t xml:space="preserve">Crediting a DHARMA contributor with </w:t>
      </w:r>
      <w:bookmarkEnd w:id="1028"/>
      <w:r>
        <w:rPr>
          <w:rStyle w:val="Codeattribute"/>
        </w:rPr>
        <w:t>@resp</w:t>
      </w:r>
      <w:bookmarkEnd w:id="1029"/>
    </w:p>
    <w:p w14:paraId="6CCD84C5" w14:textId="4D1EC6CD">
      <w:r>
        <w:t xml:space="preserve">The attribute </w:t>
      </w:r>
      <w:r>
        <w:rPr>
          <w:rStyle w:val="Codeattribute"/>
        </w:rPr>
        <w:t>@resp</w:t>
      </w:r>
      <w:r>
        <w:t xml:space="preserve"> </w:t>
      </w:r>
      <w:r>
        <w:rPr>
          <w:noProof/>
        </w:rPr>
        <w:t>(</w:t>
      </w:r>
      <w:r>
        <w:t xml:space="preserve">for “responsibility”) may be added to any XML element to encode the fact that a particular entity is the author of that particular item. In regular DHARMA practice this is done only to attribute the authorship of translations </w:t>
      </w:r>
      <w:r>
        <w:rPr>
          <w:noProof/>
        </w:rPr>
        <w:t>(</w:t>
      </w:r>
      <w:r>
        <w:t>§</w:t>
      </w:r>
      <w:r>
        <w:fldChar w:fldCharType="begin"/>
      </w:r>
      <w:r>
        <w:instrText xml:space="preserve"> REF _Ref233276652 \r \h </w:instrText>
      </w:r>
      <w:r>
        <w:fldChar w:fldCharType="separate"/>
      </w:r>
      <w:r>
        <w:t>11.1.2</w:t>
      </w:r>
      <w:r>
        <w:fldChar w:fldCharType="end"/>
      </w:r>
      <w:r>
        <w:t>) and of individual notes in translations (§</w:t>
      </w:r>
      <w:r>
        <w:fldChar w:fldCharType="begin"/>
      </w:r>
      <w:r>
        <w:instrText xml:space="preserve"> REF _Ref233298582 \r \h </w:instrText>
      </w:r>
      <w:r>
        <w:fldChar w:fldCharType="separate"/>
      </w:r>
      <w:r>
        <w:t>11.5.3</w:t>
      </w:r>
      <w:r>
        <w:fldChar w:fldCharType="end"/>
      </w:r>
      <w:r>
        <w:t>) as well as elsewhere (§</w:t>
      </w:r>
      <w:r>
        <w:fldChar w:fldCharType="begin"/>
      </w:r>
      <w:r>
        <w:instrText xml:space="preserve"> REF _Ref233730339 \r \h </w:instrText>
      </w:r>
      <w:r>
        <w:fldChar w:fldCharType="separate"/>
      </w:r>
      <w:r>
        <w:t>14.5.1.1</w:t>
      </w:r>
      <w:r>
        <w:fldChar w:fldCharType="end"/>
      </w:r>
      <w:r>
        <w:t>) to a DHARMA contributor, but the same encoding may also be used for the tracking and crediting of revisions and improvements to editions encoded by someone else.</w:t>
      </w:r>
    </w:p>
    <w:p w14:paraId="236B6697" w14:textId="77777777">
      <w:pPr>
        <w:pStyle w:val="Lista"/>
      </w:pPr>
      <w:r>
        <w:t xml:space="preserve">the value of </w:t>
      </w:r>
      <w:r>
        <w:rPr>
          <w:rStyle w:val="Codeattribute"/>
        </w:rPr>
        <w:t>@resp</w:t>
      </w:r>
      <w:r>
        <w:t xml:space="preserve"> shall be the personal identifier of a DHARMA contributor, with the prefix </w:t>
      </w:r>
      <w:r>
        <w:rPr>
          <w:rStyle w:val="Codevalue"/>
        </w:rPr>
        <w:t>part:</w:t>
      </w:r>
      <w:r>
        <w:t xml:space="preserve"> </w:t>
      </w:r>
      <w:r>
        <w:rPr>
          <w:noProof/>
        </w:rPr>
        <w:t>(</w:t>
      </w:r>
      <w:r>
        <w:t>as an abbreviated reference to the file listing participants of the project)</w:t>
      </w:r>
    </w:p>
    <w:p w14:paraId="6A4B6D6B" w14:textId="7268DDCA">
      <w:pPr>
        <w:pStyle w:val="Lista2"/>
      </w:pPr>
      <w:r>
        <w:t xml:space="preserve">our personal identifiers are available at </w:t>
      </w:r>
      <w:hyperlink r:id="rId79" w:history="1">
        <w:r>
          <w:rPr>
            <w:rStyle w:val="Hiperhivatkozs"/>
          </w:rPr>
          <w:t>https://dharmalekha.info/contributors</w:t>
        </w:r>
      </w:hyperlink>
      <w:r>
        <w:t xml:space="preserve"> </w:t>
      </w:r>
    </w:p>
    <w:p w14:paraId="6AB19569" w14:textId="77777777">
      <w:pPr>
        <w:pStyle w:val="Lista2"/>
      </w:pPr>
      <w:r>
        <w:t xml:space="preserve">to credit more than one contributor, simply include several personal identifiers </w:t>
      </w:r>
      <w:r>
        <w:rPr>
          <w:noProof/>
        </w:rPr>
        <w:t>(</w:t>
      </w:r>
      <w:r>
        <w:t xml:space="preserve">each prefixed as above) within a single </w:t>
      </w:r>
      <w:r>
        <w:rPr>
          <w:rStyle w:val="Codeattribute"/>
        </w:rPr>
        <w:t>@resp</w:t>
      </w:r>
      <w:r>
        <w:t xml:space="preserve"> attribute, separating them with a space and nothing else</w:t>
      </w:r>
    </w:p>
    <w:p w14:paraId="39BDBA6E" w14:textId="77777777">
      <w:pPr>
        <w:pStyle w:val="Cmsor3"/>
      </w:pPr>
      <w:bookmarkStart w:id="1030" w:name="_5hzh3m6qj48r" w:colFirst="0" w:colLast="0"/>
      <w:bookmarkStart w:id="1031" w:name="_Ref43988993"/>
      <w:bookmarkStart w:id="1032" w:name="_Toc243922807"/>
      <w:bookmarkEnd w:id="1030"/>
      <w:r>
        <w:t xml:space="preserve">Identifying elements with </w:t>
      </w:r>
      <w:r>
        <w:rPr>
          <w:rStyle w:val="Codeattribute"/>
        </w:rPr>
        <w:t>@xml:id</w:t>
      </w:r>
      <w:bookmarkEnd w:id="1031"/>
      <w:bookmarkEnd w:id="1032"/>
    </w:p>
    <w:p w14:paraId="3EA5ED45" w14:textId="081C47BB">
      <w:r>
        <w:t xml:space="preserve">The attribute </w:t>
      </w:r>
      <w:r>
        <w:rPr>
          <w:rStyle w:val="Codeattribute"/>
        </w:rPr>
        <w:t>@xml:id</w:t>
      </w:r>
      <w:r>
        <w:t xml:space="preserve"> may be used to assign a unique identifier to any XML element, which can then be used in computer processing to target that element precisely. Although future developments may call for more extensive use of such identification, present DHARMA practice utilises </w:t>
      </w:r>
      <w:r>
        <w:rPr>
          <w:rStyle w:val="Codeattribute"/>
        </w:rPr>
        <w:t>@xml:id</w:t>
      </w:r>
      <w:r>
        <w:t xml:space="preserve"> only for the identification of scribal hands as described in §</w:t>
      </w:r>
      <w:r>
        <w:fldChar w:fldCharType="begin"/>
      </w:r>
      <w:r>
        <w:instrText xml:space="preserve"> REF _Ref231980025 \r \h </w:instrText>
      </w:r>
      <w:r>
        <w:fldChar w:fldCharType="separate"/>
      </w:r>
      <w:r>
        <w:t>15.2.1.2</w:t>
      </w:r>
      <w:r>
        <w:fldChar w:fldCharType="end"/>
      </w:r>
      <w:r>
        <w:t>.</w:t>
      </w:r>
    </w:p>
    <w:p w14:paraId="7E8C4BB3" w14:textId="77777777">
      <w:pPr>
        <w:pStyle w:val="Lista"/>
      </w:pPr>
      <w:r>
        <w:t xml:space="preserve">the following technical requirements apply to </w:t>
      </w:r>
      <w:r>
        <w:rPr>
          <w:rStyle w:val="Codeattribute"/>
        </w:rPr>
        <w:t>@xml:id</w:t>
      </w:r>
    </w:p>
    <w:p w14:paraId="674117D9" w14:textId="77777777">
      <w:pPr>
        <w:pStyle w:val="Lista2"/>
      </w:pPr>
      <w:r>
        <w:t xml:space="preserve">all </w:t>
      </w:r>
      <w:r>
        <w:rPr>
          <w:rStyle w:val="Codeattribute"/>
        </w:rPr>
        <w:t>@xml:id</w:t>
      </w:r>
      <w:r>
        <w:t xml:space="preserve"> values used within a document must be unique in order to be able to provide unequivocal identification</w:t>
      </w:r>
    </w:p>
    <w:p w14:paraId="473CC98E" w14:textId="77777777">
      <w:pPr>
        <w:pStyle w:val="Lista2"/>
      </w:pPr>
      <w:r>
        <w:t xml:space="preserve">the value of </w:t>
      </w:r>
      <w:r>
        <w:rPr>
          <w:rStyle w:val="Codeattribute"/>
        </w:rPr>
        <w:t>@xml:id</w:t>
      </w:r>
      <w:r>
        <w:t xml:space="preserve"> must start with a letter or an underscore (_) and can contain only letters, digits, hyphens, periods (full stops), and underscores</w:t>
      </w:r>
    </w:p>
    <w:p w14:paraId="020D31BE" w14:textId="77777777">
      <w:pPr>
        <w:pStyle w:val="Lista2"/>
      </w:pPr>
      <w:r>
        <w:t xml:space="preserve">the value is case-sensitive, so for instance </w:t>
      </w:r>
      <w:r>
        <w:rPr>
          <w:rStyle w:val="Codeattribute"/>
        </w:rPr>
        <w:t>@xml:id=</w:t>
      </w:r>
      <w:r>
        <w:rPr>
          <w:rStyle w:val="Codevalue"/>
        </w:rPr>
        <w:t>"hand1"</w:t>
      </w:r>
      <w:r>
        <w:t xml:space="preserve"> is not equivalent to </w:t>
      </w:r>
      <w:r>
        <w:rPr>
          <w:rStyle w:val="Codeattribute"/>
        </w:rPr>
        <w:t>@xml:id=</w:t>
      </w:r>
      <w:r>
        <w:rPr>
          <w:rStyle w:val="Codevalue"/>
        </w:rPr>
        <w:t>"Hand1"</w:t>
      </w:r>
    </w:p>
    <w:p w14:paraId="4F3A01BE" w14:textId="77777777">
      <w:pPr>
        <w:pStyle w:val="Cmsor2"/>
      </w:pPr>
      <w:bookmarkStart w:id="1033" w:name="_Toc243922808"/>
      <w:r>
        <w:t>Analytical and interpretive markup</w:t>
      </w:r>
      <w:bookmarkEnd w:id="1033"/>
    </w:p>
    <w:p w14:paraId="7F61A6F2" w14:textId="2500F8A1">
      <w:r>
        <w:t>The encoding prescribed for numbers and abbreviations in §</w:t>
      </w:r>
      <w:r>
        <w:fldChar w:fldCharType="begin"/>
      </w:r>
      <w:r>
        <w:instrText xml:space="preserve"> REF _Ref232002354 \r \h </w:instrText>
      </w:r>
      <w:r>
        <w:fldChar w:fldCharType="separate"/>
      </w:r>
      <w:r>
        <w:t>9</w:t>
      </w:r>
      <w:r>
        <w:fldChar w:fldCharType="end"/>
      </w:r>
      <w:r>
        <w:t xml:space="preserve"> shall only be used in the edition division or in text cited verbatim from the edition as per §</w:t>
      </w:r>
      <w:r>
        <w:fldChar w:fldCharType="begin"/>
      </w:r>
      <w:r>
        <w:instrText xml:space="preserve"> REF _Ref43990337 \r \h </w:instrText>
      </w:r>
      <w:r>
        <w:fldChar w:fldCharType="separate"/>
      </w:r>
      <w:r>
        <w:t>14.1</w:t>
      </w:r>
      <w:r>
        <w:fldChar w:fldCharType="end"/>
      </w:r>
      <w:r>
        <w:t>. Conversely, the encoding of titles (§</w:t>
      </w:r>
      <w:r>
        <w:fldChar w:fldCharType="begin"/>
      </w:r>
      <w:r>
        <w:instrText xml:space="preserve"> REF _Ref233796804 \r \h </w:instrText>
      </w:r>
      <w:r>
        <w:fldChar w:fldCharType="separate"/>
      </w:r>
      <w:r>
        <w:t>14.7.1</w:t>
      </w:r>
      <w:r>
        <w:fldChar w:fldCharType="end"/>
      </w:r>
      <w:r>
        <w:t>) is only applicable outside the edition. In DHARMA practice, names (§</w:t>
      </w:r>
      <w:r>
        <w:fldChar w:fldCharType="begin"/>
      </w:r>
      <w:r>
        <w:instrText xml:space="preserve"> REF _Ref233882783 \r \h </w:instrText>
      </w:r>
      <w:r>
        <w:fldChar w:fldCharType="separate"/>
      </w:r>
      <w:r>
        <w:t>14.7.2</w:t>
      </w:r>
      <w:r>
        <w:fldChar w:fldCharType="end"/>
      </w:r>
      <w:r>
        <w:t>) are only tagged in the TEI header (§</w:t>
      </w:r>
      <w:r>
        <w:fldChar w:fldCharType="begin"/>
      </w:r>
      <w:r>
        <w:instrText xml:space="preserve"> REF _Ref43990001 \r \h </w:instrText>
      </w:r>
      <w:r>
        <w:fldChar w:fldCharType="separate"/>
      </w:r>
      <w:r>
        <w:t>15.1.2</w:t>
      </w:r>
      <w:r>
        <w:fldChar w:fldCharType="end"/>
      </w:r>
      <w:r>
        <w:t>). Additional semantic encoding (§</w:t>
      </w:r>
      <w:r>
        <w:fldChar w:fldCharType="begin"/>
      </w:r>
      <w:r>
        <w:instrText xml:space="preserve"> REF _Ref232173896 \r \h </w:instrText>
      </w:r>
      <w:r>
        <w:fldChar w:fldCharType="separate"/>
      </w:r>
      <w:r>
        <w:t>14.7.3</w:t>
      </w:r>
      <w:r>
        <w:fldChar w:fldCharType="end"/>
      </w:r>
      <w:r>
        <w:t>) is permitted but not encouraged in DHARMA editions.</w:t>
      </w:r>
    </w:p>
    <w:p w14:paraId="604E8959" w14:textId="77777777">
      <w:pPr>
        <w:pStyle w:val="Cmsor3"/>
      </w:pPr>
      <w:bookmarkStart w:id="1034" w:name="_m34hlz9vjuhp" w:colFirst="0" w:colLast="0"/>
      <w:bookmarkStart w:id="1035" w:name="_Ref233796804"/>
      <w:bookmarkStart w:id="1036" w:name="_Toc243922809"/>
      <w:bookmarkEnd w:id="1034"/>
      <w:r>
        <w:lastRenderedPageBreak/>
        <w:t>Encoding titles</w:t>
      </w:r>
      <w:bookmarkEnd w:id="1035"/>
      <w:bookmarkEnd w:id="1036"/>
    </w:p>
    <w:p w14:paraId="3FF809DA" w14:textId="77777777">
      <w:r>
        <w:t xml:space="preserve">Any titles you mention outside the edition division (for instance in a note or commentary) shall be tagged as such with the element </w:t>
      </w:r>
      <w:r>
        <w:rPr>
          <w:rStyle w:val="Code"/>
        </w:rPr>
        <w:t>&lt;title&gt;</w:t>
      </w:r>
      <w:r>
        <w:t>.</w:t>
      </w:r>
    </w:p>
    <w:p w14:paraId="299EC6F7" w14:textId="77777777">
      <w:pPr>
        <w:pStyle w:val="Lista"/>
      </w:pPr>
      <w:r>
        <w:t>titles to be tagged in this way include</w:t>
      </w:r>
    </w:p>
    <w:p w14:paraId="4B43B23E" w14:textId="77777777">
      <w:pPr>
        <w:pStyle w:val="Lista2"/>
      </w:pPr>
      <w:r>
        <w:t xml:space="preserve">non-epigraphic primary sources </w:t>
      </w:r>
      <w:r>
        <w:rPr>
          <w:noProof/>
        </w:rPr>
        <w:t>(</w:t>
      </w:r>
      <w:r>
        <w:t xml:space="preserve">literary texts), e.g. </w:t>
      </w:r>
      <w:r>
        <w:rPr>
          <w:rStyle w:val="Code"/>
        </w:rPr>
        <w:t>&lt;title&gt;</w:t>
      </w:r>
      <w:r>
        <w:rPr>
          <w:rStyle w:val="Codetext"/>
        </w:rPr>
        <w:t>Harivaṁśa</w:t>
      </w:r>
      <w:r>
        <w:rPr>
          <w:rStyle w:val="Code"/>
        </w:rPr>
        <w:t>&lt;/title&gt;</w:t>
      </w:r>
    </w:p>
    <w:p w14:paraId="7F19DD6B" w14:textId="77777777">
      <w:pPr>
        <w:pStyle w:val="Lista2"/>
      </w:pPr>
      <w:r>
        <w:t xml:space="preserve">secondary sources </w:t>
      </w:r>
      <w:r>
        <w:rPr>
          <w:noProof/>
        </w:rPr>
        <w:t>(</w:t>
      </w:r>
      <w:r>
        <w:t>scholarly literature), regardless of whether the title is cited</w:t>
      </w:r>
    </w:p>
    <w:p w14:paraId="1E505D77" w14:textId="77777777">
      <w:pPr>
        <w:pStyle w:val="Lista3"/>
      </w:pPr>
      <w:r>
        <w:t xml:space="preserve">in full, e.g. </w:t>
      </w:r>
      <w:r>
        <w:rPr>
          <w:rStyle w:val="Code"/>
        </w:rPr>
        <w:t>&lt;title&gt;</w:t>
      </w:r>
      <w:r>
        <w:rPr>
          <w:rStyle w:val="Codetext"/>
        </w:rPr>
        <w:t>Early History of the Deccan</w:t>
      </w:r>
      <w:r>
        <w:rPr>
          <w:rStyle w:val="Code"/>
        </w:rPr>
        <w:t>&lt;/title&gt;</w:t>
      </w:r>
      <w:r>
        <w:t>, or</w:t>
      </w:r>
    </w:p>
    <w:p w14:paraId="0C1E60FF" w14:textId="77777777">
      <w:pPr>
        <w:pStyle w:val="Lista3"/>
      </w:pPr>
      <w:r>
        <w:t xml:space="preserve">in abbreviated form, e.g. </w:t>
      </w:r>
      <w:r>
        <w:rPr>
          <w:rStyle w:val="Code"/>
        </w:rPr>
        <w:t>&lt;title&gt;</w:t>
      </w:r>
      <w:r>
        <w:rPr>
          <w:rStyle w:val="Codetext"/>
        </w:rPr>
        <w:t>Mahâbodhi</w:t>
      </w:r>
      <w:r>
        <w:rPr>
          <w:rStyle w:val="Code"/>
        </w:rPr>
        <w:t>&lt;/title&gt;</w:t>
      </w:r>
      <w:r>
        <w:t xml:space="preserve"> for the title </w:t>
      </w:r>
      <w:r>
        <w:rPr>
          <w:rStyle w:val="Foreign"/>
        </w:rPr>
        <w:t>Mahâbodhi, or the great Buddhist temple under the Bodhi tree at Buddha-Gaya</w:t>
      </w:r>
      <w:r>
        <w:t>, or</w:t>
      </w:r>
    </w:p>
    <w:p w14:paraId="047BC40C" w14:textId="77777777">
      <w:pPr>
        <w:pStyle w:val="Lista3"/>
      </w:pPr>
      <w:r>
        <w:t xml:space="preserve">as a widely known acronym, e.g. </w:t>
      </w:r>
      <w:r>
        <w:rPr>
          <w:rStyle w:val="Code"/>
        </w:rPr>
        <w:t>&lt;title&gt;</w:t>
      </w:r>
      <w:r>
        <w:rPr>
          <w:rStyle w:val="Codetext"/>
        </w:rPr>
        <w:t>OJED</w:t>
      </w:r>
      <w:r>
        <w:rPr>
          <w:rStyle w:val="Code"/>
        </w:rPr>
        <w:t>&lt;/title&gt;</w:t>
      </w:r>
      <w:r>
        <w:t xml:space="preserve"> for the title </w:t>
      </w:r>
      <w:r>
        <w:rPr>
          <w:rStyle w:val="Foreign"/>
        </w:rPr>
        <w:t>Old Javanese-English dictionary</w:t>
      </w:r>
    </w:p>
    <w:p w14:paraId="1B1CB6AF" w14:textId="77777777">
      <w:pPr>
        <w:pStyle w:val="Lista"/>
      </w:pPr>
      <w:r>
        <w:t>“titles” designating inscriptions shall not be encoded in this way</w:t>
      </w:r>
    </w:p>
    <w:p w14:paraId="37992580" w14:textId="3D7FA03A">
      <w:pPr>
        <w:pStyle w:val="Lista2"/>
      </w:pPr>
      <w:r>
        <w:t>but inscriptions edited in the DHARMA corpus are to be encoded as per §</w:t>
      </w:r>
      <w:r>
        <w:fldChar w:fldCharType="begin"/>
      </w:r>
      <w:r>
        <w:instrText xml:space="preserve"> REF _Ref148531705 \r \h </w:instrText>
      </w:r>
      <w:r>
        <w:fldChar w:fldCharType="separate"/>
      </w:r>
      <w:r>
        <w:t>14.6.4.1</w:t>
      </w:r>
      <w:r>
        <w:fldChar w:fldCharType="end"/>
      </w:r>
    </w:p>
    <w:p w14:paraId="094075BF" w14:textId="77777777">
      <w:pPr>
        <w:pStyle w:val="Lista"/>
      </w:pPr>
      <w:r>
        <w:t>by default, all titles tagged with this element will be displayed in italics; when this is not desired, choose the applicable from the following options</w:t>
      </w:r>
    </w:p>
    <w:p w14:paraId="08F1D67D" w14:textId="77777777">
      <w:pPr>
        <w:pStyle w:val="Lista2"/>
      </w:pPr>
      <w:r>
        <w:t xml:space="preserve">for titles of chapters </w:t>
      </w:r>
      <w:r>
        <w:rPr>
          <w:noProof/>
        </w:rPr>
        <w:t>(</w:t>
      </w:r>
      <w:r>
        <w:t xml:space="preserve">e.g. in a multi-author book) and articles </w:t>
      </w:r>
      <w:r>
        <w:rPr>
          <w:noProof/>
        </w:rPr>
        <w:t>(</w:t>
      </w:r>
      <w:r>
        <w:t xml:space="preserve">e.g. in a journal), add the attribute </w:t>
      </w:r>
      <w:r>
        <w:rPr>
          <w:rStyle w:val="Codeattribute"/>
        </w:rPr>
        <w:t>@level</w:t>
      </w:r>
      <w:r>
        <w:t xml:space="preserve"> with the value </w:t>
      </w:r>
      <w:r>
        <w:rPr>
          <w:rStyle w:val="Codevalue"/>
        </w:rPr>
        <w:t>"a"</w:t>
      </w:r>
      <w:r>
        <w:t xml:space="preserve"> </w:t>
      </w:r>
      <w:r>
        <w:rPr>
          <w:noProof/>
        </w:rPr>
        <w:t>(</w:t>
      </w:r>
      <w:r>
        <w:t>for “analytic”)</w:t>
      </w:r>
    </w:p>
    <w:p w14:paraId="40BE326E" w14:textId="77777777">
      <w:pPr>
        <w:pStyle w:val="Lista3"/>
      </w:pPr>
      <w:r>
        <w:t xml:space="preserve">e.g. </w:t>
      </w:r>
      <w:r>
        <w:rPr>
          <w:rStyle w:val="Code"/>
        </w:rPr>
        <w:t xml:space="preserve">&lt;title </w:t>
      </w:r>
      <w:r>
        <w:rPr>
          <w:rStyle w:val="Codeattribute"/>
        </w:rPr>
        <w:t>level</w:t>
      </w:r>
      <w:r>
        <w:rPr>
          <w:rStyle w:val="Code"/>
        </w:rPr>
        <w:t>=</w:t>
      </w:r>
      <w:r>
        <w:rPr>
          <w:rStyle w:val="Codevalue"/>
        </w:rPr>
        <w:t>"a"</w:t>
      </w:r>
      <w:r>
        <w:rPr>
          <w:rStyle w:val="Code"/>
        </w:rPr>
        <w:t>&gt;</w:t>
      </w:r>
      <w:r>
        <w:rPr>
          <w:rStyle w:val="Codetext"/>
        </w:rPr>
        <w:t>Grants from Valabhî</w:t>
      </w:r>
      <w:r>
        <w:rPr>
          <w:rStyle w:val="Code"/>
        </w:rPr>
        <w:t>&lt;/title&gt;</w:t>
      </w:r>
    </w:p>
    <w:p w14:paraId="5BA18891" w14:textId="77777777">
      <w:pPr>
        <w:pStyle w:val="Lista3"/>
      </w:pPr>
      <w:r>
        <w:t>titles tagged in this way will be displayed in regular type, but with quote marks added around them</w:t>
      </w:r>
    </w:p>
    <w:p w14:paraId="5F00FE03" w14:textId="77777777">
      <w:pPr>
        <w:pStyle w:val="Lista2"/>
      </w:pPr>
      <w:r>
        <w:t xml:space="preserve">for any other titles that you wish to display without italics for whatever reason, add the attribute </w:t>
      </w:r>
      <w:r>
        <w:rPr>
          <w:rStyle w:val="Codeattribute"/>
        </w:rPr>
        <w:t>@rend</w:t>
      </w:r>
      <w:r>
        <w:t xml:space="preserve"> with the value </w:t>
      </w:r>
      <w:r>
        <w:rPr>
          <w:rStyle w:val="Codevalue"/>
        </w:rPr>
        <w:t>"plain"</w:t>
      </w:r>
    </w:p>
    <w:p w14:paraId="441DA30A" w14:textId="77777777">
      <w:pPr>
        <w:pStyle w:val="Lista3"/>
      </w:pPr>
      <w:r>
        <w:t>titles tagged in this way will be displayed without any typographic distinction from the surrounding text</w:t>
      </w:r>
    </w:p>
    <w:p w14:paraId="40048A54" w14:textId="77777777">
      <w:pPr>
        <w:pStyle w:val="Cmsor3"/>
      </w:pPr>
      <w:bookmarkStart w:id="1037" w:name="_Ref233882773"/>
      <w:bookmarkStart w:id="1038" w:name="_Ref233882783"/>
      <w:bookmarkStart w:id="1039" w:name="_Toc243922810"/>
      <w:r>
        <w:t>Encoding names</w:t>
      </w:r>
      <w:bookmarkEnd w:id="1037"/>
      <w:bookmarkEnd w:id="1038"/>
      <w:bookmarkEnd w:id="1039"/>
    </w:p>
    <w:p w14:paraId="093B8E3D" w14:textId="7223A476">
      <w:r>
        <w:t xml:space="preserve">Names may, in principle, be tagged anywhere in a document, but we do not recommend doing so in any content except the Responsibility Statement </w:t>
      </w:r>
      <w:r>
        <w:rPr>
          <w:noProof/>
        </w:rPr>
        <w:t>(</w:t>
      </w:r>
      <w:r>
        <w:t>§</w:t>
      </w:r>
      <w:r>
        <w:fldChar w:fldCharType="begin"/>
      </w:r>
      <w:r>
        <w:instrText xml:space="preserve"> REF _Ref43990001 \r \h  \* MERGEFORMAT </w:instrText>
      </w:r>
      <w:r>
        <w:fldChar w:fldCharType="separate"/>
      </w:r>
      <w:r>
        <w:t>15.1.2</w:t>
      </w:r>
      <w:r>
        <w:fldChar w:fldCharType="end"/>
      </w:r>
      <w:r>
        <w:t>). Both modern and historic names may be tagged for analytical purposes as indicated in §</w:t>
      </w:r>
      <w:r>
        <w:fldChar w:fldCharType="begin"/>
      </w:r>
      <w:r>
        <w:instrText xml:space="preserve"> REF _Ref232173896 \r \h </w:instrText>
      </w:r>
      <w:r>
        <w:fldChar w:fldCharType="separate"/>
      </w:r>
      <w:r>
        <w:t>14.7.3</w:t>
      </w:r>
      <w:r>
        <w:fldChar w:fldCharType="end"/>
      </w:r>
      <w:r>
        <w:t xml:space="preserve">. The required encoding for modern names in the Responsibility Statement is as follows, illustrated in </w:t>
      </w:r>
      <w:r>
        <w:fldChar w:fldCharType="begin"/>
      </w:r>
      <w:r>
        <w:instrText xml:space="preserve"> REF _Ref233883689 \h </w:instrText>
      </w:r>
      <w:r>
        <w:fldChar w:fldCharType="separate"/>
      </w:r>
      <w:r>
        <w:t xml:space="preserve">Exhibit </w:t>
      </w:r>
      <w:r>
        <w:rPr>
          <w:noProof/>
        </w:rPr>
        <w:t>14.7</w:t>
      </w:r>
      <w:r>
        <w:t>.</w:t>
      </w:r>
      <w:r>
        <w:rPr>
          <w:noProof/>
        </w:rPr>
        <w:t>A</w:t>
      </w:r>
      <w:r>
        <w:fldChar w:fldCharType="end"/>
      </w:r>
    </w:p>
    <w:p w14:paraId="4CCC65D8" w14:textId="77777777">
      <w:pPr>
        <w:pStyle w:val="Lista"/>
      </w:pPr>
      <w:bookmarkStart w:id="1040" w:name="_5n8o6akv2b3b" w:colFirst="0" w:colLast="0"/>
      <w:bookmarkEnd w:id="1040"/>
      <w:r>
        <w:t xml:space="preserve">when a contemporary name requires a tag, wrap the entire name in the element </w:t>
      </w:r>
      <w:r>
        <w:rPr>
          <w:rStyle w:val="Code"/>
        </w:rPr>
        <w:t>&lt;persName&gt;</w:t>
      </w:r>
    </w:p>
    <w:p w14:paraId="586BE556" w14:textId="77777777">
      <w:pPr>
        <w:pStyle w:val="Lista2"/>
      </w:pPr>
      <w:r>
        <w:t xml:space="preserve">if the name is that of a DHARMA project participant </w:t>
      </w:r>
      <w:r>
        <w:rPr>
          <w:noProof/>
        </w:rPr>
        <w:t>(</w:t>
      </w:r>
      <w:r>
        <w:t xml:space="preserve">such as your own name), add the attribute </w:t>
      </w:r>
      <w:r>
        <w:rPr>
          <w:rStyle w:val="Codeattribute"/>
        </w:rPr>
        <w:t>@ref</w:t>
      </w:r>
    </w:p>
    <w:p w14:paraId="3E49F43A" w14:textId="77777777">
      <w:pPr>
        <w:pStyle w:val="Lista3"/>
      </w:pPr>
      <w:r>
        <w:t xml:space="preserve">the value of this attribute shall be the personal identifier of the contributor, with the prefix </w:t>
      </w:r>
      <w:r>
        <w:rPr>
          <w:rStyle w:val="Codevalue"/>
        </w:rPr>
        <w:t>part:</w:t>
      </w:r>
      <w:r>
        <w:t xml:space="preserve"> </w:t>
      </w:r>
      <w:r>
        <w:rPr>
          <w:noProof/>
        </w:rPr>
        <w:t>(</w:t>
      </w:r>
      <w:r>
        <w:t>as an abbreviated reference to the file listing participants of the project)</w:t>
      </w:r>
    </w:p>
    <w:p w14:paraId="362B22B2" w14:textId="4AE8F62F">
      <w:pPr>
        <w:pStyle w:val="Lista3"/>
      </w:pPr>
      <w:r>
        <w:t xml:space="preserve">our personal identifiers are available at </w:t>
      </w:r>
      <w:hyperlink r:id="rId80" w:history="1">
        <w:r>
          <w:rPr>
            <w:rStyle w:val="Hiperhivatkozs"/>
          </w:rPr>
          <w:t>https://dharmalekha.info/contributors</w:t>
        </w:r>
      </w:hyperlink>
      <w:r>
        <w:t xml:space="preserve"> </w:t>
      </w:r>
    </w:p>
    <w:p w14:paraId="2FDEE766" w14:textId="77777777">
      <w:pPr>
        <w:pStyle w:val="Lista2"/>
      </w:pPr>
      <w:r>
        <w:t>persons who are not DHARMA contributors will not be identified with a machine-readable reference</w:t>
      </w:r>
    </w:p>
    <w:p w14:paraId="155FFAA4" w14:textId="77777777">
      <w:pPr>
        <w:pStyle w:val="Lista"/>
      </w:pPr>
      <w:r>
        <w:t>within this element</w:t>
      </w:r>
    </w:p>
    <w:p w14:paraId="1E1F1D1A" w14:textId="77777777">
      <w:pPr>
        <w:pStyle w:val="Lista2"/>
      </w:pPr>
      <w:r>
        <w:t xml:space="preserve">either apply the tags </w:t>
      </w:r>
      <w:r>
        <w:rPr>
          <w:rStyle w:val="Code"/>
        </w:rPr>
        <w:t>&lt;forename&gt;</w:t>
      </w:r>
      <w:r>
        <w:t xml:space="preserve"> and </w:t>
      </w:r>
      <w:r>
        <w:rPr>
          <w:rStyle w:val="Code"/>
        </w:rPr>
        <w:t>&lt;surname&gt;</w:t>
      </w:r>
      <w:r>
        <w:t xml:space="preserve"> to the respective components of the name</w:t>
      </w:r>
    </w:p>
    <w:p w14:paraId="2C0AE4F7" w14:textId="079597EB">
      <w:pPr>
        <w:pStyle w:val="Lista2"/>
      </w:pPr>
      <w:r>
        <w:t xml:space="preserve">or apply </w:t>
      </w:r>
      <w:r>
        <w:rPr>
          <w:rStyle w:val="Code"/>
        </w:rPr>
        <w:t>&lt;name&gt;</w:t>
      </w:r>
      <w:r>
        <w:t xml:space="preserve"> to the whole of a name if it cannot be broken down in this way</w:t>
      </w:r>
    </w:p>
    <w:tbl>
      <w:tblPr>
        <w:tblStyle w:val="CodeSampleTable"/>
        <w:tblW w:w="5000" w:type="pct"/>
        <w:tblLook w:val="04A0" w:firstRow="1" w:lastRow="0" w:firstColumn="1" w:lastColumn="0" w:noHBand="0" w:noVBand="1"/>
      </w:tblPr>
      <w:tblGrid>
        <w:gridCol w:w="9628"/>
      </w:tblGrid>
      <w:tr w14:paraId="1979D30E"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8FE93D3" w14:textId="1F69608C">
            <w:pPr>
              <w:pStyle w:val="Kpalrs"/>
            </w:pPr>
            <w:bookmarkStart w:id="1041" w:name="_Ref233883689"/>
            <w:r>
              <w:t xml:space="preserve">Exhibit </w:t>
            </w:r>
            <w:fldSimple w:instr=" STYLEREF 2 \s ">
              <w:r>
                <w:rPr>
                  <w:noProof/>
                </w:rPr>
                <w:t>14.7</w:t>
              </w:r>
            </w:fldSimple>
            <w:r>
              <w:t>.</w:t>
            </w:r>
            <w:fldSimple w:instr=" SEQ Exhibit \* ALPHABETIC \s 2 ">
              <w:r>
                <w:rPr>
                  <w:noProof/>
                </w:rPr>
                <w:t>A</w:t>
              </w:r>
            </w:fldSimple>
            <w:bookmarkEnd w:id="1041"/>
            <w:r>
              <w:t>: encoding the name of a project participant</w:t>
            </w:r>
          </w:p>
        </w:tc>
      </w:tr>
      <w:tr w14:paraId="03DE62F5" w14:textId="77777777">
        <w:tc>
          <w:tcPr>
            <w:tcW w:w="5000" w:type="pct"/>
          </w:tcPr>
          <w:p w14:paraId="71A28BE9" w14:textId="77777777">
            <w:pPr>
              <w:pStyle w:val="TableNote"/>
            </w:pPr>
            <w:r>
              <w:t>with forename and surname</w:t>
            </w:r>
          </w:p>
        </w:tc>
      </w:tr>
      <w:tr w14:paraId="2836AF2F" w14:textId="77777777">
        <w:tc>
          <w:tcPr>
            <w:tcW w:w="5000" w:type="pct"/>
          </w:tcPr>
          <w:p w14:paraId="0587077B" w14:textId="77777777">
            <w:pPr>
              <w:pStyle w:val="CodeParagraph"/>
              <w:rPr>
                <w:rStyle w:val="Code"/>
              </w:rPr>
            </w:pPr>
            <w:r>
              <w:rPr>
                <w:rStyle w:val="Code"/>
              </w:rPr>
              <w:t xml:space="preserve">&lt;persName </w:t>
            </w:r>
            <w:r>
              <w:rPr>
                <w:rStyle w:val="Codeattribute"/>
              </w:rPr>
              <w:t>ref</w:t>
            </w:r>
            <w:r>
              <w:rPr>
                <w:rStyle w:val="Code"/>
              </w:rPr>
              <w:t>=</w:t>
            </w:r>
            <w:r>
              <w:rPr>
                <w:rStyle w:val="Codevalue"/>
              </w:rPr>
              <w:t>"part:argr"</w:t>
            </w:r>
            <w:r>
              <w:rPr>
                <w:rStyle w:val="Code"/>
              </w:rPr>
              <w:t>&gt;</w:t>
            </w:r>
            <w:r>
              <w:rPr>
                <w:rStyle w:val="Codetext"/>
              </w:rPr>
              <w:br/>
              <w:t xml:space="preserve">  </w:t>
            </w:r>
            <w:r>
              <w:rPr>
                <w:rStyle w:val="Code"/>
              </w:rPr>
              <w:t>&lt;forename&gt;</w:t>
            </w:r>
            <w:r>
              <w:rPr>
                <w:rStyle w:val="Codetext"/>
              </w:rPr>
              <w:t>Arlo</w:t>
            </w:r>
            <w:r>
              <w:rPr>
                <w:rStyle w:val="Code"/>
              </w:rPr>
              <w:t>&lt;/forename&gt;</w:t>
            </w:r>
            <w:r>
              <w:rPr>
                <w:rStyle w:val="Codetext"/>
              </w:rPr>
              <w:br/>
              <w:t xml:space="preserve">  </w:t>
            </w:r>
            <w:r>
              <w:rPr>
                <w:rStyle w:val="Code"/>
              </w:rPr>
              <w:t>&lt;surname&gt;</w:t>
            </w:r>
            <w:r>
              <w:rPr>
                <w:rStyle w:val="Codetext"/>
              </w:rPr>
              <w:t>Griffiths</w:t>
            </w:r>
            <w:r>
              <w:rPr>
                <w:rStyle w:val="Code"/>
              </w:rPr>
              <w:t>&lt;/surname&gt;</w:t>
            </w:r>
            <w:r>
              <w:rPr>
                <w:rStyle w:val="Codetext"/>
              </w:rPr>
              <w:br/>
            </w:r>
            <w:r>
              <w:rPr>
                <w:rStyle w:val="Code"/>
              </w:rPr>
              <w:t>&lt;/persName&gt;</w:t>
            </w:r>
          </w:p>
        </w:tc>
      </w:tr>
      <w:tr w14:paraId="669DF21C" w14:textId="77777777">
        <w:tc>
          <w:tcPr>
            <w:tcW w:w="5000" w:type="pct"/>
          </w:tcPr>
          <w:p w14:paraId="54EB6C13" w14:textId="77777777">
            <w:pPr>
              <w:pStyle w:val="TableNote"/>
            </w:pPr>
            <w:r>
              <w:t>with a name that resists breaking down into forename and surname</w:t>
            </w:r>
          </w:p>
        </w:tc>
      </w:tr>
      <w:tr w14:paraId="3939E322" w14:textId="77777777">
        <w:tc>
          <w:tcPr>
            <w:tcW w:w="5000" w:type="pct"/>
          </w:tcPr>
          <w:p w14:paraId="545E1AE0" w14:textId="77777777">
            <w:pPr>
              <w:pStyle w:val="CodeParagraph"/>
              <w:rPr>
                <w:rStyle w:val="Code"/>
              </w:rPr>
            </w:pPr>
            <w:r>
              <w:rPr>
                <w:rStyle w:val="Code"/>
              </w:rPr>
              <w:t xml:space="preserve">&lt;persName </w:t>
            </w:r>
            <w:r>
              <w:rPr>
                <w:rStyle w:val="Codeattribute"/>
              </w:rPr>
              <w:t>ref</w:t>
            </w:r>
            <w:r>
              <w:rPr>
                <w:rStyle w:val="Code"/>
              </w:rPr>
              <w:t>=</w:t>
            </w:r>
            <w:r>
              <w:rPr>
                <w:rStyle w:val="Codevalue"/>
              </w:rPr>
              <w:t>"part:</w:t>
            </w:r>
            <w:r>
              <w:t xml:space="preserve"> </w:t>
            </w:r>
            <w:r>
              <w:rPr>
                <w:rStyle w:val="Codevalue"/>
              </w:rPr>
              <w:t>dapu"</w:t>
            </w:r>
            <w:r>
              <w:rPr>
                <w:rStyle w:val="Code"/>
              </w:rPr>
              <w:t>&gt;</w:t>
            </w:r>
            <w:r>
              <w:rPr>
                <w:rStyle w:val="Codetext"/>
              </w:rPr>
              <w:br/>
              <w:t xml:space="preserve">  </w:t>
            </w:r>
            <w:r>
              <w:rPr>
                <w:rStyle w:val="Code"/>
              </w:rPr>
              <w:t>&lt;name&gt;</w:t>
            </w:r>
            <w:r>
              <w:rPr>
                <w:rStyle w:val="Codetext"/>
              </w:rPr>
              <w:t>I Gde Agus Darma Putra</w:t>
            </w:r>
            <w:r>
              <w:rPr>
                <w:rStyle w:val="Code"/>
              </w:rPr>
              <w:t>&lt;/name&gt;</w:t>
            </w:r>
            <w:r>
              <w:rPr>
                <w:rStyle w:val="Codetext"/>
              </w:rPr>
              <w:br/>
            </w:r>
            <w:r>
              <w:rPr>
                <w:rStyle w:val="Code"/>
              </w:rPr>
              <w:t>&lt;/persName&gt;</w:t>
            </w:r>
          </w:p>
        </w:tc>
      </w:tr>
    </w:tbl>
    <w:p w14:paraId="7CCB6E6F" w14:textId="77777777"/>
    <w:p w14:paraId="2358856C" w14:textId="77777777">
      <w:pPr>
        <w:pStyle w:val="Cmsor3"/>
      </w:pPr>
      <w:bookmarkStart w:id="1042" w:name="_yz32t9xtry6d" w:colFirst="0" w:colLast="0"/>
      <w:bookmarkStart w:id="1043" w:name="_Ref232173896"/>
      <w:bookmarkStart w:id="1044" w:name="_Toc243922811"/>
      <w:bookmarkEnd w:id="1042"/>
      <w:r>
        <w:lastRenderedPageBreak/>
        <w:t xml:space="preserve">Other interpretive and analytical </w:t>
      </w:r>
      <w:bookmarkEnd w:id="1043"/>
      <w:r>
        <w:t>encoding</w:t>
      </w:r>
      <w:bookmarkEnd w:id="1044"/>
    </w:p>
    <w:p w14:paraId="160345B2" w14:textId="40BCDAAB">
      <w:r>
        <w:t>As noted in the introduction to §</w:t>
      </w:r>
      <w:r>
        <w:fldChar w:fldCharType="begin"/>
      </w:r>
      <w:r>
        <w:instrText xml:space="preserve"> REF _Ref232002354 \r \h </w:instrText>
      </w:r>
      <w:r>
        <w:fldChar w:fldCharType="separate"/>
      </w:r>
      <w:r>
        <w:t>9</w:t>
      </w:r>
      <w:r>
        <w:fldChar w:fldCharType="end"/>
      </w:r>
      <w:r>
        <w:t>, interpretive tagging other than the kinds explicitly prescribed by this Guide is not encouraged in DHARMA editions because it greatly increases the presence of overlapping hierarchies in our documents. While project members as well as others adopting the DHARMA encoding scheme are free to experiment with encoding additional interpretive detail, on the whole we recommend that analytical tags should only be added to editions once an entire subcorpus has been encoded as documentary editions and once the precise range of interpretive elements and the conditions of their use has been determined after ripe reflection on the texts and consideration of a particular (set of) research question(s). Even in such a case, it may be desirable to create a fork of the subcorpus, strip it of most of the documentary encoding, and add interpretive encoding to this stripped version.</w:t>
      </w:r>
    </w:p>
    <w:p w14:paraId="16957FC1" w14:textId="77777777">
      <w:pPr>
        <w:ind w:firstLine="567"/>
      </w:pPr>
      <w:r>
        <w:t>Interpretive tags may be used in the editions or, with a smaller potential for conflict with other elements, in modern-language translations and annotations. Any such tagging that you do choose to apply should be implemented in accordance with the workflow of your task force as determined by and in consultation with the PI of your task force. It is your responsibility as encoder to ensure that overlapping hierarchies are properly handled, without disrupting editorial encoding such as that for reading difficulties and structural containers.</w:t>
      </w:r>
    </w:p>
    <w:p w14:paraId="0052CA89" w14:textId="77777777"/>
    <w:p w14:paraId="03309ED3" w14:textId="77777777">
      <w:r>
        <w:t>The DHARMA schema permits the following potentially useful interpretive tags, which shall be used in the manner and with the attributes endorsed by the TEI guidelines.</w:t>
      </w:r>
    </w:p>
    <w:p w14:paraId="7B49A8D7" w14:textId="77777777">
      <w:pPr>
        <w:pStyle w:val="Lista"/>
      </w:pPr>
      <w:r>
        <w:rPr>
          <w:rStyle w:val="Code"/>
        </w:rPr>
        <w:t>&lt;persName&gt;</w:t>
      </w:r>
      <w:r>
        <w:t xml:space="preserve"> – for proper nouns referring to a person, e.g. </w:t>
      </w:r>
      <w:r>
        <w:rPr>
          <w:rStyle w:val="Code"/>
        </w:rPr>
        <w:t xml:space="preserve">&lt;persName </w:t>
      </w:r>
      <w:r>
        <w:rPr>
          <w:rStyle w:val="Codeattribute"/>
        </w:rPr>
        <w:t>type</w:t>
      </w:r>
      <w:r>
        <w:rPr>
          <w:rStyle w:val="Code"/>
        </w:rPr>
        <w:t>=</w:t>
      </w:r>
      <w:r>
        <w:rPr>
          <w:rStyle w:val="Codevalue"/>
        </w:rPr>
        <w:t>"human"</w:t>
      </w:r>
      <w:r>
        <w:t xml:space="preserve"> </w:t>
      </w:r>
      <w:r>
        <w:rPr>
          <w:rStyle w:val="Codeattribute"/>
        </w:rPr>
        <w:t>ref</w:t>
      </w:r>
      <w:r>
        <w:rPr>
          <w:rStyle w:val="Code"/>
        </w:rPr>
        <w:t>=</w:t>
      </w:r>
      <w:r>
        <w:rPr>
          <w:rStyle w:val="Codevalue"/>
        </w:rPr>
        <w:t>"#Rajaraja1"</w:t>
      </w:r>
      <w:r>
        <w:rPr>
          <w:rStyle w:val="Code"/>
        </w:rPr>
        <w:t>&gt;</w:t>
      </w:r>
      <w:r>
        <w:rPr>
          <w:rStyle w:val="Codetext"/>
        </w:rPr>
        <w:t>Arumoḻivarmaṉ</w:t>
      </w:r>
      <w:r>
        <w:rPr>
          <w:rStyle w:val="Code"/>
        </w:rPr>
        <w:t>&lt;/persName&gt;</w:t>
      </w:r>
    </w:p>
    <w:p w14:paraId="53DF446B" w14:textId="77777777">
      <w:pPr>
        <w:pStyle w:val="Lista"/>
      </w:pPr>
      <w:r>
        <w:rPr>
          <w:rStyle w:val="Code"/>
        </w:rPr>
        <w:t>&lt;placeName&gt;</w:t>
      </w:r>
      <w:r>
        <w:t xml:space="preserve"> – for proper nouns and other terms referring to a place </w:t>
      </w:r>
      <w:r>
        <w:rPr>
          <w:rStyle w:val="Code"/>
        </w:rPr>
        <w:t xml:space="preserve">&lt;placeName </w:t>
      </w:r>
      <w:r>
        <w:rPr>
          <w:rStyle w:val="Codeattribute"/>
        </w:rPr>
        <w:t>type</w:t>
      </w:r>
      <w:r>
        <w:rPr>
          <w:rStyle w:val="Code"/>
        </w:rPr>
        <w:t>=</w:t>
      </w:r>
      <w:r>
        <w:rPr>
          <w:rStyle w:val="Codevalue"/>
        </w:rPr>
        <w:t>"territorialDivision"</w:t>
      </w:r>
      <w:r>
        <w:rPr>
          <w:rStyle w:val="Code"/>
        </w:rPr>
        <w:t xml:space="preserve"> </w:t>
      </w:r>
      <w:r>
        <w:rPr>
          <w:rStyle w:val="Codeattribute"/>
        </w:rPr>
        <w:t>subtype</w:t>
      </w:r>
      <w:r>
        <w:rPr>
          <w:rStyle w:val="Code"/>
        </w:rPr>
        <w:t>=</w:t>
      </w:r>
      <w:r>
        <w:rPr>
          <w:rStyle w:val="Codevalue"/>
        </w:rPr>
        <w:t>"village"</w:t>
      </w:r>
      <w:r>
        <w:rPr>
          <w:rStyle w:val="Code"/>
        </w:rPr>
        <w:t>&gt;c</w:t>
      </w:r>
      <w:r>
        <w:rPr>
          <w:rStyle w:val="Codetext"/>
        </w:rPr>
        <w:t>ārukūr</w:t>
      </w:r>
      <w:r>
        <w:rPr>
          <w:rStyle w:val="Code"/>
        </w:rPr>
        <w:t>&lt;/placeName&gt;</w:t>
      </w:r>
    </w:p>
    <w:p w14:paraId="37508E52" w14:textId="77777777">
      <w:pPr>
        <w:pStyle w:val="Lista"/>
      </w:pPr>
      <w:r>
        <w:rPr>
          <w:rStyle w:val="Code"/>
        </w:rPr>
        <w:t>&lt;roleName&gt;</w:t>
      </w:r>
      <w:r>
        <w:t xml:space="preserve"> – for a name component which indicates that the referent has a particular role or position in society, e.g. </w:t>
      </w:r>
      <w:r>
        <w:rPr>
          <w:rStyle w:val="Code"/>
        </w:rPr>
        <w:t xml:space="preserve">&lt;roleName </w:t>
      </w:r>
      <w:r>
        <w:rPr>
          <w:rStyle w:val="Codeattribute"/>
        </w:rPr>
        <w:t>type</w:t>
      </w:r>
      <w:r>
        <w:rPr>
          <w:rStyle w:val="Code"/>
        </w:rPr>
        <w:t>=</w:t>
      </w:r>
      <w:r>
        <w:rPr>
          <w:rStyle w:val="Codevalue"/>
        </w:rPr>
        <w:t>"king"</w:t>
      </w:r>
      <w:r>
        <w:rPr>
          <w:rStyle w:val="Code"/>
        </w:rPr>
        <w:t>&gt;</w:t>
      </w:r>
      <w:r>
        <w:rPr>
          <w:rStyle w:val="Codetext"/>
        </w:rPr>
        <w:t>mahārājādhirāja</w:t>
      </w:r>
      <w:r>
        <w:rPr>
          <w:rStyle w:val="Code"/>
        </w:rPr>
        <w:t>&lt;/roleName&gt;</w:t>
      </w:r>
    </w:p>
    <w:p w14:paraId="2870A446" w14:textId="77777777">
      <w:pPr>
        <w:pStyle w:val="Lista"/>
      </w:pPr>
      <w:r>
        <w:rPr>
          <w:rStyle w:val="Code"/>
        </w:rPr>
        <w:t>&lt;date&gt;</w:t>
      </w:r>
      <w:r>
        <w:t xml:space="preserve"> – for dates in any form, e.g. </w:t>
      </w:r>
      <w:r>
        <w:rPr>
          <w:rStyle w:val="Code"/>
        </w:rPr>
        <w:t xml:space="preserve">&lt;date </w:t>
      </w:r>
      <w:r>
        <w:rPr>
          <w:rStyle w:val="Codeattribute"/>
        </w:rPr>
        <w:t>calendar</w:t>
      </w:r>
      <w:r>
        <w:rPr>
          <w:rStyle w:val="Code"/>
        </w:rPr>
        <w:t>=</w:t>
      </w:r>
      <w:r>
        <w:rPr>
          <w:rStyle w:val="Codevalue"/>
        </w:rPr>
        <w:t>"saka"</w:t>
      </w:r>
      <w:r>
        <w:rPr>
          <w:rStyle w:val="Codeattribute"/>
        </w:rPr>
        <w:t xml:space="preserve"> notBefore</w:t>
      </w:r>
      <w:r>
        <w:rPr>
          <w:rStyle w:val="Code"/>
        </w:rPr>
        <w:t>=</w:t>
      </w:r>
      <w:r>
        <w:rPr>
          <w:rStyle w:val="Codevalue"/>
        </w:rPr>
        <w:t>"0921"</w:t>
      </w:r>
      <w:r>
        <w:rPr>
          <w:rStyle w:val="Codeattribute"/>
        </w:rPr>
        <w:t xml:space="preserve"> notAfter</w:t>
      </w:r>
      <w:r>
        <w:rPr>
          <w:rStyle w:val="Code"/>
        </w:rPr>
        <w:t>=</w:t>
      </w:r>
      <w:r>
        <w:rPr>
          <w:rStyle w:val="Codevalue"/>
        </w:rPr>
        <w:t>"0923"</w:t>
      </w:r>
      <w:r>
        <w:rPr>
          <w:rStyle w:val="Code"/>
        </w:rPr>
        <w:t>&gt;</w:t>
      </w:r>
      <w:r>
        <w:rPr>
          <w:rStyle w:val="Codetext"/>
        </w:rPr>
        <w:t>śaka-vatsareṣu vedāṁburāśi-nidhi-varttiṣu</w:t>
      </w:r>
      <w:r>
        <w:rPr>
          <w:rStyle w:val="Code"/>
        </w:rPr>
        <w:t>&lt;/date&gt;</w:t>
      </w:r>
    </w:p>
    <w:p w14:paraId="045AEC06" w14:textId="77777777">
      <w:pPr>
        <w:pStyle w:val="Lista"/>
      </w:pPr>
      <w:r>
        <w:rPr>
          <w:rStyle w:val="Code"/>
        </w:rPr>
        <w:t>&lt;measure&gt;</w:t>
      </w:r>
      <w:r>
        <w:t xml:space="preserve"> – for quantities of an object or commodity, e.g. </w:t>
      </w:r>
      <w:r>
        <w:rPr>
          <w:rStyle w:val="Code"/>
        </w:rPr>
        <w:t xml:space="preserve">&lt;measure </w:t>
      </w:r>
      <w:r>
        <w:rPr>
          <w:rStyle w:val="Codeattribute"/>
        </w:rPr>
        <w:t>unit</w:t>
      </w:r>
      <w:r>
        <w:rPr>
          <w:rStyle w:val="Code"/>
        </w:rPr>
        <w:t>=</w:t>
      </w:r>
      <w:r>
        <w:rPr>
          <w:rStyle w:val="Codevalue"/>
        </w:rPr>
        <w:t>"kaḻañcu"</w:t>
      </w:r>
      <w:r>
        <w:rPr>
          <w:rStyle w:val="Code"/>
        </w:rPr>
        <w:t xml:space="preserve"> </w:t>
      </w:r>
      <w:r>
        <w:rPr>
          <w:rStyle w:val="Codeattribute"/>
        </w:rPr>
        <w:t>quantity</w:t>
      </w:r>
      <w:r>
        <w:rPr>
          <w:rStyle w:val="Code"/>
        </w:rPr>
        <w:t>=</w:t>
      </w:r>
      <w:r>
        <w:rPr>
          <w:rStyle w:val="Codevalue"/>
        </w:rPr>
        <w:t>"100"</w:t>
      </w:r>
      <w:r>
        <w:rPr>
          <w:rStyle w:val="Code"/>
        </w:rPr>
        <w:t xml:space="preserve"> </w:t>
      </w:r>
      <w:r>
        <w:rPr>
          <w:rStyle w:val="Codeattribute"/>
        </w:rPr>
        <w:t>commodity</w:t>
      </w:r>
      <w:r>
        <w:rPr>
          <w:rStyle w:val="Code"/>
        </w:rPr>
        <w:t>=</w:t>
      </w:r>
      <w:r>
        <w:rPr>
          <w:rStyle w:val="Codevalue"/>
        </w:rPr>
        <w:t>"gold"</w:t>
      </w:r>
      <w:r>
        <w:rPr>
          <w:rStyle w:val="Code"/>
        </w:rPr>
        <w:t>&gt;</w:t>
      </w:r>
      <w:r>
        <w:rPr>
          <w:rStyle w:val="Codetext"/>
        </w:rPr>
        <w:t>nūṟṟu-k kaḻañcu poṉṉum</w:t>
      </w:r>
      <w:r>
        <w:rPr>
          <w:rStyle w:val="Code"/>
        </w:rPr>
        <w:t>&lt;/measure&gt;</w:t>
      </w:r>
    </w:p>
    <w:p w14:paraId="2F1D4672" w14:textId="77777777">
      <w:pPr>
        <w:pStyle w:val="Lista"/>
      </w:pPr>
      <w:r>
        <w:rPr>
          <w:rStyle w:val="Code"/>
        </w:rPr>
        <w:t>&lt;rs&gt;</w:t>
      </w:r>
      <w:r>
        <w:t xml:space="preserve"> – for general-purpose “referring strings” not covered by the specific elements above</w:t>
      </w:r>
    </w:p>
    <w:p w14:paraId="112459F6" w14:textId="77777777">
      <w:pPr>
        <w:pStyle w:val="Lista"/>
      </w:pPr>
      <w:r>
        <w:rPr>
          <w:rStyle w:val="Code"/>
        </w:rPr>
        <w:t>&lt;anchor/&gt;</w:t>
      </w:r>
      <w:r>
        <w:t xml:space="preserve"> – for marking arbitrary points in the document, which may be used as boundary markers for segments of analytic interest without generating overlapping XML hierarchies</w:t>
      </w:r>
    </w:p>
    <w:p w14:paraId="3A9BDDFA" w14:textId="77777777">
      <w:pPr>
        <w:pStyle w:val="Cmsor1"/>
      </w:pPr>
      <w:bookmarkStart w:id="1045" w:name="_ulwrsat15v9f" w:colFirst="0" w:colLast="0"/>
      <w:bookmarkStart w:id="1046" w:name="_k9hfjcx1f0k3" w:colFirst="0" w:colLast="0"/>
      <w:bookmarkStart w:id="1047" w:name="_Ref43978719"/>
      <w:bookmarkStart w:id="1048" w:name="_Toc243922812"/>
      <w:bookmarkEnd w:id="1045"/>
      <w:bookmarkEnd w:id="1046"/>
      <w:r>
        <w:lastRenderedPageBreak/>
        <w:t>The TEI Header</w:t>
      </w:r>
      <w:bookmarkEnd w:id="1047"/>
      <w:bookmarkEnd w:id="1048"/>
    </w:p>
    <w:p w14:paraId="089F8EB9" w14:textId="13D6BF80">
      <w:r>
        <w:t>The TEI header (introduced in §</w:t>
      </w:r>
      <w:r>
        <w:fldChar w:fldCharType="begin"/>
      </w:r>
      <w:r>
        <w:instrText xml:space="preserve"> REF _Ref233892229 \r \h </w:instrText>
      </w:r>
      <w:r>
        <w:fldChar w:fldCharType="separate"/>
      </w:r>
      <w:r>
        <w:t>2.3.2</w:t>
      </w:r>
      <w:r>
        <w:fldChar w:fldCharType="end"/>
      </w:r>
      <w:r>
        <w:t>) presents marked-up metadata about the XML document and about the inscription and artefact</w:t>
      </w:r>
      <w:r>
        <w:rPr>
          <w:noProof/>
        </w:rPr>
        <w:t>(</w:t>
      </w:r>
      <w:r>
        <w:t>s) it concerns. The header may be composed of several high-level elements, the most prominent of which is the File Description. The following subsections outline the header elements and their contents that you will need to engage with. These guidelines are intended to help you understand the functions and structure of the TEI header, but you need not be able to create such a header from scratch. Instead, rely on our encoding template and add data to the header only where comments in the template instruct you to do so.</w:t>
      </w:r>
    </w:p>
    <w:p w14:paraId="6C330CF2" w14:textId="77777777">
      <w:pPr>
        <w:pStyle w:val="Cmsor2"/>
      </w:pPr>
      <w:bookmarkStart w:id="1049" w:name="_23j65vxuxzj5" w:colFirst="0" w:colLast="0"/>
      <w:bookmarkStart w:id="1050" w:name="_Toc243922813"/>
      <w:bookmarkEnd w:id="1049"/>
      <w:r>
        <w:t>Describing the XML document</w:t>
      </w:r>
      <w:bookmarkEnd w:id="1050"/>
    </w:p>
    <w:p w14:paraId="7D849386" w14:textId="4973EAF4">
      <w:r>
        <w:t xml:space="preserve">The mandatory File Description is enclosed in the element </w:t>
      </w:r>
      <w:r>
        <w:rPr>
          <w:rStyle w:val="Code"/>
        </w:rPr>
        <w:t>&lt;fileDesc&gt;</w:t>
      </w:r>
      <w:r>
        <w:t xml:space="preserve">. The first part of this section describes the current digital edition, with the following mandatory contents in DHARMA editions, illustrated in </w:t>
      </w:r>
      <w:r>
        <w:fldChar w:fldCharType="begin"/>
      </w:r>
      <w:r>
        <w:instrText xml:space="preserve"> REF _Ref239753712 \h </w:instrText>
      </w:r>
      <w:r>
        <w:fldChar w:fldCharType="separate"/>
      </w:r>
      <w:r>
        <w:t xml:space="preserve">Exhibit </w:t>
      </w:r>
      <w:r>
        <w:rPr>
          <w:noProof/>
        </w:rPr>
        <w:t>15.1</w:t>
      </w:r>
      <w:r>
        <w:t>.</w:t>
      </w:r>
      <w:r>
        <w:rPr>
          <w:noProof/>
        </w:rPr>
        <w:t>A</w:t>
      </w:r>
      <w:r>
        <w:fldChar w:fldCharType="end"/>
      </w:r>
    </w:p>
    <w:p w14:paraId="621C865F" w14:textId="77777777">
      <w:pPr>
        <w:pStyle w:val="Lista"/>
      </w:pPr>
      <w:r>
        <w:t xml:space="preserve">a Title Statement, wrapped in the element </w:t>
      </w:r>
      <w:r>
        <w:rPr>
          <w:rStyle w:val="Code"/>
        </w:rPr>
        <w:t>&lt;titleStmt&gt;</w:t>
      </w:r>
      <w:r>
        <w:t>, with the following items</w:t>
      </w:r>
    </w:p>
    <w:p w14:paraId="7B5BCCBD" w14:textId="27AD5B31">
      <w:pPr>
        <w:pStyle w:val="Lista2"/>
      </w:pPr>
      <w:r>
        <w:t>information about the title of the digital document (§</w:t>
      </w:r>
      <w:r>
        <w:fldChar w:fldCharType="begin"/>
      </w:r>
      <w:r>
        <w:instrText xml:space="preserve"> REF _Ref233892549 \r \h </w:instrText>
      </w:r>
      <w:r>
        <w:fldChar w:fldCharType="separate"/>
      </w:r>
      <w:r>
        <w:t>15.1.1</w:t>
      </w:r>
      <w:r>
        <w:fldChar w:fldCharType="end"/>
      </w:r>
      <w:r>
        <w:t>)</w:t>
      </w:r>
    </w:p>
    <w:p w14:paraId="0BCA73E3" w14:textId="792F23B2">
      <w:pPr>
        <w:pStyle w:val="Lista2"/>
      </w:pPr>
      <w:r>
        <w:t>information about the persons responsible for its content (§</w:t>
      </w:r>
      <w:r>
        <w:fldChar w:fldCharType="begin"/>
      </w:r>
      <w:r>
        <w:instrText xml:space="preserve"> REF _Ref43990001 \r \h </w:instrText>
      </w:r>
      <w:r>
        <w:fldChar w:fldCharType="separate"/>
      </w:r>
      <w:r>
        <w:t>15.1.2</w:t>
      </w:r>
      <w:r>
        <w:fldChar w:fldCharType="end"/>
      </w:r>
      <w:r>
        <w:t>)</w:t>
      </w:r>
    </w:p>
    <w:p w14:paraId="70CC7D70" w14:textId="6A3E614F">
      <w:pPr>
        <w:pStyle w:val="Lista"/>
      </w:pPr>
      <w:r>
        <w:t xml:space="preserve">a Publication Statement, tagged as </w:t>
      </w:r>
      <w:r>
        <w:rPr>
          <w:rStyle w:val="Code"/>
        </w:rPr>
        <w:t>&lt;publicationStmt&gt;</w:t>
      </w:r>
      <w:r>
        <w:t xml:space="preserve"> and serving to group together information concerning the publication of the digital document (§</w:t>
      </w:r>
      <w:r>
        <w:fldChar w:fldCharType="begin"/>
      </w:r>
      <w:r>
        <w:instrText xml:space="preserve"> REF _Ref233892566 \r \h </w:instrText>
      </w:r>
      <w:r>
        <w:fldChar w:fldCharType="separate"/>
      </w:r>
      <w:r>
        <w:t>15.1.3</w:t>
      </w:r>
      <w:r>
        <w:fldChar w:fldCharType="end"/>
      </w:r>
      <w:r>
        <w:t>)</w:t>
      </w:r>
    </w:p>
    <w:tbl>
      <w:tblPr>
        <w:tblStyle w:val="CodeSampleTable"/>
        <w:tblW w:w="5000" w:type="pct"/>
        <w:tblLook w:val="04A0" w:firstRow="1" w:lastRow="0" w:firstColumn="1" w:lastColumn="0" w:noHBand="0" w:noVBand="1"/>
      </w:tblPr>
      <w:tblGrid>
        <w:gridCol w:w="9628"/>
      </w:tblGrid>
      <w:tr w14:paraId="2D6ADF6F"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FF537CE" w14:textId="182C021F">
            <w:pPr>
              <w:pStyle w:val="Kpalrs"/>
            </w:pPr>
            <w:bookmarkStart w:id="1051" w:name="_Ref239753712"/>
            <w:bookmarkStart w:id="1052" w:name="_Ref239753701"/>
            <w:r>
              <w:t xml:space="preserve">Exhibit </w:t>
            </w:r>
            <w:fldSimple w:instr=" STYLEREF 2 \s ">
              <w:r>
                <w:rPr>
                  <w:noProof/>
                </w:rPr>
                <w:t>15.1</w:t>
              </w:r>
            </w:fldSimple>
            <w:r>
              <w:t>.</w:t>
            </w:r>
            <w:fldSimple w:instr=" SEQ Exhibit \* ALPHABETIC \s 2 ">
              <w:r>
                <w:rPr>
                  <w:noProof/>
                </w:rPr>
                <w:t>A</w:t>
              </w:r>
            </w:fldSimple>
            <w:bookmarkEnd w:id="1051"/>
            <w:r>
              <w:t>: the title statement and the publication statement</w:t>
            </w:r>
            <w:bookmarkEnd w:id="1052"/>
          </w:p>
        </w:tc>
      </w:tr>
      <w:tr w14:paraId="44F9C8B9" w14:textId="77777777">
        <w:tc>
          <w:tcPr>
            <w:tcW w:w="5000" w:type="pct"/>
          </w:tcPr>
          <w:p w14:paraId="780A7A11" w14:textId="77777777">
            <w:pPr>
              <w:pStyle w:val="CodeParagraph"/>
              <w:rPr>
                <w:rStyle w:val="Code"/>
              </w:rPr>
            </w:pPr>
            <w:r>
              <w:rPr>
                <w:rStyle w:val="Code"/>
              </w:rPr>
              <w:t>@add latest template code</w:t>
            </w:r>
          </w:p>
        </w:tc>
      </w:tr>
    </w:tbl>
    <w:p w14:paraId="4918F960" w14:textId="77777777">
      <w:pPr>
        <w:pStyle w:val="Cmsor3"/>
      </w:pPr>
      <w:bookmarkStart w:id="1053" w:name="_2jfs86ft37ax" w:colFirst="0" w:colLast="0"/>
      <w:bookmarkStart w:id="1054" w:name="_Ref233892549"/>
      <w:bookmarkStart w:id="1055" w:name="_Toc243922814"/>
      <w:bookmarkEnd w:id="1053"/>
      <w:r>
        <w:t>The title</w:t>
      </w:r>
      <w:bookmarkEnd w:id="1054"/>
      <w:bookmarkEnd w:id="1055"/>
    </w:p>
    <w:p w14:paraId="5E23A4AD" w14:textId="77777777">
      <w:r>
        <w:t xml:space="preserve">The mandatory </w:t>
      </w:r>
      <w:r>
        <w:rPr>
          <w:rStyle w:val="Code"/>
        </w:rPr>
        <w:t>&lt;title&gt;</w:t>
      </w:r>
      <w:r>
        <w:t xml:space="preserve"> element shall contain the primary title assigned to the text in the DHARMA corpus.</w:t>
      </w:r>
    </w:p>
    <w:p w14:paraId="187161A8" w14:textId="77777777">
      <w:pPr>
        <w:pStyle w:val="Lista"/>
      </w:pPr>
      <w:r>
        <w:t>the primary title shall be plain text in English including any applicable diacritical characters but without any additional markup</w:t>
      </w:r>
    </w:p>
    <w:p w14:paraId="50BC3795" w14:textId="77777777">
      <w:pPr>
        <w:pStyle w:val="Lista"/>
      </w:pPr>
      <w:r>
        <w:t>use a title that clearly and unambiguously identifies the inscription</w:t>
      </w:r>
    </w:p>
    <w:p w14:paraId="5FAD28E4" w14:textId="78E9C999">
      <w:pPr>
        <w:pStyle w:val="Lista2"/>
      </w:pPr>
      <w:r>
        <w:fldChar w:fldCharType="begin"/>
      </w:r>
      <w:r>
        <w:instrText xml:space="preserve"> REF _Ref43990834 \r \h  \* MERGEFORMAT </w:instrText>
      </w:r>
      <w:r>
        <w:fldChar w:fldCharType="separate"/>
      </w:r>
      <w:r>
        <w:t>Appendix B</w:t>
      </w:r>
      <w:r>
        <w:fldChar w:fldCharType="end"/>
      </w:r>
      <w:r>
        <w:t xml:space="preserve"> gives additional guidance for assigning titles to epigraphic texts</w:t>
      </w:r>
    </w:p>
    <w:p w14:paraId="1106A3E6" w14:textId="77777777">
      <w:pPr>
        <w:pStyle w:val="Cmsor4"/>
      </w:pPr>
      <w:bookmarkStart w:id="1056" w:name="_Ref233986980"/>
      <w:r>
        <w:t>Alternative titles</w:t>
      </w:r>
      <w:bookmarkEnd w:id="1056"/>
    </w:p>
    <w:p w14:paraId="46CA65B4" w14:textId="77777777">
      <w:r>
        <w:t>If an inscription is known by more than one designation, for example because you have given it a different title than that under which it has been published before, or because it has been published under several different titles, then alternative titles can and by recommendation should be encoded in the TEI header. Doing so allows end users to find your edition when they search for it by an alternative title.</w:t>
      </w:r>
    </w:p>
    <w:p w14:paraId="5DAC783D" w14:textId="77777777">
      <w:pPr>
        <w:pStyle w:val="Lista"/>
      </w:pPr>
      <w:r>
        <w:t xml:space="preserve">to encode alternative titles, add one or more instances of </w:t>
      </w:r>
      <w:r>
        <w:rPr>
          <w:rStyle w:val="Code"/>
        </w:rPr>
        <w:t xml:space="preserve">&lt;title </w:t>
      </w:r>
      <w:r>
        <w:rPr>
          <w:rStyle w:val="Codeattribute"/>
        </w:rPr>
        <w:t>type=</w:t>
      </w:r>
      <w:r>
        <w:rPr>
          <w:rStyle w:val="Codevalue"/>
        </w:rPr>
        <w:t>"alt"</w:t>
      </w:r>
      <w:r>
        <w:rPr>
          <w:rStyle w:val="Code"/>
        </w:rPr>
        <w:t>&gt;</w:t>
      </w:r>
      <w:r>
        <w:t xml:space="preserve"> after the primary </w:t>
      </w:r>
      <w:r>
        <w:rPr>
          <w:rStyle w:val="Code"/>
        </w:rPr>
        <w:t>&lt;title&gt;</w:t>
      </w:r>
    </w:p>
    <w:p w14:paraId="3C8DB1CC" w14:textId="77777777">
      <w:pPr>
        <w:pStyle w:val="Cmsor3"/>
      </w:pPr>
      <w:bookmarkStart w:id="1057" w:name="_r3zbaj6a07eq" w:colFirst="0" w:colLast="0"/>
      <w:bookmarkStart w:id="1058" w:name="_Ref43990001"/>
      <w:bookmarkStart w:id="1059" w:name="_Ref240273632"/>
      <w:bookmarkStart w:id="1060" w:name="_Toc243922815"/>
      <w:bookmarkEnd w:id="1057"/>
      <w:r>
        <w:t>The responsibility statement</w:t>
      </w:r>
      <w:bookmarkEnd w:id="1058"/>
      <w:r>
        <w:t>(s)</w:t>
      </w:r>
      <w:bookmarkEnd w:id="1059"/>
      <w:bookmarkEnd w:id="1060"/>
    </w:p>
    <w:p w14:paraId="22EABFB2" w14:textId="4B17E940">
      <w:r>
        <w:t xml:space="preserve">After the title but still within </w:t>
      </w:r>
      <w:r>
        <w:rPr>
          <w:rStyle w:val="Code"/>
        </w:rPr>
        <w:t>&lt;titleStmt&gt;</w:t>
      </w:r>
      <w:r>
        <w:t xml:space="preserve">, the wrapper </w:t>
      </w:r>
      <w:r>
        <w:rPr>
          <w:rStyle w:val="Code"/>
        </w:rPr>
        <w:t>&lt;respStmt&gt;</w:t>
      </w:r>
      <w:r>
        <w:t xml:space="preserve"> is used for crediting those who have contributed to the current digital edition. This excludes the authors of any previously published editions, even when you are encoding printed editions or ingesting digital editions without substantive revision. The rationale of this approach is that the responsibilities in the TEI header concern primarily the authorship of this particular XML file and not intellectual credit for previous work that allowed this file to come into being. Credit to previously published editions will be given in the epigraphic lemma (§</w:t>
      </w:r>
      <w:r>
        <w:fldChar w:fldCharType="begin"/>
      </w:r>
      <w:r>
        <w:instrText xml:space="preserve"> REF _Ref233623221 \r \h </w:instrText>
      </w:r>
      <w:r>
        <w:fldChar w:fldCharType="separate"/>
      </w:r>
      <w:r>
        <w:t>13.2</w:t>
      </w:r>
      <w:r>
        <w:fldChar w:fldCharType="end"/>
      </w:r>
      <w:r>
        <w:t>) and nowhere else. In complex cases with several authors and/or contributors, the nature and degree of their contributions must also be clarified in the epigraphic lemma.</w:t>
      </w:r>
    </w:p>
    <w:p w14:paraId="22C8C850" w14:textId="14E887DE">
      <w:pPr>
        <w:pStyle w:val="Normlbehzs"/>
      </w:pPr>
      <w:r>
        <w:t xml:space="preserve">As per TEI conventions, a separate responsibility statement must be created for each sphere of responsibility, with the possibility of more than one person or entity being named in each such statement. In order </w:t>
      </w:r>
      <w:r>
        <w:lastRenderedPageBreak/>
        <w:t>to keep things manageable, DHARMA editions only use a mandatory responsibility statement for the creation of the digital edition (§</w:t>
      </w:r>
      <w:r>
        <w:fldChar w:fldCharType="begin"/>
      </w:r>
      <w:r>
        <w:instrText xml:space="preserve"> REF _Ref239687105 \r \h </w:instrText>
      </w:r>
      <w:r>
        <w:fldChar w:fldCharType="separate"/>
      </w:r>
      <w:r>
        <w:t>15.1.2.1</w:t>
      </w:r>
      <w:r>
        <w:fldChar w:fldCharType="end"/>
      </w:r>
      <w:r>
        <w:t>), an optional responsibility statement for contributions (§</w:t>
      </w:r>
      <w:r>
        <w:fldChar w:fldCharType="begin"/>
      </w:r>
      <w:r>
        <w:instrText xml:space="preserve"> REF _Ref239687124 \r \h </w:instrText>
      </w:r>
      <w:r>
        <w:fldChar w:fldCharType="separate"/>
      </w:r>
      <w:r>
        <w:t>15.1.2.2</w:t>
      </w:r>
      <w:r>
        <w:fldChar w:fldCharType="end"/>
      </w:r>
      <w:r>
        <w:t>), and a specialised statement crediting the funder (§</w:t>
      </w:r>
      <w:r>
        <w:fldChar w:fldCharType="begin"/>
      </w:r>
      <w:r>
        <w:instrText xml:space="preserve"> REF _Ref240270689 \r \h </w:instrText>
      </w:r>
      <w:r>
        <w:fldChar w:fldCharType="separate"/>
      </w:r>
      <w:r>
        <w:t>15.1.2.3</w:t>
      </w:r>
      <w:r>
        <w:fldChar w:fldCharType="end"/>
      </w:r>
      <w:r>
        <w:t>).</w:t>
      </w:r>
    </w:p>
    <w:p w14:paraId="0BB964D4" w14:textId="77777777">
      <w:pPr>
        <w:pStyle w:val="Cmsor4"/>
      </w:pPr>
      <w:bookmarkStart w:id="1061" w:name="_Ref239687105"/>
      <w:r>
        <w:t>Creators</w:t>
      </w:r>
      <w:bookmarkEnd w:id="1061"/>
    </w:p>
    <w:p w14:paraId="625DE298" w14:textId="77777777">
      <w:pPr>
        <w:rPr>
          <w:lang w:eastAsia="en-US" w:bidi="ar-SA"/>
        </w:rPr>
      </w:pPr>
      <w:r>
        <w:rPr>
          <w:lang w:eastAsia="en-US" w:bidi="ar-SA"/>
        </w:rPr>
        <w:t>For our purposes, the creator or creators of a DHARMA digital edition are the person or people who has created or have collaboratively created the XML document, in particular its edition division, without regard to the magnitude of scholarly effort this has involved.</w:t>
      </w:r>
    </w:p>
    <w:p w14:paraId="46CAC94B" w14:textId="77777777">
      <w:pPr>
        <w:pStyle w:val="Lista"/>
        <w:rPr>
          <w:lang w:eastAsia="en-US" w:bidi="ar-SA"/>
        </w:rPr>
      </w:pPr>
      <w:r>
        <w:rPr>
          <w:lang w:eastAsia="en-US" w:bidi="ar-SA"/>
        </w:rPr>
        <w:t>all of the following actions qualify as creation:</w:t>
      </w:r>
    </w:p>
    <w:p w14:paraId="6C99278C" w14:textId="77777777">
      <w:pPr>
        <w:pStyle w:val="Lista2"/>
        <w:rPr>
          <w:lang w:eastAsia="en-US" w:bidi="ar-SA"/>
        </w:rPr>
      </w:pPr>
      <w:r>
        <w:rPr>
          <w:lang w:eastAsia="en-US" w:bidi="ar-SA"/>
        </w:rPr>
        <w:t>producing a born-digital edition of a previously unpublished inscription</w:t>
      </w:r>
    </w:p>
    <w:p w14:paraId="4A8F15E0" w14:textId="77777777">
      <w:pPr>
        <w:pStyle w:val="Lista2"/>
        <w:rPr>
          <w:lang w:eastAsia="en-US" w:bidi="ar-SA"/>
        </w:rPr>
      </w:pPr>
      <w:r>
        <w:rPr>
          <w:lang w:eastAsia="en-US" w:bidi="ar-SA"/>
        </w:rPr>
        <w:t>producing an unencoded or partially encoded draft edition as a first step toward the creation of a born-digital edition (rather than as a publication on its own)</w:t>
      </w:r>
    </w:p>
    <w:p w14:paraId="6E47217E" w14:textId="77777777">
      <w:pPr>
        <w:pStyle w:val="Lista2"/>
        <w:rPr>
          <w:lang w:eastAsia="en-US" w:bidi="ar-SA"/>
        </w:rPr>
      </w:pPr>
      <w:r>
        <w:t>applying or finalising encoding in an unpublished draft edition prepared by another team member</w:t>
      </w:r>
    </w:p>
    <w:p w14:paraId="39DCC6ED" w14:textId="77777777">
      <w:pPr>
        <w:pStyle w:val="Lista2"/>
        <w:rPr>
          <w:lang w:eastAsia="en-US" w:bidi="ar-SA"/>
        </w:rPr>
      </w:pPr>
      <w:r>
        <w:rPr>
          <w:lang w:eastAsia="en-US" w:bidi="ar-SA"/>
        </w:rPr>
        <w:t>creating a digital edition on the basis of one or more previous publications, with or without consulting visual documentation directly</w:t>
      </w:r>
    </w:p>
    <w:p w14:paraId="65C83827" w14:textId="77777777">
      <w:pPr>
        <w:pStyle w:val="Lista2"/>
        <w:rPr>
          <w:lang w:eastAsia="en-US" w:bidi="ar-SA"/>
        </w:rPr>
      </w:pPr>
      <w:r>
        <w:rPr>
          <w:lang w:eastAsia="en-US" w:bidi="ar-SA"/>
        </w:rPr>
        <w:t>revising the encoding of a previous digital edition created outside DHARMA to match the DHARMA encoding conventions</w:t>
      </w:r>
    </w:p>
    <w:p w14:paraId="4D1F2A00" w14:textId="77777777">
      <w:pPr>
        <w:pStyle w:val="Lista"/>
        <w:rPr>
          <w:lang w:eastAsia="en-US" w:bidi="ar-SA"/>
        </w:rPr>
      </w:pPr>
      <w:r>
        <w:rPr>
          <w:lang w:eastAsia="en-US" w:bidi="ar-SA"/>
        </w:rPr>
        <w:t xml:space="preserve">the creator’s role is encoded with the element </w:t>
      </w:r>
      <w:r>
        <w:rPr>
          <w:rStyle w:val="Code"/>
        </w:rPr>
        <w:t xml:space="preserve">&lt;resp </w:t>
      </w:r>
      <w:r>
        <w:rPr>
          <w:rStyle w:val="Codeattribute"/>
        </w:rPr>
        <w:t>key=</w:t>
      </w:r>
      <w:r>
        <w:rPr>
          <w:rStyle w:val="Codevalue"/>
        </w:rPr>
        <w:t>"creator"</w:t>
      </w:r>
      <w:r>
        <w:rPr>
          <w:rStyle w:val="Code"/>
        </w:rPr>
        <w:t>/&gt;</w:t>
      </w:r>
      <w:r>
        <w:t xml:space="preserve">, which must be </w:t>
      </w:r>
      <w:r>
        <w:rPr>
          <w:lang w:eastAsia="en-US" w:bidi="ar-SA"/>
        </w:rPr>
        <w:t xml:space="preserve">the first child of the first </w:t>
      </w:r>
      <w:r>
        <w:rPr>
          <w:rStyle w:val="Code"/>
        </w:rPr>
        <w:t>&lt;respStmt&gt;</w:t>
      </w:r>
      <w:r>
        <w:t xml:space="preserve"> within the </w:t>
      </w:r>
      <w:r>
        <w:rPr>
          <w:rStyle w:val="Code"/>
        </w:rPr>
        <w:t>&lt;titleStmt&gt;</w:t>
      </w:r>
    </w:p>
    <w:p w14:paraId="3F9B292D" w14:textId="1D83EC48">
      <w:pPr>
        <w:pStyle w:val="Lista"/>
      </w:pPr>
      <w:r>
        <w:t xml:space="preserve">after this, add the name of the creator encoded with the tag </w:t>
      </w:r>
      <w:r>
        <w:rPr>
          <w:rStyle w:val="Code"/>
        </w:rPr>
        <w:t>&lt;persName&gt;</w:t>
      </w:r>
      <w:r>
        <w:t xml:space="preserve"> as per §</w:t>
      </w:r>
      <w:r>
        <w:fldChar w:fldCharType="begin"/>
      </w:r>
      <w:r>
        <w:instrText xml:space="preserve"> REF _Ref233882783 \r \h </w:instrText>
      </w:r>
      <w:r>
        <w:fldChar w:fldCharType="separate"/>
      </w:r>
      <w:r>
        <w:t>14.7.2</w:t>
      </w:r>
      <w:r>
        <w:fldChar w:fldCharType="end"/>
      </w:r>
    </w:p>
    <w:p w14:paraId="3E8781C2" w14:textId="77777777">
      <w:pPr>
        <w:pStyle w:val="Lista"/>
        <w:rPr>
          <w:lang w:eastAsia="en-US" w:bidi="ar-SA"/>
        </w:rPr>
      </w:pPr>
      <w:r>
        <w:rPr>
          <w:lang w:eastAsia="en-US" w:bidi="ar-SA"/>
        </w:rPr>
        <w:t xml:space="preserve">add further </w:t>
      </w:r>
      <w:r>
        <w:rPr>
          <w:rStyle w:val="Code"/>
        </w:rPr>
        <w:t>&lt;persName&gt;</w:t>
      </w:r>
      <w:r>
        <w:t xml:space="preserve"> elements for any additional creators, preferably in a decreasing order of the magnitude of their effort</w:t>
      </w:r>
    </w:p>
    <w:p w14:paraId="6F89C438" w14:textId="16EEB7CD">
      <w:pPr>
        <w:pStyle w:val="Lista"/>
        <w:rPr>
          <w:lang w:eastAsia="en-US" w:bidi="ar-SA"/>
        </w:rPr>
      </w:pPr>
      <w:r>
        <w:t>when multiple creators have acted in different ways or degrees, their roles may (and preferably should) be clarified in the epigraphic lemma (§</w:t>
      </w:r>
      <w:r>
        <w:fldChar w:fldCharType="begin"/>
      </w:r>
      <w:r>
        <w:instrText xml:space="preserve"> REF _Ref233623221 \r \h </w:instrText>
      </w:r>
      <w:r>
        <w:fldChar w:fldCharType="separate"/>
      </w:r>
      <w:r>
        <w:t>13.2</w:t>
      </w:r>
      <w:r>
        <w:fldChar w:fldCharType="end"/>
      </w:r>
      <w:r>
        <w:t>)</w:t>
      </w:r>
    </w:p>
    <w:p w14:paraId="133982E5" w14:textId="77777777">
      <w:pPr>
        <w:pStyle w:val="Cmsor4"/>
      </w:pPr>
      <w:bookmarkStart w:id="1062" w:name="_Ref239687124"/>
      <w:r>
        <w:t>Contributors</w:t>
      </w:r>
      <w:bookmarkEnd w:id="1062"/>
    </w:p>
    <w:p w14:paraId="205F4A0F" w14:textId="77777777">
      <w:pPr>
        <w:rPr>
          <w:lang w:eastAsia="en-US" w:bidi="ar-SA"/>
        </w:rPr>
      </w:pPr>
      <w:r>
        <w:rPr>
          <w:lang w:eastAsia="en-US" w:bidi="ar-SA"/>
        </w:rPr>
        <w:t>Contributors are those who have contributed to a DHARMA digital edition in a capacity other than that of a creator. Contributors may be optionally encoded in the TEI header at the discretion of the creator(s).</w:t>
      </w:r>
    </w:p>
    <w:p w14:paraId="02A8E424" w14:textId="77777777">
      <w:pPr>
        <w:pStyle w:val="Lista"/>
        <w:rPr>
          <w:lang w:eastAsia="en-US" w:bidi="ar-SA"/>
        </w:rPr>
      </w:pPr>
      <w:r>
        <w:rPr>
          <w:lang w:eastAsia="en-US" w:bidi="ar-SA"/>
        </w:rPr>
        <w:t>all of the following actions may qualify as contribution:</w:t>
      </w:r>
    </w:p>
    <w:p w14:paraId="2444DF85" w14:textId="77777777">
      <w:pPr>
        <w:pStyle w:val="Lista2"/>
        <w:rPr>
          <w:lang w:eastAsia="en-US" w:bidi="ar-SA"/>
        </w:rPr>
      </w:pPr>
      <w:r>
        <w:rPr>
          <w:lang w:eastAsia="en-US" w:bidi="ar-SA"/>
        </w:rPr>
        <w:t>adding a full or partial commentary to the edition</w:t>
      </w:r>
    </w:p>
    <w:p w14:paraId="013FABC4" w14:textId="77777777">
      <w:pPr>
        <w:pStyle w:val="Lista2"/>
        <w:rPr>
          <w:lang w:eastAsia="en-US" w:bidi="ar-SA"/>
        </w:rPr>
      </w:pPr>
      <w:r>
        <w:rPr>
          <w:lang w:eastAsia="en-US" w:bidi="ar-SA"/>
        </w:rPr>
        <w:t>providing consultation or advice to the creator(s), for example on difficult readings, interpretations or context</w:t>
      </w:r>
    </w:p>
    <w:p w14:paraId="02AD3C66" w14:textId="77777777">
      <w:pPr>
        <w:pStyle w:val="Lista2"/>
        <w:rPr>
          <w:lang w:eastAsia="en-US" w:bidi="ar-SA"/>
        </w:rPr>
      </w:pPr>
      <w:r>
        <w:rPr>
          <w:lang w:eastAsia="en-US" w:bidi="ar-SA"/>
        </w:rPr>
        <w:t>checking, correcting, revising or improving a DHARMA digital edition created by another team member</w:t>
      </w:r>
    </w:p>
    <w:p w14:paraId="4AF2BF64" w14:textId="77777777">
      <w:pPr>
        <w:pStyle w:val="Lista"/>
        <w:rPr>
          <w:lang w:eastAsia="en-US" w:bidi="ar-SA"/>
        </w:rPr>
      </w:pPr>
      <w:r>
        <w:rPr>
          <w:lang w:eastAsia="en-US" w:bidi="ar-SA"/>
        </w:rPr>
        <w:t xml:space="preserve">to add contributors to the TEI header, create a second </w:t>
      </w:r>
      <w:r>
        <w:rPr>
          <w:rStyle w:val="Code"/>
        </w:rPr>
        <w:t>&lt;respStmt&gt;</w:t>
      </w:r>
      <w:r>
        <w:t xml:space="preserve"> (after the first one encoding the creator) within the </w:t>
      </w:r>
      <w:r>
        <w:rPr>
          <w:rStyle w:val="Code"/>
        </w:rPr>
        <w:t>&lt;titleStmt&gt;</w:t>
      </w:r>
    </w:p>
    <w:p w14:paraId="5DA5365A" w14:textId="77777777">
      <w:pPr>
        <w:pStyle w:val="Lista"/>
        <w:rPr>
          <w:lang w:eastAsia="en-US" w:bidi="ar-SA"/>
        </w:rPr>
      </w:pPr>
      <w:r>
        <w:rPr>
          <w:lang w:eastAsia="en-US" w:bidi="ar-SA"/>
        </w:rPr>
        <w:t xml:space="preserve">the contributor’s role is encoded with the element </w:t>
      </w:r>
      <w:r>
        <w:rPr>
          <w:rStyle w:val="Code"/>
        </w:rPr>
        <w:t xml:space="preserve">&lt;resp </w:t>
      </w:r>
      <w:r>
        <w:rPr>
          <w:rStyle w:val="Codeattribute"/>
        </w:rPr>
        <w:t>key=</w:t>
      </w:r>
      <w:r>
        <w:rPr>
          <w:rStyle w:val="Codevalue"/>
        </w:rPr>
        <w:t>"contributor"</w:t>
      </w:r>
      <w:r>
        <w:rPr>
          <w:rStyle w:val="Code"/>
        </w:rPr>
        <w:t>/&gt;</w:t>
      </w:r>
      <w:r>
        <w:t xml:space="preserve">, which must be </w:t>
      </w:r>
      <w:r>
        <w:rPr>
          <w:lang w:eastAsia="en-US" w:bidi="ar-SA"/>
        </w:rPr>
        <w:t xml:space="preserve">the first child of the second </w:t>
      </w:r>
      <w:r>
        <w:rPr>
          <w:rStyle w:val="Code"/>
        </w:rPr>
        <w:t>&lt;respStmt&gt;</w:t>
      </w:r>
      <w:r>
        <w:t xml:space="preserve"> within the </w:t>
      </w:r>
      <w:r>
        <w:rPr>
          <w:rStyle w:val="Code"/>
        </w:rPr>
        <w:t>&lt;titleStmt&gt;</w:t>
      </w:r>
    </w:p>
    <w:p w14:paraId="2623162E" w14:textId="330B8DD4">
      <w:pPr>
        <w:pStyle w:val="Lista"/>
      </w:pPr>
      <w:r>
        <w:t xml:space="preserve">after this, add the name of the contributor encoded with the tag </w:t>
      </w:r>
      <w:r>
        <w:rPr>
          <w:rStyle w:val="Code"/>
        </w:rPr>
        <w:t>&lt;persName&gt;</w:t>
      </w:r>
      <w:r>
        <w:t xml:space="preserve"> as per §</w:t>
      </w:r>
      <w:r>
        <w:fldChar w:fldCharType="begin"/>
      </w:r>
      <w:r>
        <w:instrText xml:space="preserve"> REF _Ref233882783 \r \h </w:instrText>
      </w:r>
      <w:r>
        <w:fldChar w:fldCharType="separate"/>
      </w:r>
      <w:r>
        <w:t>14.7.2</w:t>
      </w:r>
      <w:r>
        <w:fldChar w:fldCharType="end"/>
      </w:r>
    </w:p>
    <w:p w14:paraId="2B16A360" w14:textId="77777777">
      <w:pPr>
        <w:pStyle w:val="Lista"/>
        <w:rPr>
          <w:lang w:eastAsia="en-US" w:bidi="ar-SA"/>
        </w:rPr>
      </w:pPr>
      <w:r>
        <w:rPr>
          <w:lang w:eastAsia="en-US" w:bidi="ar-SA"/>
        </w:rPr>
        <w:t xml:space="preserve">add further </w:t>
      </w:r>
      <w:r>
        <w:rPr>
          <w:rStyle w:val="Code"/>
        </w:rPr>
        <w:t>&lt;persName&gt;</w:t>
      </w:r>
      <w:r>
        <w:t xml:space="preserve"> elements for any additional contributors, preferably in a decreasing order of the importance of their contribution</w:t>
      </w:r>
    </w:p>
    <w:p w14:paraId="1E866A5A" w14:textId="69383043">
      <w:pPr>
        <w:pStyle w:val="Lista"/>
        <w:rPr>
          <w:lang w:eastAsia="en-US" w:bidi="ar-SA"/>
        </w:rPr>
      </w:pPr>
      <w:r>
        <w:t>when multiple contributors have contributed in different ways or degrees, their roles may (and preferably should) be clarified in the epigraphic lemma (§</w:t>
      </w:r>
      <w:r>
        <w:fldChar w:fldCharType="begin"/>
      </w:r>
      <w:r>
        <w:instrText xml:space="preserve"> REF _Ref233623221 \r \h </w:instrText>
      </w:r>
      <w:r>
        <w:fldChar w:fldCharType="separate"/>
      </w:r>
      <w:r>
        <w:t>13.2</w:t>
      </w:r>
      <w:r>
        <w:fldChar w:fldCharType="end"/>
      </w:r>
      <w:r>
        <w:t>)</w:t>
      </w:r>
    </w:p>
    <w:p w14:paraId="25AAB552" w14:textId="77777777">
      <w:pPr>
        <w:pStyle w:val="Cmsor4"/>
      </w:pPr>
      <w:bookmarkStart w:id="1063" w:name="_Ref240270689"/>
      <w:r>
        <w:t>Funder</w:t>
      </w:r>
      <w:bookmarkEnd w:id="1063"/>
    </w:p>
    <w:p w14:paraId="20FACE3A" w14:textId="77777777">
      <w:pPr>
        <w:rPr>
          <w:lang w:eastAsia="en-US" w:bidi="ar-SA"/>
        </w:rPr>
      </w:pPr>
      <w:r>
        <w:rPr>
          <w:lang w:eastAsia="en-US" w:bidi="ar-SA"/>
        </w:rPr>
        <w:t xml:space="preserve">In addition to the generic </w:t>
      </w:r>
      <w:r>
        <w:rPr>
          <w:rStyle w:val="Code"/>
        </w:rPr>
        <w:t>&lt;respStmt&gt;</w:t>
      </w:r>
      <w:r>
        <w:t xml:space="preserve"> element, TEI provides a number of specialised elements for common responsibilities, among which our editions contain </w:t>
      </w:r>
      <w:r>
        <w:rPr>
          <w:rStyle w:val="Code"/>
        </w:rPr>
        <w:t>&lt;funder&gt;</w:t>
      </w:r>
      <w:r>
        <w:t xml:space="preserve">. </w:t>
      </w:r>
    </w:p>
    <w:p w14:paraId="50C64CD4" w14:textId="77777777">
      <w:pPr>
        <w:pStyle w:val="Lista"/>
        <w:rPr>
          <w:lang w:eastAsia="en-US" w:bidi="ar-SA"/>
        </w:rPr>
      </w:pPr>
      <w:r>
        <w:rPr>
          <w:lang w:eastAsia="en-US" w:bidi="ar-SA"/>
        </w:rPr>
        <w:t xml:space="preserve">the item </w:t>
      </w:r>
      <w:r>
        <w:rPr>
          <w:rStyle w:val="Code"/>
          <w:lang w:eastAsia="en-US" w:bidi="ar-SA"/>
        </w:rPr>
        <w:t>&lt;funder&gt;</w:t>
      </w:r>
      <w:r>
        <w:rPr>
          <w:rStyle w:val="Codetext"/>
          <w:lang w:eastAsia="en-US" w:bidi="ar-SA"/>
        </w:rPr>
        <w:t>European Research Council (ERC), grant agreement no 809994</w:t>
      </w:r>
      <w:r>
        <w:rPr>
          <w:rStyle w:val="Code"/>
          <w:lang w:eastAsia="en-US" w:bidi="ar-SA"/>
        </w:rPr>
        <w:t>&lt;/funder&gt;</w:t>
      </w:r>
      <w:r>
        <w:rPr>
          <w:lang w:eastAsia="en-US" w:bidi="ar-SA"/>
        </w:rPr>
        <w:t xml:space="preserve"> is hard-coded into DHARMA edition templates and need not be edited</w:t>
      </w:r>
    </w:p>
    <w:p w14:paraId="627E3EF9" w14:textId="77777777">
      <w:pPr>
        <w:pStyle w:val="Lista"/>
        <w:rPr>
          <w:lang w:eastAsia="en-US" w:bidi="ar-SA"/>
        </w:rPr>
      </w:pPr>
      <w:r>
        <w:rPr>
          <w:lang w:eastAsia="en-US" w:bidi="ar-SA"/>
        </w:rPr>
        <w:t>for texts encoded according to these conventions outside and after the DHARMA project, this element may be removed or its contents may be replaced as applicable</w:t>
      </w:r>
    </w:p>
    <w:p w14:paraId="2042CE1F" w14:textId="77777777">
      <w:pPr>
        <w:pStyle w:val="Cmsor3"/>
      </w:pPr>
      <w:bookmarkStart w:id="1064" w:name="_vner4ocywhk7" w:colFirst="0" w:colLast="0"/>
      <w:bookmarkStart w:id="1065" w:name="_Ref233892566"/>
      <w:bookmarkStart w:id="1066" w:name="_Toc243922816"/>
      <w:bookmarkEnd w:id="1064"/>
      <w:r>
        <w:lastRenderedPageBreak/>
        <w:t>The publication statement</w:t>
      </w:r>
      <w:bookmarkEnd w:id="1065"/>
      <w:bookmarkEnd w:id="1066"/>
    </w:p>
    <w:p w14:paraId="3DEA31CF" w14:textId="77777777">
      <w:pPr>
        <w:pStyle w:val="Lista"/>
      </w:pPr>
      <w:r>
        <w:t>the structure and most of the contents of this statement will be provided in our template, but you will have to add the following data as instructed by comments in the template</w:t>
      </w:r>
    </w:p>
    <w:p w14:paraId="5C85B507" w14:textId="77777777">
      <w:pPr>
        <w:pStyle w:val="Lista2"/>
      </w:pPr>
      <w:r>
        <w:t xml:space="preserve">in the element </w:t>
      </w:r>
      <w:r>
        <w:rPr>
          <w:rStyle w:val="Code"/>
        </w:rPr>
        <w:t>&lt;pubPlace&gt;</w:t>
      </w:r>
      <w:r>
        <w:t>, enter the place (city) where you (the creator of the edition) work</w:t>
      </w:r>
    </w:p>
    <w:p w14:paraId="107EBDCA" w14:textId="77777777">
      <w:pPr>
        <w:pStyle w:val="Lista3"/>
      </w:pPr>
      <w:r>
        <w:t>more than one place name may be listed within this element if applicable (for example in the case of multiple creators)</w:t>
      </w:r>
    </w:p>
    <w:p w14:paraId="6943A59A" w14:textId="77777777">
      <w:pPr>
        <w:pStyle w:val="Lista2"/>
        <w:rPr>
          <w:rStyle w:val="Code"/>
          <w:rFonts w:ascii="Gentium" w:hAnsi="Gentium" w:cs="Tiro Devanagari Sanskrit"/>
          <w:noProof w:val="0"/>
          <w:color w:val="auto"/>
          <w:shd w:val="clear" w:color="auto" w:fill="auto"/>
        </w:rPr>
      </w:pPr>
      <w:r>
        <w:t xml:space="preserve">in the element </w:t>
      </w:r>
      <w:r>
        <w:rPr>
          <w:rStyle w:val="Code"/>
        </w:rPr>
        <w:t xml:space="preserve">&lt;idno </w:t>
      </w:r>
      <w:r>
        <w:rPr>
          <w:rStyle w:val="Codeattribute"/>
        </w:rPr>
        <w:t>type=</w:t>
      </w:r>
      <w:r>
        <w:rPr>
          <w:rStyle w:val="Codevalue"/>
        </w:rPr>
        <w:t>"filename"</w:t>
      </w:r>
      <w:r>
        <w:rPr>
          <w:rStyle w:val="Code"/>
        </w:rPr>
        <w:t>&gt;</w:t>
      </w:r>
      <w:r>
        <w:t xml:space="preserve">, the exact name (including the extension </w:t>
      </w:r>
      <w:r>
        <w:rPr>
          <w:rStyle w:val="Code"/>
        </w:rPr>
        <w:t>.xml</w:t>
      </w:r>
      <w:r>
        <w:t xml:space="preserve">) of your XML file, e.g. </w:t>
      </w:r>
      <w:r>
        <w:rPr>
          <w:rStyle w:val="Code"/>
        </w:rPr>
        <w:t>DHARMA_INSPallava00001.xml</w:t>
      </w:r>
    </w:p>
    <w:p w14:paraId="63350020" w14:textId="77777777">
      <w:pPr>
        <w:pStyle w:val="Cmsor2"/>
      </w:pPr>
      <w:bookmarkStart w:id="1067" w:name="_hettlvg4peby" w:colFirst="0" w:colLast="0"/>
      <w:bookmarkStart w:id="1068" w:name="_Ref43978731"/>
      <w:bookmarkStart w:id="1069" w:name="_Toc243922817"/>
      <w:bookmarkEnd w:id="1067"/>
      <w:r>
        <w:t>Describing the original document</w:t>
      </w:r>
      <w:bookmarkEnd w:id="1068"/>
      <w:bookmarkEnd w:id="1069"/>
    </w:p>
    <w:p w14:paraId="0352BD25" w14:textId="77777777">
      <w:r>
        <w:t xml:space="preserve">The second section of the </w:t>
      </w:r>
      <w:r>
        <w:rPr>
          <w:rStyle w:val="Code"/>
        </w:rPr>
        <w:t>&lt;fileDesc&gt;</w:t>
      </w:r>
      <w:r>
        <w:t xml:space="preserve"> is the Source Description, encoded as the element </w:t>
      </w:r>
      <w:r>
        <w:rPr>
          <w:rStyle w:val="Code"/>
        </w:rPr>
        <w:t>&lt;sourceDesc&gt;</w:t>
      </w:r>
      <w:r>
        <w:t xml:space="preserve">. This mandatory element records details (metadata) of the original from which the digital text is derived. TEI permits the use of various elements in a Source Description, but in the case of epigraphic documents its only child element is the Manuscript Description, </w:t>
      </w:r>
      <w:r>
        <w:rPr>
          <w:rStyle w:val="Code"/>
        </w:rPr>
        <w:t>&lt;msDesc&gt;</w:t>
      </w:r>
      <w:r>
        <w:t>, applicable to any text-bearing object besides manuscripts in the strict sense. The DHARMA project recorded object metadata outside the XML files in order to ensure flexibility and to avoid complications applicable to objects bearing multiple inscriptions and inscriptions borne on multiple objects. Unfortunately, a final database for managing object data and linking them to the editions of inscriptions could not be developed in the lifetime of the project and remains a task for the future. Post-DHARMA editions using the conventions of this Guide may choose whether to record metadata separately or to encode them here in a manner endorsed by TEI.</w:t>
      </w:r>
    </w:p>
    <w:p w14:paraId="182EEF0A" w14:textId="430360C7">
      <w:pPr>
        <w:pStyle w:val="Normlbehzs"/>
      </w:pPr>
      <w:r>
        <w:t>For editions created in the DHARMA project, our template contains a minimum framework for source description, of which the hand description (§</w:t>
      </w:r>
      <w:r>
        <w:fldChar w:fldCharType="begin"/>
      </w:r>
      <w:r>
        <w:instrText xml:space="preserve"> REF _Ref43987455 \r \h </w:instrText>
      </w:r>
      <w:r>
        <w:fldChar w:fldCharType="separate"/>
      </w:r>
      <w:r>
        <w:t>15.2.1</w:t>
      </w:r>
      <w:r>
        <w:fldChar w:fldCharType="end"/>
      </w:r>
      <w:r>
        <w:t>) is the only item that needs the attention of encoders.</w:t>
      </w:r>
    </w:p>
    <w:p w14:paraId="5B9507C2" w14:textId="77777777">
      <w:pPr>
        <w:pStyle w:val="Cmsor3"/>
      </w:pPr>
      <w:bookmarkStart w:id="1070" w:name="_Ref43987455"/>
      <w:bookmarkStart w:id="1071" w:name="_Toc243922818"/>
      <w:r>
        <w:t>The hand description</w:t>
      </w:r>
      <w:bookmarkEnd w:id="1070"/>
      <w:bookmarkEnd w:id="1071"/>
    </w:p>
    <w:p w14:paraId="7F5785FF" w14:textId="62FD2ACE">
      <w:r>
        <w:rPr>
          <w:lang w:eastAsia="en-US" w:bidi="ar-SA"/>
        </w:rPr>
        <w:t xml:space="preserve">The element </w:t>
      </w:r>
      <w:r>
        <w:rPr>
          <w:rStyle w:val="Code"/>
        </w:rPr>
        <w:t>&lt;handDesc&gt;</w:t>
      </w:r>
      <w:r>
        <w:t xml:space="preserve"> is a child (in DHARMA editions, the only child) of </w:t>
      </w:r>
      <w:r>
        <w:rPr>
          <w:rStyle w:val="Code"/>
        </w:rPr>
        <w:t>&lt;physDesc&gt;</w:t>
      </w:r>
      <w:r>
        <w:t xml:space="preserve"> (for “physical description”) within the </w:t>
      </w:r>
      <w:r>
        <w:rPr>
          <w:rStyle w:val="Code"/>
        </w:rPr>
        <w:t>&lt;sourceDesc&gt;</w:t>
      </w:r>
      <w:r>
        <w:t xml:space="preserve"> section of the TEI header. In our template, the </w:t>
      </w:r>
      <w:r>
        <w:rPr>
          <w:rStyle w:val="Code"/>
        </w:rPr>
        <w:t>&lt;handDesc&gt;</w:t>
      </w:r>
      <w:r>
        <w:t xml:space="preserve"> contains an empty </w:t>
      </w:r>
      <w:r>
        <w:rPr>
          <w:rStyle w:val="Code"/>
        </w:rPr>
        <w:t>&lt;p&gt;</w:t>
      </w:r>
      <w:r>
        <w:t xml:space="preserve"> element, where you may write the palaeographic description of the source document as per §</w:t>
      </w:r>
      <w:r>
        <w:fldChar w:fldCharType="begin"/>
      </w:r>
      <w:r>
        <w:instrText xml:space="preserve"> REF _Ref233965237 \r \h </w:instrText>
      </w:r>
      <w:r>
        <w:fldChar w:fldCharType="separate"/>
      </w:r>
      <w:r>
        <w:t>15.2.1.1</w:t>
      </w:r>
      <w:r>
        <w:fldChar w:fldCharType="end"/>
      </w:r>
      <w:r>
        <w:t xml:space="preserve"> and, if applicable, describe multiple hands used in the source as per §</w:t>
      </w:r>
      <w:r>
        <w:fldChar w:fldCharType="begin"/>
      </w:r>
      <w:r>
        <w:instrText xml:space="preserve"> REF _Ref231980025 \r \h </w:instrText>
      </w:r>
      <w:r>
        <w:fldChar w:fldCharType="separate"/>
      </w:r>
      <w:r>
        <w:t>15.2.1.2</w:t>
      </w:r>
      <w:r>
        <w:fldChar w:fldCharType="end"/>
      </w:r>
      <w:r>
        <w:t>.</w:t>
      </w:r>
    </w:p>
    <w:p w14:paraId="5BBC96C0" w14:textId="77777777">
      <w:pPr>
        <w:pStyle w:val="Cmsor4"/>
      </w:pPr>
      <w:bookmarkStart w:id="1072" w:name="_Ref233965237"/>
      <w:r>
        <w:t>The palaeographic description</w:t>
      </w:r>
      <w:bookmarkEnd w:id="1072"/>
    </w:p>
    <w:p w14:paraId="6CF01B30" w14:textId="77777777">
      <w:pPr>
        <w:pStyle w:val="Lista"/>
      </w:pPr>
      <w:r>
        <w:t>writing a palaeographic description is not mandatory</w:t>
      </w:r>
    </w:p>
    <w:p w14:paraId="524FFFAA" w14:textId="77777777">
      <w:pPr>
        <w:pStyle w:val="Lista"/>
      </w:pPr>
      <w:r>
        <w:t xml:space="preserve">if you write one, make it as terse or extensive as you wish, creating additional </w:t>
      </w:r>
      <w:r>
        <w:rPr>
          <w:rStyle w:val="Code"/>
        </w:rPr>
        <w:t>&lt;p&gt;</w:t>
      </w:r>
      <w:r>
        <w:t xml:space="preserve"> elements as needed</w:t>
      </w:r>
    </w:p>
    <w:p w14:paraId="62100714" w14:textId="77777777">
      <w:pPr>
        <w:pStyle w:val="Lista"/>
      </w:pPr>
      <w:r>
        <w:t>items that you may wish to touch upon include</w:t>
      </w:r>
    </w:p>
    <w:p w14:paraId="1BEC80CE" w14:textId="71C9A65B">
      <w:pPr>
        <w:pStyle w:val="Lista2"/>
      </w:pPr>
      <w:r>
        <w:t>a characterisation of the source script beyond the basic classification encoded as per §</w:t>
      </w:r>
      <w:r>
        <w:fldChar w:fldCharType="begin"/>
      </w:r>
      <w:r>
        <w:instrText xml:space="preserve"> REF _Ref231978545 \r \h </w:instrText>
      </w:r>
      <w:r>
        <w:fldChar w:fldCharType="separate"/>
      </w:r>
      <w:r>
        <w:t>8.2.1</w:t>
      </w:r>
      <w:r>
        <w:fldChar w:fldCharType="end"/>
      </w:r>
    </w:p>
    <w:p w14:paraId="5B161FF3" w14:textId="77777777">
      <w:pPr>
        <w:pStyle w:val="Lista2"/>
      </w:pPr>
      <w:r>
        <w:t xml:space="preserve">the manner in which the source handles vowelless consonants </w:t>
      </w:r>
      <w:r>
        <w:rPr>
          <w:noProof/>
        </w:rPr>
        <w:t>(</w:t>
      </w:r>
      <w:r>
        <w:rPr>
          <w:rStyle w:val="Foreign"/>
        </w:rPr>
        <w:t>virāma/puḷḷi</w:t>
      </w:r>
      <w:r>
        <w:t>, special final consonant forms)</w:t>
      </w:r>
    </w:p>
    <w:p w14:paraId="7AD48132" w14:textId="77777777">
      <w:pPr>
        <w:pStyle w:val="Lista2"/>
      </w:pPr>
      <w:r>
        <w:t>the use of ornamental lettering in whole or part of the text</w:t>
      </w:r>
    </w:p>
    <w:p w14:paraId="456D45C9" w14:textId="77777777">
      <w:pPr>
        <w:pStyle w:val="Lista2"/>
      </w:pPr>
      <w:r>
        <w:t xml:space="preserve">the appearance of </w:t>
      </w:r>
      <w:r>
        <w:rPr>
          <w:rStyle w:val="Foreign"/>
        </w:rPr>
        <w:t>anusvāra</w:t>
      </w:r>
      <w:r>
        <w:t xml:space="preserve"> and the manner of its use (vis-à-vis class nasals)</w:t>
      </w:r>
    </w:p>
    <w:p w14:paraId="0C1B1C25" w14:textId="77777777">
      <w:pPr>
        <w:pStyle w:val="Lista2"/>
      </w:pPr>
      <w:r>
        <w:t xml:space="preserve">whether </w:t>
      </w:r>
      <w:r>
        <w:rPr>
          <w:rStyle w:val="Foreign"/>
        </w:rPr>
        <w:t>upadhmānīya</w:t>
      </w:r>
      <w:r>
        <w:t xml:space="preserve"> and/or </w:t>
      </w:r>
      <w:r>
        <w:rPr>
          <w:rStyle w:val="Foreign"/>
        </w:rPr>
        <w:t>jihvāmūlīya</w:t>
      </w:r>
      <w:r>
        <w:t xml:space="preserve"> are distinguished from </w:t>
      </w:r>
      <w:r>
        <w:rPr>
          <w:rStyle w:val="Foreign"/>
        </w:rPr>
        <w:t>visarga</w:t>
      </w:r>
    </w:p>
    <w:p w14:paraId="07136F0B" w14:textId="77777777">
      <w:pPr>
        <w:pStyle w:val="Lista2"/>
      </w:pPr>
      <w:r>
        <w:t>the occurrence of rare glyphs</w:t>
      </w:r>
    </w:p>
    <w:p w14:paraId="0F97A3EF" w14:textId="77777777">
      <w:pPr>
        <w:pStyle w:val="Lista2"/>
      </w:pPr>
      <w:r>
        <w:t>unusually formed glyphs and their interpretation</w:t>
      </w:r>
    </w:p>
    <w:p w14:paraId="4778BE5F" w14:textId="77777777">
      <w:pPr>
        <w:pStyle w:val="Lista2"/>
      </w:pPr>
      <w:r>
        <w:t>perceived similarity to hands seen in other inscriptions</w:t>
      </w:r>
    </w:p>
    <w:p w14:paraId="7E2C2557" w14:textId="77777777">
      <w:pPr>
        <w:pStyle w:val="Lista"/>
      </w:pPr>
      <w:r>
        <w:t>to refer to specific loci in the edited text, simply add a human-readable reference to a line number, which you may complement with a lemma</w:t>
      </w:r>
    </w:p>
    <w:p w14:paraId="7EA16AD8" w14:textId="78A96B27">
      <w:pPr>
        <w:pStyle w:val="Lista"/>
      </w:pPr>
      <w:r>
        <w:t>to refer to other inscriptions in the DHARMA corpus, encode a reference as per §</w:t>
      </w:r>
      <w:r>
        <w:fldChar w:fldCharType="begin"/>
      </w:r>
      <w:r>
        <w:instrText xml:space="preserve"> REF _Ref148531705 \r \h </w:instrText>
      </w:r>
      <w:r>
        <w:fldChar w:fldCharType="separate"/>
      </w:r>
      <w:r>
        <w:t>14.6.4.1</w:t>
      </w:r>
      <w:r>
        <w:fldChar w:fldCharType="end"/>
      </w:r>
    </w:p>
    <w:p w14:paraId="118CE492" w14:textId="6263B0B4">
      <w:pPr>
        <w:pStyle w:val="Lista"/>
      </w:pPr>
      <w:r>
        <w:t xml:space="preserve">preferably use </w:t>
      </w:r>
      <w:r>
        <w:rPr>
          <w:rStyle w:val="Code"/>
        </w:rPr>
        <w:t>&lt;foreign&gt;</w:t>
      </w:r>
      <w:r>
        <w:t xml:space="preserve"> (§</w:t>
      </w:r>
      <w:r>
        <w:fldChar w:fldCharType="begin"/>
      </w:r>
      <w:r>
        <w:instrText xml:space="preserve"> REF _Ref43986658 \r \h </w:instrText>
      </w:r>
      <w:r>
        <w:fldChar w:fldCharType="separate"/>
      </w:r>
      <w:r>
        <w:t>14.4.2</w:t>
      </w:r>
      <w:r>
        <w:fldChar w:fldCharType="end"/>
      </w:r>
      <w:r>
        <w:t>) on characters and words cited from the source</w:t>
      </w:r>
    </w:p>
    <w:p w14:paraId="65297181" w14:textId="0DCF00AF">
      <w:pPr>
        <w:pStyle w:val="Lista"/>
      </w:pPr>
      <w:r>
        <w:t>other encoding solutions as per §</w:t>
      </w:r>
      <w:r>
        <w:fldChar w:fldCharType="begin"/>
      </w:r>
      <w:r>
        <w:instrText xml:space="preserve"> REF _Ref43990225 \r \h </w:instrText>
      </w:r>
      <w:r>
        <w:fldChar w:fldCharType="separate"/>
      </w:r>
      <w:r>
        <w:t>14</w:t>
      </w:r>
      <w:r>
        <w:fldChar w:fldCharType="end"/>
      </w:r>
      <w:r>
        <w:t xml:space="preserve"> are available but should be used considerately</w:t>
      </w:r>
    </w:p>
    <w:p w14:paraId="01F4521C" w14:textId="77777777">
      <w:pPr>
        <w:pStyle w:val="Cmsor4"/>
      </w:pPr>
      <w:bookmarkStart w:id="1073" w:name="_Ref231980025"/>
      <w:r>
        <w:lastRenderedPageBreak/>
        <w:t>Documents written in more than one hand</w:t>
      </w:r>
      <w:bookmarkEnd w:id="1073"/>
    </w:p>
    <w:p w14:paraId="14FEB366" w14:textId="2DE1E40F">
      <w:r>
        <w:t xml:space="preserve">In addition to a </w:t>
      </w:r>
      <w:r>
        <w:rPr>
          <w:rStyle w:val="Code"/>
        </w:rPr>
        <w:t>&lt;p&gt;</w:t>
      </w:r>
      <w:r>
        <w:t xml:space="preserve"> element with free text, the </w:t>
      </w:r>
      <w:r>
        <w:rPr>
          <w:rStyle w:val="Code"/>
        </w:rPr>
        <w:t>&lt;handDesc&gt;</w:t>
      </w:r>
      <w:r>
        <w:t xml:space="preserve"> element may include a structured description of scribal hands. In DHARMA practice this method is only resorted to when more than one hand can be clearly identified within a single document. In this case, use the following encoding illustrated in </w:t>
      </w:r>
      <w:r>
        <w:fldChar w:fldCharType="begin"/>
      </w:r>
      <w:r>
        <w:instrText xml:space="preserve"> REF _Ref233966339 \h </w:instrText>
      </w:r>
      <w:r>
        <w:fldChar w:fldCharType="separate"/>
      </w:r>
      <w:r>
        <w:t xml:space="preserve">Exhibit </w:t>
      </w:r>
      <w:r>
        <w:rPr>
          <w:noProof/>
        </w:rPr>
        <w:t>15.2</w:t>
      </w:r>
      <w:r>
        <w:t>.</w:t>
      </w:r>
      <w:r>
        <w:rPr>
          <w:noProof/>
        </w:rPr>
        <w:t>A</w:t>
      </w:r>
      <w:r>
        <w:fldChar w:fldCharType="end"/>
      </w:r>
      <w:r>
        <w:t>.</w:t>
      </w:r>
    </w:p>
    <w:p w14:paraId="0A34FE84" w14:textId="12DABA00">
      <w:pPr>
        <w:pStyle w:val="Lista"/>
      </w:pPr>
      <w:r>
        <w:t xml:space="preserve">within </w:t>
      </w:r>
      <w:r>
        <w:rPr>
          <w:rStyle w:val="Code"/>
        </w:rPr>
        <w:t>&lt;handDesc&gt;</w:t>
      </w:r>
      <w:r>
        <w:t xml:space="preserve">, wrap the </w:t>
      </w:r>
      <w:r>
        <w:rPr>
          <w:rStyle w:val="Code"/>
        </w:rPr>
        <w:t>&lt;p&gt;</w:t>
      </w:r>
      <w:r>
        <w:t xml:space="preserve"> element(s) containing the palaeographic description (§</w:t>
      </w:r>
      <w:r>
        <w:fldChar w:fldCharType="begin"/>
      </w:r>
      <w:r>
        <w:instrText xml:space="preserve"> REF _Ref233965237 \r \h </w:instrText>
      </w:r>
      <w:r>
        <w:fldChar w:fldCharType="separate"/>
      </w:r>
      <w:r>
        <w:t>15.2.1.1</w:t>
      </w:r>
      <w:r>
        <w:fldChar w:fldCharType="end"/>
      </w:r>
      <w:r>
        <w:t xml:space="preserve">) in the element </w:t>
      </w:r>
      <w:r>
        <w:rPr>
          <w:rStyle w:val="Code"/>
        </w:rPr>
        <w:t>&lt;summary&gt;</w:t>
      </w:r>
    </w:p>
    <w:p w14:paraId="2E14C9BF" w14:textId="77777777">
      <w:pPr>
        <w:pStyle w:val="Lista2"/>
      </w:pPr>
      <w:r>
        <w:t>the palaeographic description should in this case contain only observations that apply to the entirety of the inscription</w:t>
      </w:r>
    </w:p>
    <w:p w14:paraId="6E8C7C46" w14:textId="77777777">
      <w:pPr>
        <w:pStyle w:val="Lista2"/>
      </w:pPr>
      <w:r>
        <w:t xml:space="preserve">the overall palaeographic description may also be left empty, but the skeleton structure of </w:t>
      </w:r>
      <w:r>
        <w:rPr>
          <w:rStyle w:val="Code"/>
        </w:rPr>
        <w:t>&lt;summary&gt;&lt;p/&gt;&lt;/summary&gt;</w:t>
      </w:r>
      <w:r>
        <w:t xml:space="preserve"> must be preserved</w:t>
      </w:r>
    </w:p>
    <w:p w14:paraId="1E888C1B" w14:textId="77777777">
      <w:pPr>
        <w:pStyle w:val="Lista"/>
      </w:pPr>
      <w:r>
        <w:t xml:space="preserve">after the </w:t>
      </w:r>
      <w:r>
        <w:rPr>
          <w:rStyle w:val="Code"/>
        </w:rPr>
        <w:t>&lt;summary&gt;</w:t>
      </w:r>
      <w:r>
        <w:t xml:space="preserve"> element, create one </w:t>
      </w:r>
      <w:r>
        <w:rPr>
          <w:rStyle w:val="Code"/>
        </w:rPr>
        <w:t>&lt;handNote&gt;</w:t>
      </w:r>
      <w:r>
        <w:t xml:space="preserve"> element for each hand, with the mandatory attribute </w:t>
      </w:r>
      <w:r>
        <w:rPr>
          <w:rStyle w:val="Codeattribute"/>
        </w:rPr>
        <w:t>@xml:id</w:t>
      </w:r>
      <w:r>
        <w:t xml:space="preserve"> to serve as a unique identifier for each hand</w:t>
      </w:r>
    </w:p>
    <w:p w14:paraId="7773B941" w14:textId="620877B9">
      <w:pPr>
        <w:pStyle w:val="Lista2"/>
      </w:pPr>
      <w:r>
        <w:t>as per §</w:t>
      </w:r>
      <w:r>
        <w:fldChar w:fldCharType="begin"/>
      </w:r>
      <w:r>
        <w:instrText xml:space="preserve"> REF _Ref43988993 \w \h  \* MERGEFORMAT </w:instrText>
      </w:r>
      <w:r>
        <w:fldChar w:fldCharType="separate"/>
      </w:r>
      <w:r>
        <w:t>14.6.6</w:t>
      </w:r>
      <w:r>
        <w:fldChar w:fldCharType="end"/>
      </w:r>
      <w:r>
        <w:t xml:space="preserve">, the values of </w:t>
      </w:r>
      <w:r>
        <w:rPr>
          <w:rStyle w:val="Codeattribute"/>
        </w:rPr>
        <w:t>@xml:id</w:t>
      </w:r>
      <w:r>
        <w:t xml:space="preserve"> must consist of simple alphanumeric characters and be unique throughout your XML file</w:t>
      </w:r>
    </w:p>
    <w:p w14:paraId="2D96DD76" w14:textId="77777777">
      <w:pPr>
        <w:pStyle w:val="Lista2"/>
      </w:pPr>
      <w:r>
        <w:t xml:space="preserve">the recommended values are </w:t>
      </w:r>
      <w:r>
        <w:rPr>
          <w:rStyle w:val="Codevalue"/>
        </w:rPr>
        <w:t>"hand1"</w:t>
      </w:r>
      <w:r>
        <w:t xml:space="preserve">, </w:t>
      </w:r>
      <w:r>
        <w:rPr>
          <w:rStyle w:val="Codevalue"/>
        </w:rPr>
        <w:t>"hand2"</w:t>
      </w:r>
      <w:r>
        <w:t xml:space="preserve"> and so on for the required number of hands</w:t>
      </w:r>
    </w:p>
    <w:p w14:paraId="0FBAD29C" w14:textId="77777777">
      <w:pPr>
        <w:pStyle w:val="Lista"/>
      </w:pPr>
      <w:r>
        <w:t xml:space="preserve">in the contents of each </w:t>
      </w:r>
      <w:r>
        <w:rPr>
          <w:rStyle w:val="Code"/>
        </w:rPr>
        <w:t>&lt;handNote&gt;</w:t>
      </w:r>
      <w:r>
        <w:t xml:space="preserve"> element, write a concise, freeform description of the hand</w:t>
      </w:r>
    </w:p>
    <w:p w14:paraId="0D2E5CE1" w14:textId="00077512">
      <w:pPr>
        <w:pStyle w:val="Lista"/>
      </w:pPr>
      <w:r>
        <w:t xml:space="preserve">once the hands have been encoded in the header as above, use </w:t>
      </w:r>
      <w:r>
        <w:rPr>
          <w:rStyle w:val="Code"/>
        </w:rPr>
        <w:t>&lt;handShift/&gt;</w:t>
      </w:r>
      <w:r>
        <w:t xml:space="preserve"> within your edition to indicate hands, as described in §</w:t>
      </w:r>
      <w:r>
        <w:fldChar w:fldCharType="begin"/>
      </w:r>
      <w:r>
        <w:instrText xml:space="preserve"> REF _Ref231978881 \r \h </w:instrText>
      </w:r>
      <w:r>
        <w:fldChar w:fldCharType="separate"/>
      </w:r>
      <w:r>
        <w:t>8.3</w:t>
      </w:r>
      <w:r>
        <w:fldChar w:fldCharType="end"/>
      </w:r>
    </w:p>
    <w:tbl>
      <w:tblPr>
        <w:tblStyle w:val="CodeSampleTable"/>
        <w:tblW w:w="5000" w:type="pct"/>
        <w:tblLook w:val="04A0" w:firstRow="1" w:lastRow="0" w:firstColumn="1" w:lastColumn="0" w:noHBand="0" w:noVBand="1"/>
      </w:tblPr>
      <w:tblGrid>
        <w:gridCol w:w="9628"/>
      </w:tblGrid>
      <w:tr w14:paraId="146B7E92"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6ADCBAD" w14:textId="5BF68A8F">
            <w:pPr>
              <w:pStyle w:val="Kpalrs"/>
            </w:pPr>
            <w:bookmarkStart w:id="1074" w:name="_Ref233966339"/>
            <w:r>
              <w:t xml:space="preserve">Exhibit </w:t>
            </w:r>
            <w:fldSimple w:instr=" STYLEREF 2 \s ">
              <w:r>
                <w:rPr>
                  <w:noProof/>
                </w:rPr>
                <w:t>15.2</w:t>
              </w:r>
            </w:fldSimple>
            <w:r>
              <w:t>.</w:t>
            </w:r>
            <w:fldSimple w:instr=" SEQ Exhibit \* ALPHABETIC \s 2 ">
              <w:r>
                <w:rPr>
                  <w:noProof/>
                </w:rPr>
                <w:t>A</w:t>
              </w:r>
            </w:fldSimple>
            <w:bookmarkEnd w:id="1074"/>
            <w:r>
              <w:t>: hand description with multiple hands</w:t>
            </w:r>
          </w:p>
        </w:tc>
      </w:tr>
      <w:tr w14:paraId="223D0179" w14:textId="77777777">
        <w:tc>
          <w:tcPr>
            <w:tcW w:w="5000" w:type="pct"/>
          </w:tcPr>
          <w:p w14:paraId="7AE36EE4" w14:textId="77777777">
            <w:pPr>
              <w:pStyle w:val="CodeParagraph"/>
              <w:rPr>
                <w:rStyle w:val="Code"/>
              </w:rPr>
            </w:pPr>
            <w:r>
              <w:rPr>
                <w:rStyle w:val="Code"/>
              </w:rPr>
              <w:t>&lt;handDesc&gt;</w:t>
            </w:r>
          </w:p>
          <w:p w14:paraId="02222874" w14:textId="77777777">
            <w:pPr>
              <w:pStyle w:val="CodeParagraph"/>
              <w:rPr>
                <w:rStyle w:val="Code"/>
              </w:rPr>
            </w:pPr>
            <w:r>
              <w:rPr>
                <w:rStyle w:val="Code"/>
              </w:rPr>
              <w:t xml:space="preserve">  &lt;summary&gt;</w:t>
            </w:r>
          </w:p>
          <w:p w14:paraId="737694EC" w14:textId="77777777">
            <w:pPr>
              <w:pStyle w:val="CodeParagraph"/>
              <w:rPr>
                <w:rStyle w:val="Codetext"/>
              </w:rPr>
            </w:pPr>
            <w:r>
              <w:rPr>
                <w:rStyle w:val="Codetext"/>
              </w:rPr>
              <w:t xml:space="preserve">    </w:t>
            </w:r>
            <w:r>
              <w:rPr>
                <w:rStyle w:val="Code"/>
              </w:rPr>
              <w:t>&lt;p&gt;</w:t>
            </w:r>
            <w:r>
              <w:rPr>
                <w:rStyle w:val="Codetext"/>
              </w:rPr>
              <w:t xml:space="preserve">Final </w:t>
            </w:r>
            <w:r>
              <w:rPr>
                <w:rStyle w:val="Code"/>
              </w:rPr>
              <w:t>&lt;foreign&gt;</w:t>
            </w:r>
            <w:r>
              <w:rPr>
                <w:rStyle w:val="Codetext"/>
              </w:rPr>
              <w:t>T</w:t>
            </w:r>
            <w:r>
              <w:rPr>
                <w:rStyle w:val="Code"/>
              </w:rPr>
              <w:t>&lt;/foreign&gt;</w:t>
            </w:r>
            <w:r>
              <w:rPr>
                <w:rStyle w:val="Codetext"/>
              </w:rPr>
              <w:t xml:space="preserve"> looks like a full-sized </w:t>
            </w:r>
            <w:r>
              <w:rPr>
                <w:rStyle w:val="Code"/>
              </w:rPr>
              <w:t>&lt;foreign&gt;</w:t>
            </w:r>
            <w:r>
              <w:rPr>
                <w:rStyle w:val="Codetext"/>
              </w:rPr>
              <w:t>ta</w:t>
            </w:r>
            <w:r>
              <w:rPr>
                <w:rStyle w:val="Code"/>
              </w:rPr>
              <w:t>&lt;/foreign&gt;</w:t>
            </w:r>
            <w:r>
              <w:rPr>
                <w:rStyle w:val="Codetext"/>
              </w:rPr>
              <w:t xml:space="preserve"> without a headmark (. l21, l. 47) ... </w:t>
            </w:r>
            <w:r>
              <w:rPr>
                <w:rStyle w:val="Code"/>
              </w:rPr>
              <w:t>&lt;/p&gt;</w:t>
            </w:r>
          </w:p>
          <w:p w14:paraId="273C1714" w14:textId="77777777">
            <w:pPr>
              <w:pStyle w:val="CodeParagraph"/>
              <w:rPr>
                <w:rStyle w:val="Codetext"/>
              </w:rPr>
            </w:pPr>
            <w:r>
              <w:rPr>
                <w:rStyle w:val="Code"/>
              </w:rPr>
              <w:t xml:space="preserve">    &lt;p&gt;</w:t>
            </w:r>
            <w:r>
              <w:rPr>
                <w:rStyle w:val="Codetext"/>
              </w:rPr>
              <w:t xml:space="preserve">Original punctuation marks are plain straight verticals ... </w:t>
            </w:r>
            <w:r>
              <w:rPr>
                <w:rStyle w:val="Code"/>
              </w:rPr>
              <w:t>&lt;/p&gt;</w:t>
            </w:r>
          </w:p>
          <w:p w14:paraId="474E0FB0" w14:textId="77777777">
            <w:pPr>
              <w:pStyle w:val="CodeParagraph"/>
              <w:rPr>
                <w:rStyle w:val="Codetext"/>
              </w:rPr>
            </w:pPr>
            <w:r>
              <w:rPr>
                <w:rStyle w:val="Codetext"/>
              </w:rPr>
              <w:t xml:space="preserve">    </w:t>
            </w:r>
            <w:r>
              <w:rPr>
                <w:rStyle w:val="Code"/>
              </w:rPr>
              <w:t>&lt;p&gt;&lt;foreign&gt;</w:t>
            </w:r>
            <w:r>
              <w:rPr>
                <w:rStyle w:val="Codetext"/>
              </w:rPr>
              <w:t>Anusvāra</w:t>
            </w:r>
            <w:r>
              <w:rPr>
                <w:rStyle w:val="Code"/>
              </w:rPr>
              <w:t>&lt;/foreign&gt;</w:t>
            </w:r>
            <w:r>
              <w:rPr>
                <w:rStyle w:val="Codetext"/>
              </w:rPr>
              <w:t xml:space="preserve"> is a dot after the character to which it belongs ... </w:t>
            </w:r>
            <w:r>
              <w:rPr>
                <w:rStyle w:val="Code"/>
              </w:rPr>
              <w:t>&lt;/p&gt;</w:t>
            </w:r>
          </w:p>
          <w:p w14:paraId="18BCC056" w14:textId="77777777">
            <w:pPr>
              <w:pStyle w:val="CodeParagraph"/>
              <w:rPr>
                <w:rStyle w:val="Code"/>
              </w:rPr>
            </w:pPr>
            <w:r>
              <w:rPr>
                <w:rStyle w:val="Code"/>
              </w:rPr>
              <w:t xml:space="preserve">  &lt;/summary&gt;</w:t>
            </w:r>
          </w:p>
          <w:p w14:paraId="1C2B5E37" w14:textId="77777777">
            <w:pPr>
              <w:pStyle w:val="CodeParagraph"/>
              <w:rPr>
                <w:rStyle w:val="Codetext"/>
              </w:rPr>
            </w:pPr>
            <w:r>
              <w:rPr>
                <w:rStyle w:val="Code"/>
              </w:rPr>
              <w:t xml:space="preserve">  &lt;handNote </w:t>
            </w:r>
            <w:r>
              <w:rPr>
                <w:rStyle w:val="Codeattribute"/>
              </w:rPr>
              <w:t>xml:id=</w:t>
            </w:r>
            <w:r>
              <w:rPr>
                <w:rStyle w:val="Codevalue"/>
              </w:rPr>
              <w:t>"hand1"</w:t>
            </w:r>
            <w:r>
              <w:rPr>
                <w:rStyle w:val="Code"/>
              </w:rPr>
              <w:t>&gt;</w:t>
            </w:r>
            <w:r>
              <w:rPr>
                <w:rStyle w:val="Codetext"/>
              </w:rPr>
              <w:t xml:space="preserve">The hand responsible for most of the inscription, characterised by relatively small and squarish character bodies and a very large number of scribal mistakes ... </w:t>
            </w:r>
            <w:r>
              <w:rPr>
                <w:rStyle w:val="Code"/>
              </w:rPr>
              <w:t>&lt;/handNote&gt;</w:t>
            </w:r>
          </w:p>
          <w:p w14:paraId="46CA1595" w14:textId="77777777">
            <w:pPr>
              <w:pStyle w:val="CodeParagraph"/>
              <w:rPr>
                <w:rStyle w:val="Codetext"/>
              </w:rPr>
            </w:pPr>
            <w:r>
              <w:rPr>
                <w:rStyle w:val="Code"/>
              </w:rPr>
              <w:t xml:space="preserve">  &lt;handNote </w:t>
            </w:r>
            <w:r>
              <w:rPr>
                <w:rStyle w:val="Codeattribute"/>
              </w:rPr>
              <w:t>xml:id=</w:t>
            </w:r>
            <w:r>
              <w:rPr>
                <w:rStyle w:val="Codevalue"/>
              </w:rPr>
              <w:t>"hand2"</w:t>
            </w:r>
            <w:r>
              <w:rPr>
                <w:rStyle w:val="Code"/>
              </w:rPr>
              <w:t>&gt;</w:t>
            </w:r>
            <w:r>
              <w:rPr>
                <w:rStyle w:val="Codetext"/>
              </w:rPr>
              <w:t xml:space="preserve">A hand characterised by characters which are are bolder and more evenly written, have a more cursive ductus and a slant to the right ... </w:t>
            </w:r>
            <w:r>
              <w:rPr>
                <w:rStyle w:val="Code"/>
              </w:rPr>
              <w:t>&lt;/handNote&gt;</w:t>
            </w:r>
          </w:p>
          <w:p w14:paraId="51AAD868" w14:textId="77777777">
            <w:pPr>
              <w:pStyle w:val="CodeParagraph"/>
              <w:rPr>
                <w:rStyle w:val="Code"/>
              </w:rPr>
            </w:pPr>
            <w:r>
              <w:rPr>
                <w:rStyle w:val="Code"/>
              </w:rPr>
              <w:t>&lt;/handDesc&gt;</w:t>
            </w:r>
          </w:p>
        </w:tc>
      </w:tr>
    </w:tbl>
    <w:p w14:paraId="362C7FFE" w14:textId="77777777">
      <w:pPr>
        <w:pStyle w:val="Cmsor2"/>
      </w:pPr>
      <w:bookmarkStart w:id="1075" w:name="_l88w6yddwwcn" w:colFirst="0" w:colLast="0"/>
      <w:bookmarkStart w:id="1076" w:name="_wnsvz48xieus" w:colFirst="0" w:colLast="0"/>
      <w:bookmarkStart w:id="1077" w:name="_Ref240276652"/>
      <w:bookmarkStart w:id="1078" w:name="_Toc243922819"/>
      <w:bookmarkEnd w:id="1075"/>
      <w:bookmarkEnd w:id="1076"/>
      <w:r>
        <w:t>Keeping track of file history</w:t>
      </w:r>
      <w:bookmarkEnd w:id="1077"/>
      <w:bookmarkEnd w:id="1078"/>
    </w:p>
    <w:p w14:paraId="64370FA8" w14:textId="73FD0457">
      <w:r>
        <w:t xml:space="preserve">From the moment it is created, the life-cycle of any XML file is liable to include any number of changes, such as additions, updates, corrections, or transformations. The history of the file is to be recorded in the Revision Description, encoded in </w:t>
      </w:r>
      <w:r>
        <w:rPr>
          <w:rStyle w:val="Code"/>
        </w:rPr>
        <w:t>&lt;revisionDesc&gt;</w:t>
      </w:r>
      <w:r>
        <w:t xml:space="preserve"> as the final high-level element in the TEI header, illustrated in </w:t>
      </w:r>
      <w:r>
        <w:fldChar w:fldCharType="begin"/>
      </w:r>
      <w:r>
        <w:instrText xml:space="preserve"> REF _Ref233967208 \h </w:instrText>
      </w:r>
      <w:r>
        <w:fldChar w:fldCharType="separate"/>
      </w:r>
      <w:r>
        <w:t xml:space="preserve">Exhibit </w:t>
      </w:r>
      <w:r>
        <w:rPr>
          <w:noProof/>
        </w:rPr>
        <w:t>15.3</w:t>
      </w:r>
      <w:r>
        <w:t>.</w:t>
      </w:r>
      <w:r>
        <w:rPr>
          <w:noProof/>
        </w:rPr>
        <w:t>A</w:t>
      </w:r>
      <w:r>
        <w:fldChar w:fldCharType="end"/>
      </w:r>
      <w:r>
        <w:t>. Once the initial encoding of a file has been completed, or the unfinished file is put aside to pick up later, any substantive alterations (extensive changes, deletions and additions) should be recorded in the revision description. Doing so at a manageable yet still meaningful level of detail can become an asset for the management and control of the files, for instance by helping to resolve issues regarding the encoding choices that can arise when files are being edited by multiple team members, and to gain a quick overview of the latest changes made when you return to work on a file after some time. We therefore recommend that you always check this part of the file before resuming your work to be sure that you have a clear understanding of the state of the encoding and avoid undoing changes made by others.</w:t>
      </w:r>
    </w:p>
    <w:p w14:paraId="2F609ED0" w14:textId="77777777">
      <w:pPr>
        <w:pStyle w:val="Lista"/>
      </w:pPr>
      <w:r>
        <w:t xml:space="preserve">each substantive change shall be recorded as a </w:t>
      </w:r>
      <w:r>
        <w:rPr>
          <w:rStyle w:val="Code"/>
        </w:rPr>
        <w:t>&lt;change&gt;</w:t>
      </w:r>
      <w:r>
        <w:t xml:space="preserve"> element with the following attributes:</w:t>
      </w:r>
    </w:p>
    <w:p w14:paraId="28B951ED" w14:textId="77777777">
      <w:pPr>
        <w:pStyle w:val="Lista2"/>
      </w:pPr>
      <w:r>
        <w:t xml:space="preserve">mandatorily, </w:t>
      </w:r>
      <w:r>
        <w:rPr>
          <w:rStyle w:val="Codeattribute"/>
        </w:rPr>
        <w:t>@who</w:t>
      </w:r>
      <w:r>
        <w:t>, the value of which shall be the personal identifier of the person</w:t>
      </w:r>
      <w:r>
        <w:rPr>
          <w:noProof/>
        </w:rPr>
        <w:t>(</w:t>
      </w:r>
      <w:r>
        <w:t xml:space="preserve">s) making the change, i.e. normally yours, with the prefix </w:t>
      </w:r>
      <w:r>
        <w:rPr>
          <w:rStyle w:val="Codevalue"/>
        </w:rPr>
        <w:t>part:</w:t>
      </w:r>
      <w:r>
        <w:t xml:space="preserve"> </w:t>
      </w:r>
      <w:r>
        <w:rPr>
          <w:noProof/>
        </w:rPr>
        <w:t>(</w:t>
      </w:r>
      <w:r>
        <w:t>as an abbreviated reference to the file listing participants of the project)</w:t>
      </w:r>
    </w:p>
    <w:p w14:paraId="6888CC0F" w14:textId="282C1BA0">
      <w:pPr>
        <w:pStyle w:val="Lista3"/>
      </w:pPr>
      <w:r>
        <w:t xml:space="preserve">our personal identifiers are available at </w:t>
      </w:r>
      <w:hyperlink r:id="rId81" w:history="1">
        <w:r>
          <w:rPr>
            <w:rStyle w:val="Hiperhivatkozs"/>
          </w:rPr>
          <w:t>https://dharmalekha.info/contributors</w:t>
        </w:r>
      </w:hyperlink>
      <w:r>
        <w:t xml:space="preserve"> </w:t>
      </w:r>
    </w:p>
    <w:p w14:paraId="630948EB" w14:textId="77777777">
      <w:pPr>
        <w:pStyle w:val="Lista3"/>
      </w:pPr>
      <w:r>
        <w:t>to record multiple identifiers for a single change, prefix each as above and separate them by a space</w:t>
      </w:r>
    </w:p>
    <w:p w14:paraId="763F47AB" w14:textId="77777777">
      <w:pPr>
        <w:pStyle w:val="Lista2"/>
      </w:pPr>
      <w:r>
        <w:lastRenderedPageBreak/>
        <w:t xml:space="preserve">mandatorily, </w:t>
      </w:r>
      <w:r>
        <w:rPr>
          <w:rStyle w:val="Codeattribute"/>
        </w:rPr>
        <w:t>@when</w:t>
      </w:r>
      <w:r>
        <w:t>, the value of which shall be the date of the change in ISO format, i.e. YYYY-MM-DD</w:t>
      </w:r>
    </w:p>
    <w:p w14:paraId="74AD6554" w14:textId="77777777">
      <w:pPr>
        <w:pStyle w:val="Lista2"/>
      </w:pPr>
      <w:r>
        <w:t xml:space="preserve">optionally as applicable, </w:t>
      </w:r>
      <w:r>
        <w:rPr>
          <w:rStyle w:val="Codeattribute"/>
        </w:rPr>
        <w:t>@status</w:t>
      </w:r>
      <w:r>
        <w:t xml:space="preserve"> with one of the following values, to help keep track of significant milestones in the process of editing, especially when the work is done by a less experienced contributor under supervision</w:t>
      </w:r>
    </w:p>
    <w:p w14:paraId="3B152B3F" w14:textId="77777777">
      <w:pPr>
        <w:pStyle w:val="Lista3"/>
      </w:pPr>
      <w:r>
        <w:rPr>
          <w:rStyle w:val="Codevalue"/>
        </w:rPr>
        <w:t>"draft"</w:t>
      </w:r>
    </w:p>
    <w:p w14:paraId="3628E0BC" w14:textId="77777777">
      <w:pPr>
        <w:pStyle w:val="Lista3"/>
      </w:pPr>
      <w:r>
        <w:rPr>
          <w:rStyle w:val="Codevalue"/>
        </w:rPr>
        <w:t>"candidate"</w:t>
      </w:r>
    </w:p>
    <w:p w14:paraId="594265C3" w14:textId="77777777">
      <w:pPr>
        <w:pStyle w:val="Lista3"/>
      </w:pPr>
      <w:r>
        <w:rPr>
          <w:rStyle w:val="Codevalue"/>
        </w:rPr>
        <w:t>"approved"</w:t>
      </w:r>
    </w:p>
    <w:p w14:paraId="6346BF08" w14:textId="77777777">
      <w:pPr>
        <w:pStyle w:val="Lista3"/>
      </w:pPr>
      <w:r>
        <w:rPr>
          <w:rStyle w:val="Codevalue"/>
        </w:rPr>
        <w:t>"published"</w:t>
      </w:r>
    </w:p>
    <w:p w14:paraId="2C1B83E7" w14:textId="77777777">
      <w:pPr>
        <w:pStyle w:val="Lista3"/>
        <w:rPr>
          <w:rStyle w:val="Codevalue"/>
          <w:rFonts w:ascii="Gentium" w:eastAsiaTheme="minorEastAsia" w:hAnsi="Gentium" w:cs="Tiro Devanagari Sanskrit"/>
          <w:noProof w:val="0"/>
          <w:color w:val="auto"/>
          <w:shd w:val="clear" w:color="auto" w:fill="auto"/>
        </w:rPr>
      </w:pPr>
      <w:r>
        <w:rPr>
          <w:rStyle w:val="Codevalue"/>
        </w:rPr>
        <w:t>"withdrawn"</w:t>
      </w:r>
    </w:p>
    <w:p w14:paraId="36A00145" w14:textId="77777777">
      <w:pPr>
        <w:pStyle w:val="Lista"/>
      </w:pPr>
      <w:r>
        <w:t xml:space="preserve">the contents of </w:t>
      </w:r>
      <w:r>
        <w:rPr>
          <w:rStyle w:val="Code"/>
        </w:rPr>
        <w:t>&lt;change&gt;</w:t>
      </w:r>
      <w:r>
        <w:t xml:space="preserve"> shall be a freeform description of the modification</w:t>
      </w:r>
    </w:p>
    <w:p w14:paraId="335D916E" w14:textId="77777777">
      <w:pPr>
        <w:pStyle w:val="Lista2"/>
      </w:pPr>
      <w:r>
        <w:t>please be concise, but avoid generic formulations and favour precise ones</w:t>
      </w:r>
    </w:p>
    <w:p w14:paraId="27A0E8E0" w14:textId="77777777">
      <w:pPr>
        <w:pStyle w:val="Lista"/>
      </w:pPr>
      <w:r>
        <w:t>when first beginning to work on a file using a blank template or recycling one of your other editions</w:t>
      </w:r>
    </w:p>
    <w:p w14:paraId="6312B0E4" w14:textId="77777777">
      <w:pPr>
        <w:pStyle w:val="Lista2"/>
      </w:pPr>
      <w:r>
        <w:t xml:space="preserve">delete all but one of the </w:t>
      </w:r>
      <w:r>
        <w:rPr>
          <w:rStyle w:val="Code"/>
        </w:rPr>
        <w:t>&lt;change&gt;</w:t>
      </w:r>
      <w:r>
        <w:t xml:space="preserve"> elements already present</w:t>
      </w:r>
    </w:p>
    <w:p w14:paraId="5F18FAA9" w14:textId="77777777">
      <w:pPr>
        <w:pStyle w:val="Lista2"/>
      </w:pPr>
      <w:r>
        <w:t xml:space="preserve">edit the retained </w:t>
      </w:r>
      <w:r>
        <w:rPr>
          <w:rStyle w:val="Code"/>
        </w:rPr>
        <w:t>&lt;change&gt;</w:t>
      </w:r>
      <w:r>
        <w:t xml:space="preserve"> element’s attributes and content to record the event of initial encoding</w:t>
      </w:r>
    </w:p>
    <w:p w14:paraId="5C550B72" w14:textId="77777777">
      <w:pPr>
        <w:pStyle w:val="Lista2"/>
      </w:pPr>
      <w:r>
        <w:t>the date shall be the start of your work on the file</w:t>
      </w:r>
    </w:p>
    <w:p w14:paraId="45A4FD63" w14:textId="77777777">
      <w:pPr>
        <w:pStyle w:val="Lista3"/>
      </w:pPr>
      <w:r>
        <w:t>if initial encoding is completed within a reasonable period of time, the completion of initial encoding need not be recorded as a separate event</w:t>
      </w:r>
    </w:p>
    <w:p w14:paraId="6599AB29" w14:textId="77777777">
      <w:pPr>
        <w:pStyle w:val="Lista"/>
      </w:pPr>
      <w:r>
        <w:t>whenever you return to the file and make a substantive change</w:t>
      </w:r>
    </w:p>
    <w:p w14:paraId="534828D2" w14:textId="77777777">
      <w:pPr>
        <w:pStyle w:val="Lista2"/>
      </w:pPr>
      <w:r>
        <w:t xml:space="preserve">create a new </w:t>
      </w:r>
      <w:r>
        <w:rPr>
          <w:rStyle w:val="Code"/>
        </w:rPr>
        <w:t>&lt;change&gt;</w:t>
      </w:r>
      <w:r>
        <w:t xml:space="preserve"> element (or replicate an existing one)</w:t>
      </w:r>
    </w:p>
    <w:p w14:paraId="1252F3D5" w14:textId="77777777">
      <w:pPr>
        <w:pStyle w:val="Lista2"/>
      </w:pPr>
      <w:r>
        <w:t xml:space="preserve">the new </w:t>
      </w:r>
      <w:r>
        <w:rPr>
          <w:rStyle w:val="Code"/>
        </w:rPr>
        <w:t>&lt;change&gt;</w:t>
      </w:r>
      <w:r>
        <w:t xml:space="preserve"> element must always be at the top, so that events are listed in a reverse chronological order with the most recent at the top</w:t>
      </w:r>
    </w:p>
    <w:p w14:paraId="07E30E49" w14:textId="759F20F9">
      <w:pPr>
        <w:pStyle w:val="Lista2"/>
      </w:pPr>
      <w:r>
        <w:t xml:space="preserve">fill or edit the contents of the new </w:t>
      </w:r>
      <w:r>
        <w:rPr>
          <w:rStyle w:val="Code"/>
        </w:rPr>
        <w:t>&lt;change&gt;</w:t>
      </w:r>
      <w:r>
        <w:t xml:space="preserve"> element to record the details of the change </w:t>
      </w:r>
    </w:p>
    <w:tbl>
      <w:tblPr>
        <w:tblStyle w:val="CodeSampleTable"/>
        <w:tblW w:w="5000" w:type="pct"/>
        <w:tblLook w:val="04A0" w:firstRow="1" w:lastRow="0" w:firstColumn="1" w:lastColumn="0" w:noHBand="0" w:noVBand="1"/>
      </w:tblPr>
      <w:tblGrid>
        <w:gridCol w:w="9628"/>
      </w:tblGrid>
      <w:tr w14:paraId="39DC3A3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CA7BBCC" w14:textId="46EFEBB9">
            <w:pPr>
              <w:pStyle w:val="Kpalrs"/>
            </w:pPr>
            <w:bookmarkStart w:id="1079" w:name="_Ref233967208"/>
            <w:r>
              <w:t xml:space="preserve">Exhibit </w:t>
            </w:r>
            <w:fldSimple w:instr=" STYLEREF 2 \s ">
              <w:r>
                <w:rPr>
                  <w:noProof/>
                </w:rPr>
                <w:t>15.3</w:t>
              </w:r>
            </w:fldSimple>
            <w:r>
              <w:t>.</w:t>
            </w:r>
            <w:fldSimple w:instr=" SEQ Exhibit \* ALPHABETIC \s 2 ">
              <w:r>
                <w:rPr>
                  <w:noProof/>
                </w:rPr>
                <w:t>A</w:t>
              </w:r>
            </w:fldSimple>
            <w:bookmarkEnd w:id="1079"/>
            <w:r>
              <w:t>: the revision description</w:t>
            </w:r>
          </w:p>
        </w:tc>
      </w:tr>
      <w:tr w14:paraId="4F179A72" w14:textId="77777777">
        <w:tc>
          <w:tcPr>
            <w:tcW w:w="5000" w:type="pct"/>
          </w:tcPr>
          <w:p w14:paraId="50B1C677" w14:textId="77777777">
            <w:pPr>
              <w:pStyle w:val="CodeParagraph"/>
              <w:rPr>
                <w:rStyle w:val="Code"/>
              </w:rPr>
            </w:pPr>
            <w:r>
              <w:rPr>
                <w:rStyle w:val="Code"/>
              </w:rPr>
              <w:t>&lt;revisionDesc&gt;</w:t>
            </w:r>
            <w:r>
              <w:rPr>
                <w:rStyle w:val="Codetext"/>
              </w:rPr>
              <w:br/>
              <w:t xml:space="preserve">  </w:t>
            </w:r>
            <w:r>
              <w:rPr>
                <w:rStyle w:val="Code"/>
              </w:rPr>
              <w:t xml:space="preserve">&lt;change </w:t>
            </w:r>
            <w:r>
              <w:rPr>
                <w:rStyle w:val="Codeattribute"/>
              </w:rPr>
              <w:t>who</w:t>
            </w:r>
            <w:r>
              <w:rPr>
                <w:rStyle w:val="Code"/>
              </w:rPr>
              <w:t>=</w:t>
            </w:r>
            <w:r>
              <w:rPr>
                <w:rStyle w:val="Codevalue"/>
              </w:rPr>
              <w:t>"part:daba"</w:t>
            </w:r>
            <w:r>
              <w:rPr>
                <w:rStyle w:val="Code"/>
              </w:rPr>
              <w:t xml:space="preserve"> </w:t>
            </w:r>
            <w:r>
              <w:rPr>
                <w:rStyle w:val="Codeattribute"/>
              </w:rPr>
              <w:t>when</w:t>
            </w:r>
            <w:r>
              <w:rPr>
                <w:rStyle w:val="Code"/>
              </w:rPr>
              <w:t>=</w:t>
            </w:r>
            <w:r>
              <w:rPr>
                <w:rStyle w:val="Codevalue"/>
              </w:rPr>
              <w:t xml:space="preserve">"2024-07-05" </w:t>
            </w:r>
            <w:r>
              <w:rPr>
                <w:rStyle w:val="Codeattribute"/>
              </w:rPr>
              <w:t>status</w:t>
            </w:r>
            <w:r>
              <w:rPr>
                <w:rStyle w:val="Code"/>
              </w:rPr>
              <w:t>=</w:t>
            </w:r>
            <w:r>
              <w:rPr>
                <w:rStyle w:val="Codevalue"/>
              </w:rPr>
              <w:t>"published"</w:t>
            </w:r>
            <w:r>
              <w:rPr>
                <w:rStyle w:val="Code"/>
              </w:rPr>
              <w:t>&gt;</w:t>
            </w:r>
            <w:r>
              <w:rPr>
                <w:rStyle w:val="Codetext"/>
              </w:rPr>
              <w:t>Re-collation with new photos</w:t>
            </w:r>
            <w:r>
              <w:rPr>
                <w:rStyle w:val="Code"/>
              </w:rPr>
              <w:t>&lt;/change&gt;</w:t>
            </w:r>
            <w:r>
              <w:rPr>
                <w:rStyle w:val="Codetext"/>
              </w:rPr>
              <w:br/>
              <w:t xml:space="preserve">  </w:t>
            </w:r>
            <w:r>
              <w:rPr>
                <w:rStyle w:val="Code"/>
              </w:rPr>
              <w:t xml:space="preserve">&lt;change </w:t>
            </w:r>
            <w:r>
              <w:rPr>
                <w:rStyle w:val="Codeattribute"/>
              </w:rPr>
              <w:t>who</w:t>
            </w:r>
            <w:r>
              <w:rPr>
                <w:rStyle w:val="Code"/>
              </w:rPr>
              <w:t>=</w:t>
            </w:r>
            <w:r>
              <w:rPr>
                <w:rStyle w:val="Codevalue"/>
              </w:rPr>
              <w:t>"part:daba"</w:t>
            </w:r>
            <w:r>
              <w:rPr>
                <w:rStyle w:val="Code"/>
              </w:rPr>
              <w:t xml:space="preserve"> </w:t>
            </w:r>
            <w:r>
              <w:rPr>
                <w:rStyle w:val="Codeattribute"/>
              </w:rPr>
              <w:t>when</w:t>
            </w:r>
            <w:r>
              <w:rPr>
                <w:rStyle w:val="Code"/>
              </w:rPr>
              <w:t>=</w:t>
            </w:r>
            <w:r>
              <w:rPr>
                <w:rStyle w:val="Codevalue"/>
              </w:rPr>
              <w:t xml:space="preserve">"2020-03-10" </w:t>
            </w:r>
            <w:r>
              <w:rPr>
                <w:rStyle w:val="Codeattribute"/>
              </w:rPr>
              <w:t>status</w:t>
            </w:r>
            <w:r>
              <w:rPr>
                <w:rStyle w:val="Code"/>
              </w:rPr>
              <w:t>=</w:t>
            </w:r>
            <w:r>
              <w:rPr>
                <w:rStyle w:val="Codevalue"/>
              </w:rPr>
              <w:t>"published"</w:t>
            </w:r>
            <w:r>
              <w:rPr>
                <w:rStyle w:val="Code"/>
              </w:rPr>
              <w:t>&gt;</w:t>
            </w:r>
            <w:r>
              <w:rPr>
                <w:rStyle w:val="Codetext"/>
              </w:rPr>
              <w:t>Adding translation</w:t>
            </w:r>
            <w:r>
              <w:rPr>
                <w:rStyle w:val="Code"/>
              </w:rPr>
              <w:t>&lt;/change&gt;</w:t>
            </w:r>
            <w:r>
              <w:rPr>
                <w:rStyle w:val="Codetext"/>
              </w:rPr>
              <w:br/>
              <w:t xml:space="preserve">  </w:t>
            </w:r>
            <w:r>
              <w:rPr>
                <w:rStyle w:val="Code"/>
              </w:rPr>
              <w:t xml:space="preserve">&lt;change </w:t>
            </w:r>
            <w:r>
              <w:rPr>
                <w:rStyle w:val="Codeattribute"/>
              </w:rPr>
              <w:t>who</w:t>
            </w:r>
            <w:r>
              <w:rPr>
                <w:rStyle w:val="Code"/>
              </w:rPr>
              <w:t>=</w:t>
            </w:r>
            <w:r>
              <w:rPr>
                <w:rStyle w:val="Codevalue"/>
              </w:rPr>
              <w:t>"part:daba"</w:t>
            </w:r>
            <w:r>
              <w:rPr>
                <w:rStyle w:val="Code"/>
              </w:rPr>
              <w:t xml:space="preserve"> </w:t>
            </w:r>
            <w:r>
              <w:rPr>
                <w:rStyle w:val="Codeattribute"/>
              </w:rPr>
              <w:t>when</w:t>
            </w:r>
            <w:r>
              <w:rPr>
                <w:rStyle w:val="Code"/>
              </w:rPr>
              <w:t>=</w:t>
            </w:r>
            <w:r>
              <w:rPr>
                <w:rStyle w:val="Codevalue"/>
              </w:rPr>
              <w:t xml:space="preserve">"2019-12-01" </w:t>
            </w:r>
            <w:r>
              <w:rPr>
                <w:rStyle w:val="Codeattribute"/>
              </w:rPr>
              <w:t>status</w:t>
            </w:r>
            <w:r>
              <w:rPr>
                <w:rStyle w:val="Code"/>
              </w:rPr>
              <w:t>=</w:t>
            </w:r>
            <w:r>
              <w:rPr>
                <w:rStyle w:val="Codevalue"/>
              </w:rPr>
              <w:t>"draft"</w:t>
            </w:r>
            <w:r>
              <w:rPr>
                <w:rStyle w:val="Code"/>
              </w:rPr>
              <w:t>&gt;</w:t>
            </w:r>
            <w:r>
              <w:rPr>
                <w:rStyle w:val="Codetext"/>
              </w:rPr>
              <w:t>Initial encoding</w:t>
            </w:r>
            <w:r>
              <w:rPr>
                <w:rStyle w:val="Code"/>
              </w:rPr>
              <w:t>&lt;/change&gt;</w:t>
            </w:r>
            <w:r>
              <w:rPr>
                <w:rStyle w:val="Codetext"/>
              </w:rPr>
              <w:br/>
            </w:r>
            <w:r>
              <w:rPr>
                <w:rStyle w:val="Code"/>
              </w:rPr>
              <w:t>&lt;/revisionDesc&gt;</w:t>
            </w:r>
          </w:p>
        </w:tc>
      </w:tr>
    </w:tbl>
    <w:p w14:paraId="578CF1BC" w14:textId="77777777">
      <w:pPr>
        <w:pStyle w:val="Cmsor1"/>
      </w:pPr>
      <w:bookmarkStart w:id="1080" w:name="_m394n9pgjwwz" w:colFirst="0" w:colLast="0"/>
      <w:bookmarkStart w:id="1081" w:name="_Toc243922820"/>
      <w:bookmarkEnd w:id="1080"/>
      <w:r>
        <w:lastRenderedPageBreak/>
        <w:t>Good encoding practice</w:t>
      </w:r>
      <w:bookmarkEnd w:id="1081"/>
    </w:p>
    <w:p w14:paraId="5522AFD5" w14:textId="77777777">
      <w:pPr>
        <w:pStyle w:val="Cmsor2"/>
      </w:pPr>
      <w:bookmarkStart w:id="1082" w:name="_udlxmxv788yo" w:colFirst="0" w:colLast="0"/>
      <w:bookmarkStart w:id="1083" w:name="_i3nexhtm21xy" w:colFirst="0" w:colLast="0"/>
      <w:bookmarkStart w:id="1084" w:name="_Ref43989206"/>
      <w:bookmarkStart w:id="1085" w:name="_Toc243922821"/>
      <w:bookmarkEnd w:id="1082"/>
      <w:bookmarkEnd w:id="1083"/>
      <w:r>
        <w:t>White space</w:t>
      </w:r>
      <w:bookmarkEnd w:id="1084"/>
      <w:bookmarkEnd w:id="1085"/>
    </w:p>
    <w:p w14:paraId="2EC065DB" w14:textId="77777777">
      <w:r>
        <w:t xml:space="preserve">In coding terminology, white space (or whitespace) means a blank space in a document, i.e. any combination of spaces, tabs and new line </w:t>
      </w:r>
      <w:r>
        <w:rPr>
          <w:noProof/>
        </w:rPr>
        <w:t>(</w:t>
      </w:r>
      <w:r>
        <w:t>carriage return) characters.</w:t>
      </w:r>
      <w:r>
        <w:rPr>
          <w:rStyle w:val="Lbjegyzet-hivatkozs"/>
        </w:rPr>
        <w:footnoteReference w:id="43"/>
      </w:r>
      <w:r>
        <w:t xml:space="preserve"> White space that affects the processing and transformation of an XML document is called significant, while white space that does not is called insignificant. While editing an XML file, take care to use significant white space correctly, adding no more and no less than necessary, to ensure that processing and displaying take place correctly.</w:t>
      </w:r>
    </w:p>
    <w:tbl>
      <w:tblPr>
        <w:tblStyle w:val="CodeSampleTable"/>
        <w:tblpPr w:leftFromText="180" w:rightFromText="180" w:vertAnchor="text" w:tblpXSpec="right" w:tblpY="1"/>
        <w:tblOverlap w:val="never"/>
        <w:tblW w:w="3690" w:type="dxa"/>
        <w:jc w:val="right"/>
        <w:tblLook w:val="04A0" w:firstRow="1" w:lastRow="0" w:firstColumn="1" w:lastColumn="0" w:noHBand="0" w:noVBand="1"/>
      </w:tblPr>
      <w:tblGrid>
        <w:gridCol w:w="288"/>
        <w:gridCol w:w="3402"/>
      </w:tblGrid>
      <w:tr w14:paraId="5BD270F1" w14:textId="77777777">
        <w:trPr>
          <w:cnfStyle w:val="100000000000" w:firstRow="1" w:lastRow="0" w:firstColumn="0" w:lastColumn="0" w:oddVBand="0" w:evenVBand="0" w:oddHBand="0" w:evenHBand="0" w:firstRowFirstColumn="0" w:firstRowLastColumn="0" w:lastRowFirstColumn="0" w:lastRowLastColumn="0"/>
          <w:jc w:val="right"/>
        </w:trPr>
        <w:tc>
          <w:tcPr>
            <w:tcW w:w="3690" w:type="dxa"/>
            <w:gridSpan w:val="2"/>
          </w:tcPr>
          <w:p w14:paraId="2610567B" w14:textId="381392FF">
            <w:pPr>
              <w:pStyle w:val="Kpalrs"/>
            </w:pPr>
            <w:bookmarkStart w:id="1086" w:name="_Ref242975031"/>
            <w:bookmarkStart w:id="1087" w:name="_Ref242975027"/>
            <w:r>
              <w:t xml:space="preserve">Exhibit </w:t>
            </w:r>
            <w:fldSimple w:instr=" STYLEREF 2 \s ">
              <w:r>
                <w:rPr>
                  <w:noProof/>
                </w:rPr>
                <w:t>16.1</w:t>
              </w:r>
            </w:fldSimple>
            <w:r>
              <w:t>.</w:t>
            </w:r>
            <w:fldSimple w:instr=" SEQ Exhibit \* ALPHABETIC \s 2 ">
              <w:r>
                <w:rPr>
                  <w:noProof/>
                </w:rPr>
                <w:t>A</w:t>
              </w:r>
            </w:fldSimple>
            <w:bookmarkEnd w:id="1086"/>
            <w:r>
              <w:t>: white space</w:t>
            </w:r>
            <w:bookmarkEnd w:id="1087"/>
            <w:r>
              <w:t xml:space="preserve"> in tags</w:t>
            </w:r>
          </w:p>
        </w:tc>
      </w:tr>
      <w:tr w14:paraId="0CFA51D3" w14:textId="77777777">
        <w:trPr>
          <w:jc w:val="right"/>
        </w:trPr>
        <w:tc>
          <w:tcPr>
            <w:tcW w:w="288" w:type="dxa"/>
            <w:shd w:val="clear" w:color="auto" w:fill="92D050"/>
          </w:tcPr>
          <w:p w14:paraId="3343B999" w14:textId="77777777">
            <w:pPr>
              <w:pStyle w:val="Tabletext"/>
              <w:jc w:val="center"/>
            </w:pPr>
            <w:r>
              <w:t>1</w:t>
            </w:r>
          </w:p>
        </w:tc>
        <w:tc>
          <w:tcPr>
            <w:tcW w:w="3402" w:type="dxa"/>
          </w:tcPr>
          <w:p w14:paraId="4833F993" w14:textId="77777777">
            <w:pPr>
              <w:pStyle w:val="CodeParagraph"/>
              <w:keepNext/>
            </w:pPr>
            <w:r>
              <w:rPr>
                <w:rStyle w:val="Code"/>
              </w:rPr>
              <w:t xml:space="preserve">&lt;lb </w:t>
            </w:r>
            <w:r>
              <w:rPr>
                <w:rStyle w:val="Codeattribute"/>
              </w:rPr>
              <w:t>n</w:t>
            </w:r>
            <w:r>
              <w:rPr>
                <w:rStyle w:val="Code"/>
              </w:rPr>
              <w:t>=</w:t>
            </w:r>
            <w:r>
              <w:rPr>
                <w:rStyle w:val="Codevalue"/>
              </w:rPr>
              <w:t>"1"</w:t>
            </w:r>
            <w:r>
              <w:rPr>
                <w:rStyle w:val="Code"/>
              </w:rPr>
              <w:t xml:space="preserve"> </w:t>
            </w:r>
            <w:r>
              <w:rPr>
                <w:rStyle w:val="Codeattribute"/>
              </w:rPr>
              <w:t>break</w:t>
            </w:r>
            <w:r>
              <w:rPr>
                <w:rStyle w:val="Code"/>
              </w:rPr>
              <w:t>=</w:t>
            </w:r>
            <w:r>
              <w:rPr>
                <w:rStyle w:val="Codevalue"/>
              </w:rPr>
              <w:t>"no"</w:t>
            </w:r>
            <w:r>
              <w:rPr>
                <w:rStyle w:val="Code"/>
              </w:rPr>
              <w:t>/&gt;</w:t>
            </w:r>
          </w:p>
        </w:tc>
      </w:tr>
      <w:tr w14:paraId="64F4DEFF" w14:textId="77777777">
        <w:trPr>
          <w:jc w:val="right"/>
        </w:trPr>
        <w:tc>
          <w:tcPr>
            <w:tcW w:w="288" w:type="dxa"/>
            <w:shd w:val="clear" w:color="auto" w:fill="92D050"/>
          </w:tcPr>
          <w:p w14:paraId="7A21C1D3" w14:textId="77777777">
            <w:pPr>
              <w:pStyle w:val="Tabletext"/>
              <w:jc w:val="center"/>
            </w:pPr>
            <w:r>
              <w:t>2</w:t>
            </w:r>
          </w:p>
        </w:tc>
        <w:tc>
          <w:tcPr>
            <w:tcW w:w="3402" w:type="dxa"/>
          </w:tcPr>
          <w:p w14:paraId="7C15A200" w14:textId="77777777">
            <w:pPr>
              <w:pStyle w:val="CodeParagraph"/>
              <w:keepNext/>
              <w:rPr>
                <w:rStyle w:val="Code"/>
              </w:rPr>
            </w:pPr>
            <w:r>
              <w:rPr>
                <w:rStyle w:val="Code"/>
              </w:rPr>
              <w:t xml:space="preserve">&lt;lb      </w:t>
            </w:r>
            <w:r>
              <w:rPr>
                <w:rStyle w:val="Codeattribute"/>
              </w:rPr>
              <w:t>n</w:t>
            </w:r>
            <w:r>
              <w:rPr>
                <w:rStyle w:val="Code"/>
              </w:rPr>
              <w:t>=</w:t>
            </w:r>
            <w:r>
              <w:rPr>
                <w:rStyle w:val="Codevalue"/>
              </w:rPr>
              <w:t>"1"</w:t>
            </w:r>
            <w:r>
              <w:rPr>
                <w:rStyle w:val="Code"/>
              </w:rPr>
              <w:t xml:space="preserve"> </w:t>
            </w:r>
            <w:r>
              <w:rPr>
                <w:rStyle w:val="Codeattribute"/>
              </w:rPr>
              <w:t xml:space="preserve">break </w:t>
            </w:r>
            <w:r>
              <w:rPr>
                <w:rStyle w:val="Code"/>
              </w:rPr>
              <w:t xml:space="preserve">= </w:t>
            </w:r>
            <w:r>
              <w:rPr>
                <w:rStyle w:val="Codevalue"/>
              </w:rPr>
              <w:t xml:space="preserve">"no" </w:t>
            </w:r>
            <w:r>
              <w:rPr>
                <w:rStyle w:val="Code"/>
              </w:rPr>
              <w:t>/ &gt;</w:t>
            </w:r>
          </w:p>
        </w:tc>
      </w:tr>
      <w:tr w14:paraId="23A4957C" w14:textId="77777777">
        <w:trPr>
          <w:jc w:val="right"/>
        </w:trPr>
        <w:tc>
          <w:tcPr>
            <w:tcW w:w="288" w:type="dxa"/>
            <w:shd w:val="clear" w:color="auto" w:fill="92D050"/>
          </w:tcPr>
          <w:p w14:paraId="211BC65D" w14:textId="77777777">
            <w:pPr>
              <w:pStyle w:val="Tabletext"/>
              <w:jc w:val="center"/>
            </w:pPr>
            <w:r>
              <w:t>3</w:t>
            </w:r>
          </w:p>
        </w:tc>
        <w:tc>
          <w:tcPr>
            <w:tcW w:w="3402" w:type="dxa"/>
          </w:tcPr>
          <w:p w14:paraId="41959C93" w14:textId="77777777">
            <w:pPr>
              <w:pStyle w:val="CodeParagraph"/>
              <w:keepNext/>
              <w:rPr>
                <w:rStyle w:val="Code"/>
              </w:rPr>
            </w:pPr>
            <w:r>
              <w:rPr>
                <w:rStyle w:val="Code"/>
              </w:rPr>
              <w:t>&lt;lb</w:t>
            </w:r>
            <w:r>
              <w:rPr>
                <w:rStyle w:val="Code"/>
              </w:rPr>
              <w:br/>
            </w:r>
            <w:r>
              <w:rPr>
                <w:rStyle w:val="Codeattribute"/>
              </w:rPr>
              <w:t>n</w:t>
            </w:r>
            <w:r>
              <w:rPr>
                <w:rStyle w:val="Code"/>
              </w:rPr>
              <w:t>=</w:t>
            </w:r>
            <w:r>
              <w:rPr>
                <w:rStyle w:val="Codevalue"/>
              </w:rPr>
              <w:t>"1"</w:t>
            </w:r>
            <w:r>
              <w:rPr>
                <w:rStyle w:val="Code"/>
              </w:rPr>
              <w:br/>
            </w:r>
            <w:r>
              <w:rPr>
                <w:rStyle w:val="Codeattribute"/>
              </w:rPr>
              <w:t>break</w:t>
            </w:r>
            <w:r>
              <w:rPr>
                <w:rStyle w:val="Code"/>
              </w:rPr>
              <w:t>=</w:t>
            </w:r>
            <w:r>
              <w:rPr>
                <w:rStyle w:val="Codevalue"/>
              </w:rPr>
              <w:t>"no"</w:t>
            </w:r>
            <w:r>
              <w:rPr>
                <w:rStyle w:val="Code"/>
              </w:rPr>
              <w:t>/&gt;</w:t>
            </w:r>
          </w:p>
        </w:tc>
      </w:tr>
      <w:tr w14:paraId="53A0E430" w14:textId="77777777">
        <w:trPr>
          <w:jc w:val="right"/>
        </w:trPr>
        <w:tc>
          <w:tcPr>
            <w:tcW w:w="288" w:type="dxa"/>
            <w:shd w:val="clear" w:color="auto" w:fill="C00000"/>
          </w:tcPr>
          <w:p w14:paraId="7C0786F7" w14:textId="77777777">
            <w:pPr>
              <w:pStyle w:val="Tabletext"/>
              <w:jc w:val="center"/>
            </w:pPr>
            <w:r>
              <w:t>4</w:t>
            </w:r>
          </w:p>
        </w:tc>
        <w:tc>
          <w:tcPr>
            <w:tcW w:w="3402" w:type="dxa"/>
          </w:tcPr>
          <w:p w14:paraId="47D1B887" w14:textId="77777777">
            <w:pPr>
              <w:pStyle w:val="CodeParagraph"/>
              <w:keepNext/>
              <w:rPr>
                <w:rStyle w:val="Code"/>
              </w:rPr>
            </w:pPr>
            <w:r>
              <w:rPr>
                <w:rStyle w:val="Code"/>
              </w:rPr>
              <w:t xml:space="preserve">&lt;lb </w:t>
            </w:r>
            <w:r>
              <w:rPr>
                <w:rStyle w:val="Codeattribute"/>
              </w:rPr>
              <w:t>n</w:t>
            </w:r>
            <w:r>
              <w:rPr>
                <w:rStyle w:val="Code"/>
              </w:rPr>
              <w:t>=</w:t>
            </w:r>
            <w:r>
              <w:rPr>
                <w:rStyle w:val="Codevalue"/>
              </w:rPr>
              <w:t>"1"</w:t>
            </w:r>
            <w:r>
              <w:rPr>
                <w:rStyle w:val="Codeattribute"/>
              </w:rPr>
              <w:t>break</w:t>
            </w:r>
            <w:r>
              <w:rPr>
                <w:rStyle w:val="Code"/>
              </w:rPr>
              <w:t>=</w:t>
            </w:r>
            <w:r>
              <w:rPr>
                <w:rStyle w:val="Codevalue"/>
              </w:rPr>
              <w:t>"no"</w:t>
            </w:r>
            <w:r>
              <w:rPr>
                <w:rStyle w:val="Code"/>
              </w:rPr>
              <w:t>/&gt;</w:t>
            </w:r>
          </w:p>
        </w:tc>
      </w:tr>
      <w:tr w14:paraId="0914147F" w14:textId="77777777">
        <w:trPr>
          <w:jc w:val="right"/>
        </w:trPr>
        <w:tc>
          <w:tcPr>
            <w:tcW w:w="288" w:type="dxa"/>
            <w:shd w:val="clear" w:color="auto" w:fill="C00000"/>
          </w:tcPr>
          <w:p w14:paraId="5E5EFAC6" w14:textId="77777777">
            <w:pPr>
              <w:pStyle w:val="Tabletext"/>
              <w:jc w:val="center"/>
            </w:pPr>
            <w:r>
              <w:t>5</w:t>
            </w:r>
          </w:p>
        </w:tc>
        <w:tc>
          <w:tcPr>
            <w:tcW w:w="3402" w:type="dxa"/>
          </w:tcPr>
          <w:p w14:paraId="7CC76900" w14:textId="77777777">
            <w:pPr>
              <w:pStyle w:val="CodeParagraph"/>
              <w:keepNext/>
              <w:rPr>
                <w:rStyle w:val="Code"/>
              </w:rPr>
            </w:pPr>
            <w:r>
              <w:rPr>
                <w:rStyle w:val="Code"/>
              </w:rPr>
              <w:t xml:space="preserve">&lt;lb </w:t>
            </w:r>
            <w:r>
              <w:rPr>
                <w:rStyle w:val="Codeattribute"/>
              </w:rPr>
              <w:t>n</w:t>
            </w:r>
            <w:r>
              <w:rPr>
                <w:rStyle w:val="Code"/>
              </w:rPr>
              <w:t>=</w:t>
            </w:r>
            <w:r>
              <w:rPr>
                <w:rStyle w:val="Codevalue"/>
              </w:rPr>
              <w:t>" 1"</w:t>
            </w:r>
            <w:r>
              <w:rPr>
                <w:rStyle w:val="Code"/>
              </w:rPr>
              <w:t xml:space="preserve"> </w:t>
            </w:r>
            <w:r>
              <w:rPr>
                <w:rStyle w:val="Codeattribute"/>
              </w:rPr>
              <w:t>break</w:t>
            </w:r>
            <w:r>
              <w:rPr>
                <w:rStyle w:val="Code"/>
              </w:rPr>
              <w:t>=</w:t>
            </w:r>
            <w:r>
              <w:rPr>
                <w:rStyle w:val="Codevalue"/>
              </w:rPr>
              <w:t>"no"</w:t>
            </w:r>
            <w:r>
              <w:rPr>
                <w:rStyle w:val="Code"/>
              </w:rPr>
              <w:t>/&gt;</w:t>
            </w:r>
          </w:p>
        </w:tc>
      </w:tr>
      <w:tr w14:paraId="7B04B865" w14:textId="77777777">
        <w:trPr>
          <w:jc w:val="right"/>
        </w:trPr>
        <w:tc>
          <w:tcPr>
            <w:tcW w:w="288" w:type="dxa"/>
            <w:shd w:val="clear" w:color="auto" w:fill="C00000"/>
          </w:tcPr>
          <w:p w14:paraId="62630A66" w14:textId="77777777">
            <w:pPr>
              <w:pStyle w:val="Tabletext"/>
              <w:jc w:val="center"/>
            </w:pPr>
            <w:r>
              <w:t>6</w:t>
            </w:r>
          </w:p>
        </w:tc>
        <w:tc>
          <w:tcPr>
            <w:tcW w:w="3402" w:type="dxa"/>
          </w:tcPr>
          <w:p w14:paraId="0C92E916" w14:textId="77777777">
            <w:pPr>
              <w:pStyle w:val="CodeParagraph"/>
              <w:keepNext/>
              <w:rPr>
                <w:rStyle w:val="Code"/>
              </w:rPr>
            </w:pPr>
            <w:r>
              <w:rPr>
                <w:rStyle w:val="Code"/>
              </w:rPr>
              <w:t xml:space="preserve">&lt;lb </w:t>
            </w:r>
            <w:r>
              <w:rPr>
                <w:rStyle w:val="Codeattribute"/>
              </w:rPr>
              <w:t>n</w:t>
            </w:r>
            <w:r>
              <w:rPr>
                <w:rStyle w:val="Code"/>
              </w:rPr>
              <w:t>=</w:t>
            </w:r>
            <w:r>
              <w:rPr>
                <w:rStyle w:val="Codevalue"/>
              </w:rPr>
              <w:t>"1"</w:t>
            </w:r>
            <w:r>
              <w:rPr>
                <w:rStyle w:val="Code"/>
              </w:rPr>
              <w:t xml:space="preserve"> </w:t>
            </w:r>
            <w:r>
              <w:rPr>
                <w:rStyle w:val="Codeattribute"/>
              </w:rPr>
              <w:t>break</w:t>
            </w:r>
            <w:r>
              <w:rPr>
                <w:rStyle w:val="Code"/>
              </w:rPr>
              <w:t>=</w:t>
            </w:r>
            <w:r>
              <w:rPr>
                <w:rStyle w:val="Codevalue"/>
              </w:rPr>
              <w:t>"no "</w:t>
            </w:r>
            <w:r>
              <w:rPr>
                <w:rStyle w:val="Code"/>
              </w:rPr>
              <w:t>/&gt;</w:t>
            </w:r>
          </w:p>
        </w:tc>
      </w:tr>
    </w:tbl>
    <w:p w14:paraId="7F22FEDD" w14:textId="77777777">
      <w:pPr>
        <w:pStyle w:val="Lista"/>
      </w:pPr>
      <w:r>
        <w:t>white space inside XML tags is as generally insignificant</w:t>
      </w:r>
    </w:p>
    <w:p w14:paraId="7C984E01" w14:textId="19941B9D">
      <w:pPr>
        <w:pStyle w:val="Lista2"/>
      </w:pPr>
      <w:r>
        <w:t xml:space="preserve">thus, rows 1 through 3 in </w:t>
      </w:r>
      <w:r>
        <w:fldChar w:fldCharType="begin"/>
      </w:r>
      <w:r>
        <w:instrText xml:space="preserve"> REF _Ref242975031 \h </w:instrText>
      </w:r>
      <w:r>
        <w:fldChar w:fldCharType="separate"/>
      </w:r>
      <w:r>
        <w:t xml:space="preserve">Exhibit </w:t>
      </w:r>
      <w:r>
        <w:rPr>
          <w:noProof/>
        </w:rPr>
        <w:t>16.1</w:t>
      </w:r>
      <w:r>
        <w:t>.</w:t>
      </w:r>
      <w:r>
        <w:rPr>
          <w:noProof/>
        </w:rPr>
        <w:t>A</w:t>
      </w:r>
      <w:r>
        <w:fldChar w:fldCharType="end"/>
      </w:r>
      <w:r>
        <w:t xml:space="preserve"> are equivalent</w:t>
      </w:r>
    </w:p>
    <w:p w14:paraId="79F587F4" w14:textId="25D6E361">
      <w:pPr>
        <w:pStyle w:val="Lista2"/>
      </w:pPr>
      <w:r>
        <w:t xml:space="preserve">some form of white space must, however, be present before all attribute names, so the code in row 4 of </w:t>
      </w:r>
      <w:r>
        <w:fldChar w:fldCharType="begin"/>
      </w:r>
      <w:r>
        <w:instrText xml:space="preserve"> REF _Ref242975031 \h </w:instrText>
      </w:r>
      <w:r>
        <w:fldChar w:fldCharType="separate"/>
      </w:r>
      <w:r>
        <w:t xml:space="preserve">Exhibit </w:t>
      </w:r>
      <w:r>
        <w:rPr>
          <w:noProof/>
        </w:rPr>
        <w:t>16.1</w:t>
      </w:r>
      <w:r>
        <w:t>.</w:t>
      </w:r>
      <w:r>
        <w:rPr>
          <w:noProof/>
        </w:rPr>
        <w:t>A</w:t>
      </w:r>
      <w:r>
        <w:fldChar w:fldCharType="end"/>
      </w:r>
      <w:r>
        <w:t xml:space="preserve"> is not equivalent to those above: it is incorrect XML because it has no space before the second attribute</w:t>
      </w:r>
    </w:p>
    <w:p w14:paraId="5B6D84C4" w14:textId="577BCEC1">
      <w:pPr>
        <w:pStyle w:val="Lista2"/>
      </w:pPr>
      <w:r>
        <w:t xml:space="preserve">white space within attribute values is significant, so the code in rows 5 and 6 of </w:t>
      </w:r>
      <w:r>
        <w:fldChar w:fldCharType="begin"/>
      </w:r>
      <w:r>
        <w:instrText xml:space="preserve"> REF _Ref242975031 \h </w:instrText>
      </w:r>
      <w:r>
        <w:fldChar w:fldCharType="separate"/>
      </w:r>
      <w:r>
        <w:t xml:space="preserve">Exhibit </w:t>
      </w:r>
      <w:r>
        <w:rPr>
          <w:noProof/>
        </w:rPr>
        <w:t>16.1</w:t>
      </w:r>
      <w:r>
        <w:t>.</w:t>
      </w:r>
      <w:r>
        <w:rPr>
          <w:noProof/>
        </w:rPr>
        <w:t>A</w:t>
      </w:r>
      <w:r>
        <w:fldChar w:fldCharType="end"/>
      </w:r>
      <w:r>
        <w:t xml:space="preserve"> are also not equivalent to those above</w:t>
      </w:r>
    </w:p>
    <w:p w14:paraId="138B270D" w14:textId="77777777">
      <w:pPr>
        <w:pStyle w:val="Lista3"/>
      </w:pPr>
      <w:r>
        <w:t xml:space="preserve">the value </w:t>
      </w:r>
      <w:r>
        <w:rPr>
          <w:rStyle w:val="Codevalue"/>
        </w:rPr>
        <w:t>" 1"</w:t>
      </w:r>
      <w:r>
        <w:t xml:space="preserve"> in row 5 begins with a space, which is valid, but different from </w:t>
      </w:r>
      <w:r>
        <w:rPr>
          <w:rStyle w:val="Codevalue"/>
        </w:rPr>
        <w:t>"1"</w:t>
      </w:r>
    </w:p>
    <w:p w14:paraId="5C65DB03" w14:textId="77777777">
      <w:pPr>
        <w:pStyle w:val="Lista3"/>
      </w:pPr>
      <w:r>
        <w:t xml:space="preserve">the value </w:t>
      </w:r>
      <w:r>
        <w:rPr>
          <w:rStyle w:val="Codevalue"/>
        </w:rPr>
        <w:t>"no "</w:t>
      </w:r>
      <w:r>
        <w:t xml:space="preserve"> in row 6 has a space at the end, which is not meaningful in TEI</w:t>
      </w:r>
    </w:p>
    <w:tbl>
      <w:tblPr>
        <w:tblStyle w:val="CodeSampleTable"/>
        <w:tblpPr w:leftFromText="180" w:rightFromText="180" w:vertAnchor="text" w:tblpXSpec="right" w:tblpY="1"/>
        <w:tblOverlap w:val="never"/>
        <w:tblW w:w="4536" w:type="dxa"/>
        <w:jc w:val="right"/>
        <w:tblLook w:val="04A0" w:firstRow="1" w:lastRow="0" w:firstColumn="1" w:lastColumn="0" w:noHBand="0" w:noVBand="1"/>
      </w:tblPr>
      <w:tblGrid>
        <w:gridCol w:w="284"/>
        <w:gridCol w:w="4252"/>
      </w:tblGrid>
      <w:tr w14:paraId="0F4DA499" w14:textId="77777777">
        <w:trPr>
          <w:cnfStyle w:val="100000000000" w:firstRow="1" w:lastRow="0" w:firstColumn="0" w:lastColumn="0" w:oddVBand="0" w:evenVBand="0" w:oddHBand="0" w:evenHBand="0" w:firstRowFirstColumn="0" w:firstRowLastColumn="0" w:lastRowFirstColumn="0" w:lastRowLastColumn="0"/>
          <w:jc w:val="right"/>
        </w:trPr>
        <w:tc>
          <w:tcPr>
            <w:tcW w:w="4536" w:type="dxa"/>
            <w:gridSpan w:val="2"/>
          </w:tcPr>
          <w:p w14:paraId="4A8FF242" w14:textId="7B06A455">
            <w:pPr>
              <w:pStyle w:val="Kpalrs"/>
            </w:pPr>
            <w:bookmarkStart w:id="1088" w:name="_Ref242975596"/>
            <w:r>
              <w:t xml:space="preserve">Exhibit </w:t>
            </w:r>
            <w:fldSimple w:instr=" STYLEREF 2 \s ">
              <w:r>
                <w:rPr>
                  <w:noProof/>
                </w:rPr>
                <w:t>16.1</w:t>
              </w:r>
            </w:fldSimple>
            <w:r>
              <w:t>.</w:t>
            </w:r>
            <w:fldSimple w:instr=" SEQ Exhibit \* ALPHABETIC \s 2 ">
              <w:r>
                <w:rPr>
                  <w:noProof/>
                </w:rPr>
                <w:t>B</w:t>
              </w:r>
            </w:fldSimple>
            <w:bookmarkEnd w:id="1088"/>
            <w:r>
              <w:t>: white space in elements without text</w:t>
            </w:r>
          </w:p>
        </w:tc>
      </w:tr>
      <w:tr w14:paraId="5D3E51F6" w14:textId="77777777">
        <w:trPr>
          <w:jc w:val="right"/>
        </w:trPr>
        <w:tc>
          <w:tcPr>
            <w:tcW w:w="284" w:type="dxa"/>
            <w:shd w:val="clear" w:color="auto" w:fill="92D050"/>
          </w:tcPr>
          <w:p w14:paraId="30B03429" w14:textId="77777777">
            <w:pPr>
              <w:pStyle w:val="Tabletext"/>
              <w:jc w:val="center"/>
            </w:pPr>
            <w:r>
              <w:t>1</w:t>
            </w:r>
          </w:p>
        </w:tc>
        <w:tc>
          <w:tcPr>
            <w:tcW w:w="4182" w:type="dxa"/>
          </w:tcPr>
          <w:p w14:paraId="72CDD3AC" w14:textId="77777777">
            <w:pPr>
              <w:pStyle w:val="CodeParagraph"/>
              <w:keepNext/>
            </w:pPr>
            <w:r>
              <w:rPr>
                <w:rStyle w:val="Code"/>
              </w:rPr>
              <w:t xml:space="preserve">&lt;p&gt;&lt;lb </w:t>
            </w:r>
            <w:r>
              <w:rPr>
                <w:rStyle w:val="Codeattribute"/>
              </w:rPr>
              <w:t>n</w:t>
            </w:r>
            <w:r>
              <w:rPr>
                <w:rStyle w:val="Code"/>
              </w:rPr>
              <w:t>=</w:t>
            </w:r>
            <w:r>
              <w:rPr>
                <w:rStyle w:val="Codevalue"/>
              </w:rPr>
              <w:t>"1"</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/&gt;&lt;/p&gt;</w:t>
            </w:r>
          </w:p>
        </w:tc>
      </w:tr>
      <w:tr w14:paraId="40215EE8" w14:textId="77777777">
        <w:trPr>
          <w:jc w:val="right"/>
        </w:trPr>
        <w:tc>
          <w:tcPr>
            <w:tcW w:w="284" w:type="dxa"/>
            <w:shd w:val="clear" w:color="auto" w:fill="92D050"/>
          </w:tcPr>
          <w:p w14:paraId="3ADB3A89" w14:textId="77777777">
            <w:pPr>
              <w:pStyle w:val="Tabletext"/>
              <w:jc w:val="center"/>
            </w:pPr>
            <w:r>
              <w:t>2</w:t>
            </w:r>
          </w:p>
        </w:tc>
        <w:tc>
          <w:tcPr>
            <w:tcW w:w="4182" w:type="dxa"/>
          </w:tcPr>
          <w:p w14:paraId="07617064" w14:textId="77777777">
            <w:pPr>
              <w:pStyle w:val="CodeParagraph"/>
              <w:keepNext/>
              <w:rPr>
                <w:rStyle w:val="Code"/>
              </w:rPr>
            </w:pPr>
            <w:r>
              <w:rPr>
                <w:rStyle w:val="Code"/>
              </w:rPr>
              <w:t xml:space="preserve">&lt;p&gt; &lt;lb </w:t>
            </w:r>
            <w:r>
              <w:rPr>
                <w:rStyle w:val="Codeattribute"/>
              </w:rPr>
              <w:t>n</w:t>
            </w:r>
            <w:r>
              <w:rPr>
                <w:rStyle w:val="Code"/>
              </w:rPr>
              <w:t>=</w:t>
            </w:r>
            <w:r>
              <w:rPr>
                <w:rStyle w:val="Codevalue"/>
              </w:rPr>
              <w:t>"1"</w:t>
            </w:r>
            <w:r>
              <w:rPr>
                <w:rStyle w:val="Code"/>
              </w:rPr>
              <w:t xml:space="preserve">/&gt;      &lt;gap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/&gt;   &lt;/p&gt;</w:t>
            </w:r>
          </w:p>
        </w:tc>
      </w:tr>
      <w:tr w14:paraId="20E34831" w14:textId="77777777">
        <w:trPr>
          <w:jc w:val="right"/>
        </w:trPr>
        <w:tc>
          <w:tcPr>
            <w:tcW w:w="284" w:type="dxa"/>
            <w:shd w:val="clear" w:color="auto" w:fill="92D050"/>
          </w:tcPr>
          <w:p w14:paraId="5B42B50F" w14:textId="77777777">
            <w:pPr>
              <w:pStyle w:val="Tabletext"/>
              <w:jc w:val="center"/>
            </w:pPr>
            <w:r>
              <w:t>3</w:t>
            </w:r>
          </w:p>
        </w:tc>
        <w:tc>
          <w:tcPr>
            <w:tcW w:w="4182" w:type="dxa"/>
          </w:tcPr>
          <w:p w14:paraId="2928E4EE" w14:textId="77777777">
            <w:pPr>
              <w:pStyle w:val="CodeParagraph"/>
              <w:keepNext/>
              <w:rPr>
                <w:rStyle w:val="Code"/>
              </w:rPr>
            </w:pPr>
            <w:r>
              <w:rPr>
                <w:rStyle w:val="Code"/>
              </w:rPr>
              <w:t>&lt;p&gt;</w:t>
            </w:r>
            <w:r>
              <w:rPr>
                <w:rStyle w:val="Code"/>
              </w:rPr>
              <w:br/>
              <w:t xml:space="preserve">&lt;lb </w:t>
            </w:r>
            <w:r>
              <w:rPr>
                <w:rStyle w:val="Codeattribute"/>
              </w:rPr>
              <w:t>n</w:t>
            </w:r>
            <w:r>
              <w:rPr>
                <w:rStyle w:val="Code"/>
              </w:rPr>
              <w:t>=</w:t>
            </w:r>
            <w:r>
              <w:rPr>
                <w:rStyle w:val="Codevalue"/>
              </w:rPr>
              <w:t>"1"</w:t>
            </w:r>
            <w:r>
              <w:rPr>
                <w:rStyle w:val="Code"/>
              </w:rPr>
              <w:t>/&gt;</w:t>
            </w:r>
            <w:r>
              <w:rPr>
                <w:rStyle w:val="Code"/>
              </w:rPr>
              <w:br/>
              <w:t xml:space="preserve">&lt;gap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/&gt;</w:t>
            </w:r>
            <w:r>
              <w:rPr>
                <w:rStyle w:val="Code"/>
              </w:rPr>
              <w:br/>
              <w:t>&lt;/p&gt;</w:t>
            </w:r>
          </w:p>
        </w:tc>
      </w:tr>
    </w:tbl>
    <w:p w14:paraId="4A554F73" w14:textId="77777777">
      <w:pPr>
        <w:pStyle w:val="Lista"/>
      </w:pPr>
      <w:r>
        <w:t>when an element contains only other elements and white space, this space is as a rule insignificant</w:t>
      </w:r>
    </w:p>
    <w:p w14:paraId="45D5CBD7" w14:textId="3168A0F9">
      <w:pPr>
        <w:pStyle w:val="Lista2"/>
      </w:pPr>
      <w:r>
        <w:t xml:space="preserve">thus, each of the rows in </w:t>
      </w:r>
      <w:r>
        <w:fldChar w:fldCharType="begin"/>
      </w:r>
      <w:r>
        <w:instrText xml:space="preserve"> REF _Ref242975596 \h </w:instrText>
      </w:r>
      <w:r>
        <w:fldChar w:fldCharType="separate"/>
      </w:r>
      <w:r>
        <w:t xml:space="preserve">Exhibit </w:t>
      </w:r>
      <w:r>
        <w:rPr>
          <w:noProof/>
        </w:rPr>
        <w:t>16.1</w:t>
      </w:r>
      <w:r>
        <w:t>.</w:t>
      </w:r>
      <w:r>
        <w:rPr>
          <w:noProof/>
        </w:rPr>
        <w:t>B</w:t>
      </w:r>
      <w:r>
        <w:fldChar w:fldCharType="end"/>
      </w:r>
      <w:r>
        <w:t xml:space="preserve"> perfectly equivalent</w:t>
      </w:r>
    </w:p>
    <w:p w14:paraId="35F9C183" w14:textId="77777777">
      <w:pPr>
        <w:pStyle w:val="Lista"/>
      </w:pPr>
      <w:r>
        <w:t>the handling of white space within text-containing elements is a complex matter controlled by the software processing and transforming the XML document; for our purposes</w:t>
      </w:r>
    </w:p>
    <w:p w14:paraId="4981803A" w14:textId="77777777">
      <w:pPr>
        <w:pStyle w:val="Lista2"/>
      </w:pPr>
      <w:r>
        <w:t xml:space="preserve">in general, white space in content is significant, but it is </w:t>
      </w:r>
      <w:r>
        <w:rPr>
          <w:rStyle w:val="Foreign"/>
        </w:rPr>
        <w:t>collapsed</w:t>
      </w:r>
      <w:r>
        <w:t xml:space="preserve"> and </w:t>
      </w:r>
      <w:r>
        <w:rPr>
          <w:rStyle w:val="Foreign"/>
        </w:rPr>
        <w:t>trimmed</w:t>
      </w:r>
      <w:r>
        <w:t xml:space="preserve"> in the course of processing</w:t>
      </w:r>
    </w:p>
    <w:tbl>
      <w:tblPr>
        <w:tblStyle w:val="CodeSampleTable"/>
        <w:tblpPr w:leftFromText="180" w:rightFromText="180" w:vertAnchor="text" w:tblpXSpec="right" w:tblpY="1"/>
        <w:tblOverlap w:val="never"/>
        <w:tblW w:w="4536" w:type="dxa"/>
        <w:jc w:val="right"/>
        <w:tblLook w:val="04A0" w:firstRow="1" w:lastRow="0" w:firstColumn="1" w:lastColumn="0" w:noHBand="0" w:noVBand="1"/>
      </w:tblPr>
      <w:tblGrid>
        <w:gridCol w:w="284"/>
        <w:gridCol w:w="4252"/>
      </w:tblGrid>
      <w:tr w14:paraId="7758D68E" w14:textId="77777777">
        <w:trPr>
          <w:cnfStyle w:val="100000000000" w:firstRow="1" w:lastRow="0" w:firstColumn="0" w:lastColumn="0" w:oddVBand="0" w:evenVBand="0" w:oddHBand="0" w:evenHBand="0" w:firstRowFirstColumn="0" w:firstRowLastColumn="0" w:lastRowFirstColumn="0" w:lastRowLastColumn="0"/>
          <w:jc w:val="right"/>
        </w:trPr>
        <w:tc>
          <w:tcPr>
            <w:tcW w:w="4536" w:type="dxa"/>
            <w:gridSpan w:val="2"/>
          </w:tcPr>
          <w:p w14:paraId="08210F69" w14:textId="1339193E">
            <w:pPr>
              <w:pStyle w:val="Kpalrs"/>
            </w:pPr>
            <w:bookmarkStart w:id="1089" w:name="_Ref242975692"/>
            <w:r>
              <w:t xml:space="preserve">Exhibit </w:t>
            </w:r>
            <w:fldSimple w:instr=" STYLEREF 2 \s ">
              <w:r>
                <w:rPr>
                  <w:noProof/>
                </w:rPr>
                <w:t>16.1</w:t>
              </w:r>
            </w:fldSimple>
            <w:r>
              <w:t>.</w:t>
            </w:r>
            <w:fldSimple w:instr=" SEQ Exhibit \* ALPHABETIC \s 2 ">
              <w:r>
                <w:rPr>
                  <w:noProof/>
                </w:rPr>
                <w:t>C</w:t>
              </w:r>
            </w:fldSimple>
            <w:bookmarkEnd w:id="1089"/>
            <w:r>
              <w:t>: white space in elements with text</w:t>
            </w:r>
          </w:p>
        </w:tc>
      </w:tr>
      <w:tr w14:paraId="46074FEE" w14:textId="77777777">
        <w:trPr>
          <w:jc w:val="right"/>
        </w:trPr>
        <w:tc>
          <w:tcPr>
            <w:tcW w:w="284" w:type="dxa"/>
            <w:shd w:val="clear" w:color="auto" w:fill="92D050"/>
          </w:tcPr>
          <w:p w14:paraId="262BF442" w14:textId="77777777">
            <w:pPr>
              <w:pStyle w:val="Tabletext"/>
              <w:jc w:val="center"/>
            </w:pPr>
            <w:r>
              <w:t>1</w:t>
            </w:r>
          </w:p>
        </w:tc>
        <w:tc>
          <w:tcPr>
            <w:tcW w:w="4182" w:type="dxa"/>
          </w:tcPr>
          <w:p w14:paraId="7F464663" w14:textId="77777777">
            <w:pPr>
              <w:pStyle w:val="CodeParagraph"/>
              <w:keepNext/>
            </w:pPr>
            <w:r>
              <w:rPr>
                <w:rStyle w:val="Code"/>
              </w:rPr>
              <w:t>&lt;p&gt;</w:t>
            </w:r>
            <w:r>
              <w:rPr>
                <w:rStyle w:val="Codetext"/>
              </w:rPr>
              <w:t>In a hole in the ground there lived a hobbit.</w:t>
            </w:r>
            <w:r>
              <w:rPr>
                <w:rStyle w:val="Code"/>
              </w:rPr>
              <w:t>&lt;/p&gt;</w:t>
            </w:r>
          </w:p>
        </w:tc>
      </w:tr>
      <w:tr w14:paraId="1AD15847" w14:textId="77777777">
        <w:trPr>
          <w:jc w:val="right"/>
        </w:trPr>
        <w:tc>
          <w:tcPr>
            <w:tcW w:w="284" w:type="dxa"/>
            <w:shd w:val="clear" w:color="auto" w:fill="92D050"/>
          </w:tcPr>
          <w:p w14:paraId="219242FE" w14:textId="77777777">
            <w:pPr>
              <w:pStyle w:val="Tabletext"/>
              <w:jc w:val="center"/>
            </w:pPr>
            <w:r>
              <w:t>2</w:t>
            </w:r>
          </w:p>
        </w:tc>
        <w:tc>
          <w:tcPr>
            <w:tcW w:w="4182" w:type="dxa"/>
          </w:tcPr>
          <w:p w14:paraId="0320C279" w14:textId="77777777">
            <w:pPr>
              <w:pStyle w:val="CodeParagraph"/>
              <w:keepNext/>
              <w:rPr>
                <w:rStyle w:val="Code"/>
              </w:rPr>
            </w:pPr>
            <w:r>
              <w:rPr>
                <w:rStyle w:val="Code"/>
              </w:rPr>
              <w:t xml:space="preserve">&lt;p&gt; </w:t>
            </w:r>
            <w:r>
              <w:rPr>
                <w:rStyle w:val="Codetext"/>
              </w:rPr>
              <w:t xml:space="preserve">In   a hole in the ground there lived a hobbit.  </w:t>
            </w:r>
            <w:r>
              <w:rPr>
                <w:rStyle w:val="Code"/>
              </w:rPr>
              <w:t>&lt;/p&gt;</w:t>
            </w:r>
          </w:p>
        </w:tc>
      </w:tr>
      <w:tr w14:paraId="176EF125" w14:textId="77777777">
        <w:trPr>
          <w:jc w:val="right"/>
        </w:trPr>
        <w:tc>
          <w:tcPr>
            <w:tcW w:w="284" w:type="dxa"/>
            <w:shd w:val="clear" w:color="auto" w:fill="92D050"/>
          </w:tcPr>
          <w:p w14:paraId="6C3457BC" w14:textId="77777777">
            <w:pPr>
              <w:pStyle w:val="Tabletext"/>
              <w:jc w:val="center"/>
            </w:pPr>
            <w:r>
              <w:t>3</w:t>
            </w:r>
          </w:p>
        </w:tc>
        <w:tc>
          <w:tcPr>
            <w:tcW w:w="4182" w:type="dxa"/>
          </w:tcPr>
          <w:p w14:paraId="2F16C421" w14:textId="77777777">
            <w:pPr>
              <w:pStyle w:val="CodeParagraph"/>
              <w:keepNext/>
              <w:rPr>
                <w:rStyle w:val="Code"/>
              </w:rPr>
            </w:pPr>
            <w:r>
              <w:rPr>
                <w:rStyle w:val="Code"/>
              </w:rPr>
              <w:t>&lt;p&gt;</w:t>
            </w:r>
            <w:r>
              <w:rPr>
                <w:rStyle w:val="Code"/>
              </w:rPr>
              <w:br/>
            </w:r>
            <w:r>
              <w:rPr>
                <w:rStyle w:val="Codetext"/>
              </w:rPr>
              <w:t xml:space="preserve">In a hole in the ground </w:t>
            </w:r>
            <w:r>
              <w:rPr>
                <w:rStyle w:val="Codetext"/>
              </w:rPr>
              <w:br/>
              <w:t>there lived a hobbit.</w:t>
            </w:r>
            <w:r>
              <w:rPr>
                <w:rStyle w:val="Codetext"/>
              </w:rPr>
              <w:br/>
            </w:r>
            <w:r>
              <w:rPr>
                <w:rStyle w:val="Code"/>
              </w:rPr>
              <w:t>&lt;/p&gt;</w:t>
            </w:r>
          </w:p>
        </w:tc>
      </w:tr>
    </w:tbl>
    <w:p w14:paraId="1625D30A" w14:textId="77777777">
      <w:pPr>
        <w:pStyle w:val="Lista3"/>
      </w:pPr>
      <w:r>
        <w:t>collapsing means that any type and quantity of white space is reduced to a single space character</w:t>
      </w:r>
    </w:p>
    <w:p w14:paraId="441DDBC2" w14:textId="77777777">
      <w:pPr>
        <w:pStyle w:val="Lista3"/>
      </w:pPr>
      <w:r>
        <w:t>trimming means that space is stripped from the beginning and end of the text content of an element</w:t>
      </w:r>
    </w:p>
    <w:p w14:paraId="48847300" w14:textId="3630B507">
      <w:pPr>
        <w:pStyle w:val="Lista2"/>
      </w:pPr>
      <w:r>
        <w:t xml:space="preserve">thus, each of the rows of </w:t>
      </w:r>
      <w:r>
        <w:fldChar w:fldCharType="begin"/>
      </w:r>
      <w:r>
        <w:instrText xml:space="preserve"> REF _Ref242975692 \h </w:instrText>
      </w:r>
      <w:r>
        <w:fldChar w:fldCharType="separate"/>
      </w:r>
      <w:r>
        <w:t xml:space="preserve">Exhibit </w:t>
      </w:r>
      <w:r>
        <w:rPr>
          <w:noProof/>
        </w:rPr>
        <w:t>16.1</w:t>
      </w:r>
      <w:r>
        <w:t>.</w:t>
      </w:r>
      <w:r>
        <w:rPr>
          <w:noProof/>
        </w:rPr>
        <w:t>C</w:t>
      </w:r>
      <w:r>
        <w:fldChar w:fldCharType="end"/>
      </w:r>
      <w:r>
        <w:t xml:space="preserve"> will normally produce the same transformed text</w:t>
      </w:r>
    </w:p>
    <w:p w14:paraId="1C3C9275" w14:textId="77777777">
      <w:pPr>
        <w:pStyle w:val="Lista2"/>
      </w:pPr>
      <w:r>
        <w:t xml:space="preserve">moreover, the transformed text generated from </w:t>
      </w:r>
      <w:r>
        <w:rPr>
          <w:rStyle w:val="Code"/>
        </w:rPr>
        <w:t xml:space="preserve">&lt;p&gt;&lt;lb </w:t>
      </w:r>
      <w:r>
        <w:rPr>
          <w:rStyle w:val="Codeattribute"/>
        </w:rPr>
        <w:t>n</w:t>
      </w:r>
      <w:r>
        <w:rPr>
          <w:rStyle w:val="Code"/>
        </w:rPr>
        <w:t>=</w:t>
      </w:r>
      <w:r>
        <w:rPr>
          <w:rStyle w:val="Codevalue"/>
        </w:rPr>
        <w:t>"1"</w:t>
      </w:r>
      <w:r>
        <w:rPr>
          <w:rStyle w:val="Code"/>
        </w:rPr>
        <w:t>/&gt;</w:t>
      </w:r>
      <w:r>
        <w:rPr>
          <w:rStyle w:val="Codetext"/>
        </w:rPr>
        <w:t xml:space="preserve">In a </w:t>
      </w:r>
      <w:r>
        <w:rPr>
          <w:rStyle w:val="Code"/>
        </w:rPr>
        <w:t>&lt;unclear&gt;</w:t>
      </w:r>
      <w:r>
        <w:rPr>
          <w:rStyle w:val="Codetext"/>
        </w:rPr>
        <w:t>hole</w:t>
      </w:r>
      <w:r>
        <w:rPr>
          <w:rStyle w:val="Code"/>
        </w:rPr>
        <w:t>&lt;/unclear&gt;</w:t>
      </w:r>
      <w:r>
        <w:rPr>
          <w:rStyle w:val="Codetext"/>
        </w:rPr>
        <w:t xml:space="preserve"> </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i</w:t>
      </w:r>
      <w:r>
        <w:rPr>
          <w:rStyle w:val="Code"/>
        </w:rPr>
        <w:t>&lt;/supplied&gt;</w:t>
      </w:r>
      <w:r>
        <w:rPr>
          <w:rStyle w:val="Codetext"/>
        </w:rPr>
        <w:t>n the ground there lived a hobbit</w:t>
      </w:r>
      <w:r>
        <w:rPr>
          <w:rStyle w:val="Code"/>
        </w:rPr>
        <w:t xml:space="preserve">&lt;g </w:t>
      </w:r>
      <w:r>
        <w:rPr>
          <w:rStyle w:val="Codeattribute"/>
        </w:rPr>
        <w:t>ref</w:t>
      </w:r>
      <w:r>
        <w:rPr>
          <w:rStyle w:val="Code"/>
        </w:rPr>
        <w:t>=</w:t>
      </w:r>
      <w:r>
        <w:rPr>
          <w:rStyle w:val="Codevalue"/>
        </w:rPr>
        <w:t>"sym:floret"</w:t>
      </w:r>
      <w:r>
        <w:rPr>
          <w:rStyle w:val="Code"/>
        </w:rPr>
        <w:t>/&gt;</w:t>
      </w:r>
      <w:r>
        <w:rPr>
          <w:rStyle w:val="Codetext"/>
        </w:rPr>
        <w:t>*</w:t>
      </w:r>
      <w:r>
        <w:rPr>
          <w:rStyle w:val="Code"/>
        </w:rPr>
        <w:t>&lt;/g&gt;&lt;/p&gt;</w:t>
      </w:r>
      <w:r>
        <w:t xml:space="preserve"> will normally not be affected by any of the following alterations:</w:t>
      </w:r>
    </w:p>
    <w:p w14:paraId="5ACB429B" w14:textId="77777777">
      <w:pPr>
        <w:pStyle w:val="Lista3"/>
      </w:pPr>
      <w:r>
        <w:rPr>
          <w:rStyle w:val="Code"/>
        </w:rPr>
        <w:t xml:space="preserve">... &lt;unclear&gt;  </w:t>
      </w:r>
      <w:r>
        <w:rPr>
          <w:rStyle w:val="Codetext"/>
        </w:rPr>
        <w:t xml:space="preserve">hole </w:t>
      </w:r>
      <w:r>
        <w:rPr>
          <w:rStyle w:val="Code"/>
        </w:rPr>
        <w:t>&lt;/unclear&gt;</w:t>
      </w:r>
      <w:r>
        <w:rPr>
          <w:rStyle w:val="Codetext"/>
        </w:rPr>
        <w:t xml:space="preserve"> ...</w:t>
      </w:r>
    </w:p>
    <w:p w14:paraId="42C725AD" w14:textId="77777777">
      <w:pPr>
        <w:pStyle w:val="Lista4"/>
      </w:pPr>
      <w:r>
        <w:t xml:space="preserve">the space at the beginning and end of the text content of the </w:t>
      </w:r>
      <w:r>
        <w:rPr>
          <w:rStyle w:val="Code"/>
        </w:rPr>
        <w:t>&lt;unclear&gt;</w:t>
      </w:r>
      <w:r>
        <w:t xml:space="preserve"> element is trimmed</w:t>
      </w:r>
    </w:p>
    <w:p w14:paraId="6CFD30DE" w14:textId="77777777">
      <w:pPr>
        <w:pStyle w:val="Lista3"/>
      </w:pPr>
      <w:r>
        <w:rPr>
          <w:rStyle w:val="Code"/>
        </w:rPr>
        <w:t xml:space="preserve">...&lt;supplied </w:t>
      </w:r>
      <w:r>
        <w:rPr>
          <w:rStyle w:val="Codeattribute"/>
        </w:rPr>
        <w:t>reason</w:t>
      </w:r>
      <w:r>
        <w:rPr>
          <w:rStyle w:val="Code"/>
        </w:rPr>
        <w:t>=</w:t>
      </w:r>
      <w:r>
        <w:rPr>
          <w:rStyle w:val="Codevalue"/>
        </w:rPr>
        <w:t>"omitted"</w:t>
      </w:r>
      <w:r>
        <w:rPr>
          <w:rStyle w:val="Code"/>
        </w:rPr>
        <w:t xml:space="preserve">&gt; </w:t>
      </w:r>
      <w:r>
        <w:rPr>
          <w:rStyle w:val="Codetext"/>
        </w:rPr>
        <w:t xml:space="preserve">i </w:t>
      </w:r>
      <w:r>
        <w:rPr>
          <w:rStyle w:val="Code"/>
        </w:rPr>
        <w:t>&lt;/supplied&gt;</w:t>
      </w:r>
      <w:r>
        <w:rPr>
          <w:rStyle w:val="Codetext"/>
        </w:rPr>
        <w:t>n the...</w:t>
      </w:r>
    </w:p>
    <w:p w14:paraId="48489861" w14:textId="77777777">
      <w:pPr>
        <w:pStyle w:val="Lista4"/>
      </w:pPr>
      <w:r>
        <w:t xml:space="preserve">the space at the beginning and end of the text content of the </w:t>
      </w:r>
      <w:r>
        <w:rPr>
          <w:rStyle w:val="Code"/>
        </w:rPr>
        <w:t>&lt;supplied&gt;</w:t>
      </w:r>
      <w:r>
        <w:t xml:space="preserve"> element is trimmed</w:t>
      </w:r>
    </w:p>
    <w:p w14:paraId="240A9217" w14:textId="77777777">
      <w:pPr>
        <w:pStyle w:val="Lista2"/>
      </w:pPr>
      <w:r>
        <w:t xml:space="preserve">however, each of the following alterations </w:t>
      </w:r>
      <w:r>
        <w:rPr>
          <w:b/>
          <w:bCs/>
        </w:rPr>
        <w:t>will</w:t>
      </w:r>
      <w:r>
        <w:t xml:space="preserve"> affect the output:</w:t>
      </w:r>
    </w:p>
    <w:p w14:paraId="44932F75" w14:textId="77777777">
      <w:pPr>
        <w:pStyle w:val="Lista3"/>
      </w:pPr>
      <w:r>
        <w:rPr>
          <w:rStyle w:val="Code"/>
        </w:rPr>
        <w:t xml:space="preserve">&lt;p&gt;&lt;lb </w:t>
      </w:r>
      <w:r>
        <w:rPr>
          <w:rStyle w:val="Codeattribute"/>
        </w:rPr>
        <w:t>n</w:t>
      </w:r>
      <w:r>
        <w:rPr>
          <w:rStyle w:val="Code"/>
        </w:rPr>
        <w:t>=</w:t>
      </w:r>
      <w:r>
        <w:rPr>
          <w:rStyle w:val="Codevalue"/>
        </w:rPr>
        <w:t>"1"</w:t>
      </w:r>
      <w:r>
        <w:rPr>
          <w:rStyle w:val="Code"/>
        </w:rPr>
        <w:t xml:space="preserve">/&gt; </w:t>
      </w:r>
      <w:r>
        <w:rPr>
          <w:rStyle w:val="Codetext"/>
        </w:rPr>
        <w:t>In a …</w:t>
      </w:r>
    </w:p>
    <w:p w14:paraId="5D9070B2" w14:textId="77777777">
      <w:pPr>
        <w:pStyle w:val="Lista4"/>
      </w:pPr>
      <w:r>
        <w:lastRenderedPageBreak/>
        <w:t xml:space="preserve">the space before “In” will not be trimmed as is not at the beginning of an element’s content (because </w:t>
      </w:r>
      <w:r>
        <w:rPr>
          <w:rStyle w:val="Code"/>
        </w:rPr>
        <w:t>&lt;lb/&gt;</w:t>
      </w:r>
      <w:r>
        <w:t xml:space="preserve"> is not a container, while the container </w:t>
      </w:r>
      <w:r>
        <w:rPr>
          <w:rStyle w:val="Code"/>
        </w:rPr>
        <w:t>&lt;p&gt;</w:t>
      </w:r>
      <w:r>
        <w:t xml:space="preserve">’s content begins with </w:t>
      </w:r>
      <w:r>
        <w:rPr>
          <w:rStyle w:val="Code"/>
        </w:rPr>
        <w:t>&lt;lb/&gt;</w:t>
      </w:r>
      <w:r>
        <w:t>, not with the space)</w:t>
      </w:r>
    </w:p>
    <w:p w14:paraId="09404AAA" w14:textId="77777777">
      <w:pPr>
        <w:pStyle w:val="Lista3"/>
      </w:pPr>
      <w:r>
        <w:rPr>
          <w:rStyle w:val="Code"/>
        </w:rPr>
        <w:t xml:space="preserve">&lt;p&gt;&lt;lb </w:t>
      </w:r>
      <w:r>
        <w:rPr>
          <w:rStyle w:val="Codeattribute"/>
        </w:rPr>
        <w:t>n</w:t>
      </w:r>
      <w:r>
        <w:rPr>
          <w:rStyle w:val="Code"/>
        </w:rPr>
        <w:t>=</w:t>
      </w:r>
      <w:r>
        <w:rPr>
          <w:rStyle w:val="Codevalue"/>
        </w:rPr>
        <w:t>"1"</w:t>
      </w:r>
      <w:r>
        <w:rPr>
          <w:rStyle w:val="Code"/>
        </w:rPr>
        <w:t>/&gt;</w:t>
      </w:r>
      <w:r>
        <w:rPr>
          <w:rStyle w:val="Codetext"/>
        </w:rPr>
        <w:t>In a</w:t>
      </w:r>
      <w:r>
        <w:rPr>
          <w:rStyle w:val="Code"/>
        </w:rPr>
        <w:t xml:space="preserve">&lt;unclear&gt; </w:t>
      </w:r>
      <w:r>
        <w:rPr>
          <w:rStyle w:val="Codetext"/>
        </w:rPr>
        <w:t>hole</w:t>
      </w:r>
      <w:r>
        <w:rPr>
          <w:rStyle w:val="Code"/>
        </w:rPr>
        <w:t>&lt;/unclear&gt;</w:t>
      </w:r>
    </w:p>
    <w:p w14:paraId="027D01C0" w14:textId="77777777">
      <w:pPr>
        <w:pStyle w:val="Lista4"/>
      </w:pPr>
      <w:r>
        <w:t xml:space="preserve">the space moved from a position after “a” to one before “hole” within </w:t>
      </w:r>
      <w:r>
        <w:rPr>
          <w:rStyle w:val="Code"/>
        </w:rPr>
        <w:t>&lt;unclear&gt;</w:t>
      </w:r>
      <w:r>
        <w:t xml:space="preserve"> will be trimmed, since it is now the first in that element</w:t>
      </w:r>
    </w:p>
    <w:p w14:paraId="10B8D9C0" w14:textId="77777777">
      <w:pPr>
        <w:pStyle w:val="Lista3"/>
      </w:pPr>
      <w:r>
        <w:rPr>
          <w:rStyle w:val="Code"/>
        </w:rPr>
        <w:t>...&lt;unclear&gt;</w:t>
      </w:r>
      <w:r>
        <w:rPr>
          <w:rStyle w:val="Codetext"/>
        </w:rPr>
        <w:t>hole</w:t>
      </w:r>
      <w:r>
        <w:rPr>
          <w:rStyle w:val="Code"/>
        </w:rPr>
        <w:t xml:space="preserve">&lt;/unclear&gt;&lt;supplied </w:t>
      </w:r>
      <w:r>
        <w:rPr>
          <w:rStyle w:val="Codeattribute"/>
        </w:rPr>
        <w:t>reason</w:t>
      </w:r>
      <w:r>
        <w:rPr>
          <w:rStyle w:val="Code"/>
        </w:rPr>
        <w:t>=</w:t>
      </w:r>
      <w:r>
        <w:rPr>
          <w:rStyle w:val="Codevalue"/>
        </w:rPr>
        <w:t>"omitted"</w:t>
      </w:r>
      <w:r>
        <w:rPr>
          <w:rStyle w:val="Code"/>
        </w:rPr>
        <w:t>&gt;</w:t>
      </w:r>
      <w:r>
        <w:rPr>
          <w:rStyle w:val="Codetext"/>
        </w:rPr>
        <w:t>i</w:t>
      </w:r>
      <w:r>
        <w:rPr>
          <w:rStyle w:val="Code"/>
        </w:rPr>
        <w:t>&lt;/supplied&gt;</w:t>
      </w:r>
      <w:r>
        <w:rPr>
          <w:rStyle w:val="Codetext"/>
        </w:rPr>
        <w:t>n the...</w:t>
      </w:r>
    </w:p>
    <w:p w14:paraId="1E865AAB" w14:textId="77777777">
      <w:pPr>
        <w:pStyle w:val="Lista4"/>
      </w:pPr>
      <w:r>
        <w:t xml:space="preserve">the deleted space between </w:t>
      </w:r>
      <w:r>
        <w:rPr>
          <w:rStyle w:val="Code"/>
        </w:rPr>
        <w:t>&lt;/unclear&gt;</w:t>
      </w:r>
      <w:r>
        <w:t xml:space="preserve"> and </w:t>
      </w:r>
      <w:r>
        <w:rPr>
          <w:rStyle w:val="Code"/>
        </w:rPr>
        <w:t>&lt;supplied&gt;</w:t>
      </w:r>
      <w:r>
        <w:t xml:space="preserve"> will not be automatically added in processing</w:t>
      </w:r>
    </w:p>
    <w:p w14:paraId="23511A47" w14:textId="77777777">
      <w:pPr>
        <w:pStyle w:val="Lista3"/>
      </w:pPr>
      <w:r>
        <w:rPr>
          <w:rStyle w:val="Codetext"/>
        </w:rPr>
        <w:t xml:space="preserve">... there lived a hobbit </w:t>
      </w:r>
      <w:r>
        <w:rPr>
          <w:rStyle w:val="Code"/>
        </w:rPr>
        <w:t xml:space="preserve">&lt;g </w:t>
      </w:r>
      <w:r>
        <w:rPr>
          <w:rStyle w:val="Codeattribute"/>
        </w:rPr>
        <w:t>ref</w:t>
      </w:r>
      <w:r>
        <w:rPr>
          <w:rStyle w:val="Code"/>
        </w:rPr>
        <w:t>=</w:t>
      </w:r>
      <w:r>
        <w:rPr>
          <w:rStyle w:val="Codevalue"/>
        </w:rPr>
        <w:t>"sym:floret"</w:t>
      </w:r>
      <w:r>
        <w:rPr>
          <w:rStyle w:val="Code"/>
        </w:rPr>
        <w:t>/&gt;</w:t>
      </w:r>
      <w:r>
        <w:rPr>
          <w:rStyle w:val="Codetext"/>
        </w:rPr>
        <w:t>*</w:t>
      </w:r>
      <w:r>
        <w:rPr>
          <w:rStyle w:val="Code"/>
        </w:rPr>
        <w:t>&lt;/g&gt;&lt;/p&gt;</w:t>
      </w:r>
    </w:p>
    <w:p w14:paraId="7969EC8F" w14:textId="77777777">
      <w:pPr>
        <w:pStyle w:val="Lista4"/>
      </w:pPr>
      <w:r>
        <w:t>the added space after “hobbit” is not the last in the content of any element, so it will not be trimmed</w:t>
      </w:r>
    </w:p>
    <w:p w14:paraId="6FA510D3" w14:textId="77777777">
      <w:pPr>
        <w:pStyle w:val="Cmsor2"/>
      </w:pPr>
      <w:bookmarkStart w:id="1090" w:name="_8hshbbqbehg5" w:colFirst="0" w:colLast="0"/>
      <w:bookmarkStart w:id="1091" w:name="_7ept2hrl5gak" w:colFirst="0" w:colLast="0"/>
      <w:bookmarkStart w:id="1092" w:name="_Ref43978660"/>
      <w:bookmarkStart w:id="1093" w:name="_Toc243922822"/>
      <w:bookmarkEnd w:id="1090"/>
      <w:bookmarkEnd w:id="1091"/>
      <w:r>
        <w:t>Top to bottom hierarchy</w:t>
      </w:r>
      <w:bookmarkEnd w:id="1092"/>
      <w:bookmarkEnd w:id="1093"/>
    </w:p>
    <w:p w14:paraId="2A8357A1" w14:textId="77777777">
      <w:pPr>
        <w:pStyle w:val="Lista"/>
      </w:pPr>
      <w:r>
        <w:t>while applying markup to encode various features, it is useful to keep in mind the rough hierarchy outlined below</w:t>
      </w:r>
    </w:p>
    <w:p w14:paraId="0BC58166" w14:textId="77777777">
      <w:pPr>
        <w:pStyle w:val="Lista2"/>
      </w:pPr>
      <w:r>
        <w:t>the tiers presented below comprise an arbitrary hierarchy practical for our purposes, which does not wholly coincide with the XML hierarchy of TEI documents in general</w:t>
      </w:r>
    </w:p>
    <w:p w14:paraId="3301EB97" w14:textId="77777777">
      <w:pPr>
        <w:pStyle w:val="Lista2"/>
      </w:pPr>
      <w:r>
        <w:t>any element of a particular tier may contain elements of a lower tier and in many cases also elements of the same tier, but may not contain elements of a higher tier</w:t>
      </w:r>
    </w:p>
    <w:p w14:paraId="6BB7C8E9" w14:textId="77777777">
      <w:pPr>
        <w:pStyle w:val="Lista2"/>
      </w:pPr>
      <w:r>
        <w:t xml:space="preserve">in case of overlap, elements lower in the hierarchy must give way to higher-tier elements, i.e. the lower-tier element must be split into two parts across the boundary of the higher-tier element </w:t>
      </w:r>
      <w:r>
        <w:rPr>
          <w:noProof/>
        </w:rPr>
        <w:t>(</w:t>
      </w:r>
      <w:r>
        <w:t>examples below)</w:t>
      </w:r>
    </w:p>
    <w:p w14:paraId="04A3704F" w14:textId="77777777">
      <w:pPr>
        <w:pStyle w:val="Cmsor3"/>
      </w:pPr>
      <w:bookmarkStart w:id="1094" w:name="_oo0c5sndse6h" w:colFirst="0" w:colLast="0"/>
      <w:bookmarkStart w:id="1095" w:name="_Ref43979443"/>
      <w:bookmarkStart w:id="1096" w:name="_Toc243922823"/>
      <w:bookmarkEnd w:id="1094"/>
      <w:r>
        <w:t>Tier 1, block-level elements representing XML structure and extrinsic structure</w:t>
      </w:r>
      <w:bookmarkEnd w:id="1095"/>
      <w:bookmarkEnd w:id="1096"/>
    </w:p>
    <w:p w14:paraId="0D183C47" w14:textId="77777777">
      <w:pPr>
        <w:pStyle w:val="Lista"/>
      </w:pPr>
      <w:r>
        <w:t xml:space="preserve">text divisions: the edition </w:t>
      </w:r>
      <w:r>
        <w:rPr>
          <w:rStyle w:val="Code"/>
        </w:rPr>
        <w:t>&lt;div&gt;</w:t>
      </w:r>
      <w:r>
        <w:t xml:space="preserve"> wraps everything within your edition</w:t>
      </w:r>
    </w:p>
    <w:p w14:paraId="75CD1E65" w14:textId="08E3D20A">
      <w:pPr>
        <w:pStyle w:val="Lista"/>
      </w:pPr>
      <w:r>
        <w:t xml:space="preserve">if textpart divisions </w:t>
      </w:r>
      <w:r>
        <w:rPr>
          <w:noProof/>
        </w:rPr>
        <w:t>(</w:t>
      </w:r>
      <w:r>
        <w:t>§</w:t>
      </w:r>
      <w:r>
        <w:fldChar w:fldCharType="begin"/>
      </w:r>
      <w:r>
        <w:instrText xml:space="preserve"> REF _Ref225778181 \r \h </w:instrText>
      </w:r>
      <w:r>
        <w:fldChar w:fldCharType="separate"/>
      </w:r>
      <w:r>
        <w:t>4.2</w:t>
      </w:r>
      <w:r>
        <w:fldChar w:fldCharType="end"/>
      </w:r>
      <w:r>
        <w:t xml:space="preserve">) are present, then these are the direct children of the edition </w:t>
      </w:r>
      <w:r>
        <w:rPr>
          <w:rStyle w:val="Code"/>
        </w:rPr>
        <w:t>&lt;div&gt;</w:t>
      </w:r>
      <w:r>
        <w:t xml:space="preserve"> and wrap everything else</w:t>
      </w:r>
    </w:p>
    <w:p w14:paraId="59140825" w14:textId="77777777">
      <w:pPr>
        <w:pStyle w:val="Cmsor3"/>
      </w:pPr>
      <w:bookmarkStart w:id="1097" w:name="_avslxtgod3of" w:colFirst="0" w:colLast="0"/>
      <w:bookmarkStart w:id="1098" w:name="_Toc243922824"/>
      <w:bookmarkEnd w:id="1097"/>
      <w:r>
        <w:t>Tier 2, block-level elements representing intrinsic structure</w:t>
      </w:r>
      <w:bookmarkEnd w:id="1098"/>
    </w:p>
    <w:p w14:paraId="70894C3B" w14:textId="77777777">
      <w:pPr>
        <w:pStyle w:val="Lista"/>
      </w:pPr>
      <w:r>
        <w:t xml:space="preserve">all text in your edition must be contained in one of the block-level elements representing intrinsic structure: </w:t>
      </w:r>
      <w:r>
        <w:rPr>
          <w:rStyle w:val="Code"/>
        </w:rPr>
        <w:t>&lt;p&gt;</w:t>
      </w:r>
      <w:r>
        <w:t xml:space="preserve">, </w:t>
      </w:r>
      <w:r>
        <w:rPr>
          <w:rStyle w:val="Code"/>
        </w:rPr>
        <w:t>&lt;ab&gt;</w:t>
      </w:r>
      <w:r>
        <w:t xml:space="preserve">, or </w:t>
      </w:r>
      <w:r>
        <w:rPr>
          <w:rStyle w:val="Code"/>
        </w:rPr>
        <w:t>&lt;lg&gt;</w:t>
      </w:r>
      <w:r>
        <w:t xml:space="preserve"> and </w:t>
      </w:r>
      <w:r>
        <w:rPr>
          <w:rStyle w:val="Code"/>
        </w:rPr>
        <w:t>&lt;l&gt;</w:t>
      </w:r>
    </w:p>
    <w:p w14:paraId="5E3E56A3" w14:textId="77777777">
      <w:pPr>
        <w:pStyle w:val="Lista"/>
      </w:pPr>
      <w:r>
        <w:t>these elements must appear directly within the divisions, never outside them</w:t>
      </w:r>
    </w:p>
    <w:p w14:paraId="188E97F0" w14:textId="77777777">
      <w:pPr>
        <w:pStyle w:val="Lista"/>
      </w:pPr>
      <w:r>
        <w:t xml:space="preserve">these elements must never be nested inside another element of this tier, except that </w:t>
      </w:r>
      <w:r>
        <w:rPr>
          <w:rStyle w:val="Code"/>
        </w:rPr>
        <w:t>&lt;l&gt;</w:t>
      </w:r>
      <w:r>
        <w:t xml:space="preserve"> elements must always be nested in </w:t>
      </w:r>
      <w:r>
        <w:rPr>
          <w:rStyle w:val="Code"/>
        </w:rPr>
        <w:t>&lt;lg&gt;</w:t>
      </w:r>
      <w:r>
        <w:t xml:space="preserve"> elements</w:t>
      </w:r>
    </w:p>
    <w:p w14:paraId="31679B2B" w14:textId="67C0954E">
      <w:pPr>
        <w:pStyle w:val="Lista"/>
      </w:pPr>
      <w:r>
        <w:t xml:space="preserve">as a special block-level container, </w:t>
      </w:r>
      <w:r>
        <w:rPr>
          <w:rStyle w:val="Code"/>
        </w:rPr>
        <w:t>&lt;fw&gt;</w:t>
      </w:r>
      <w:r>
        <w:t xml:space="preserve"> will normally be nested within one of the above regular block-level containers, but may in some unlikely cases be outside them </w:t>
      </w:r>
      <w:r>
        <w:rPr>
          <w:noProof/>
        </w:rPr>
        <w:t>(</w:t>
      </w:r>
      <w:r>
        <w:t>§</w:t>
      </w:r>
      <w:r>
        <w:fldChar w:fldCharType="begin"/>
      </w:r>
      <w:r>
        <w:instrText xml:space="preserve"> REF _Ref43984607 \w \h  \* MERGEFORMAT </w:instrText>
      </w:r>
      <w:r>
        <w:fldChar w:fldCharType="separate"/>
      </w:r>
      <w:r>
        <w:t>4.7.2</w:t>
      </w:r>
      <w:r>
        <w:fldChar w:fldCharType="end"/>
      </w:r>
      <w:r>
        <w:t>)</w:t>
      </w:r>
    </w:p>
    <w:p w14:paraId="6EB89750" w14:textId="77777777">
      <w:pPr>
        <w:pStyle w:val="Lista"/>
        <w:rPr>
          <w:rStyle w:val="Code"/>
          <w:rFonts w:ascii="Gentium" w:hAnsi="Gentium" w:cs="Tiro Devanagari Sanskrit"/>
          <w:noProof w:val="0"/>
          <w:color w:val="auto"/>
          <w:shd w:val="clear" w:color="auto" w:fill="auto"/>
        </w:rPr>
      </w:pPr>
      <w:r>
        <w:t xml:space="preserve">as a special block-level container, </w:t>
      </w:r>
      <w:r>
        <w:rPr>
          <w:rStyle w:val="Code"/>
        </w:rPr>
        <w:t>&lt;list&gt;</w:t>
      </w:r>
      <w:r>
        <w:t xml:space="preserve"> will always be nested within </w:t>
      </w:r>
      <w:r>
        <w:rPr>
          <w:rStyle w:val="Code"/>
        </w:rPr>
        <w:t>&lt;p&gt;</w:t>
      </w:r>
    </w:p>
    <w:p w14:paraId="3A91B7F9" w14:textId="77777777">
      <w:pPr>
        <w:pStyle w:val="Cmsor3"/>
      </w:pPr>
      <w:bookmarkStart w:id="1099" w:name="_Toc243922825"/>
      <w:r>
        <w:t>Tier 2A, phrase-level elements representing semantic information</w:t>
      </w:r>
      <w:bookmarkEnd w:id="1099"/>
    </w:p>
    <w:p w14:paraId="034B921E" w14:textId="77777777">
      <w:pPr>
        <w:pStyle w:val="Lista"/>
      </w:pPr>
      <w:r>
        <w:t>elements belonging to this tier include those used in encoding</w:t>
      </w:r>
    </w:p>
    <w:p w14:paraId="05314764" w14:textId="3BA4E8E6">
      <w:pPr>
        <w:pStyle w:val="Lista2"/>
      </w:pPr>
      <w:r>
        <w:t>language (§</w:t>
      </w:r>
      <w:r>
        <w:fldChar w:fldCharType="begin"/>
      </w:r>
      <w:r>
        <w:instrText xml:space="preserve"> REF _Ref232070683 \r \h </w:instrText>
      </w:r>
      <w:r>
        <w:fldChar w:fldCharType="separate"/>
      </w:r>
      <w:r>
        <w:t>8.1</w:t>
      </w:r>
      <w:r>
        <w:fldChar w:fldCharType="end"/>
      </w:r>
      <w:r>
        <w:t xml:space="preserve">) and script </w:t>
      </w:r>
      <w:r>
        <w:rPr>
          <w:noProof/>
        </w:rPr>
        <w:t>(</w:t>
      </w:r>
      <w:r>
        <w:t>§</w:t>
      </w:r>
      <w:r>
        <w:fldChar w:fldCharType="begin"/>
      </w:r>
      <w:r>
        <w:instrText xml:space="preserve"> REF _Ref231979678 \r \h </w:instrText>
      </w:r>
      <w:r>
        <w:fldChar w:fldCharType="separate"/>
      </w:r>
      <w:r>
        <w:t>8.2</w:t>
      </w:r>
      <w:r>
        <w:fldChar w:fldCharType="end"/>
      </w:r>
      <w:r>
        <w:t>)</w:t>
      </w:r>
    </w:p>
    <w:p w14:paraId="4E8C8D8A" w14:textId="29A469E0">
      <w:pPr>
        <w:pStyle w:val="Lista2"/>
      </w:pPr>
      <w:r>
        <w:t xml:space="preserve">interpretive markup, e.g. for numbers </w:t>
      </w:r>
      <w:r>
        <w:rPr>
          <w:noProof/>
        </w:rPr>
        <w:t>(</w:t>
      </w:r>
      <w:r>
        <w:t>§</w:t>
      </w:r>
      <w:r>
        <w:fldChar w:fldCharType="begin"/>
      </w:r>
      <w:r>
        <w:instrText xml:space="preserve"> REF _Ref43980607 \r \h  \* MERGEFORMAT </w:instrText>
      </w:r>
      <w:r>
        <w:fldChar w:fldCharType="separate"/>
      </w:r>
      <w:r>
        <w:t>9.1</w:t>
      </w:r>
      <w:r>
        <w:fldChar w:fldCharType="end"/>
      </w:r>
      <w:r>
        <w:t xml:space="preserve">) and abbreviations </w:t>
      </w:r>
      <w:r>
        <w:rPr>
          <w:noProof/>
        </w:rPr>
        <w:t>(</w:t>
      </w:r>
      <w:r>
        <w:t>§</w:t>
      </w:r>
      <w:r>
        <w:fldChar w:fldCharType="begin"/>
      </w:r>
      <w:r>
        <w:instrText xml:space="preserve"> REF _Ref232002201 \r \h </w:instrText>
      </w:r>
      <w:r>
        <w:fldChar w:fldCharType="separate"/>
      </w:r>
      <w:r>
        <w:t>9.2</w:t>
      </w:r>
      <w:r>
        <w:fldChar w:fldCharType="end"/>
      </w:r>
      <w:r>
        <w:t>)</w:t>
      </w:r>
    </w:p>
    <w:p w14:paraId="011EB92D" w14:textId="77777777">
      <w:pPr>
        <w:pStyle w:val="Lista"/>
      </w:pPr>
      <w:r>
        <w:t>such phrase-level markup encoding semantic or descriptive information about specific characters must</w:t>
      </w:r>
    </w:p>
    <w:p w14:paraId="12B29392" w14:textId="77777777">
      <w:pPr>
        <w:pStyle w:val="Lista2"/>
      </w:pPr>
      <w:r>
        <w:t>always be contained within tier-2 elements</w:t>
      </w:r>
    </w:p>
    <w:p w14:paraId="67D3FF8F" w14:textId="77777777">
      <w:pPr>
        <w:pStyle w:val="Lista2"/>
      </w:pPr>
      <w:r>
        <w:t>split into parts when they overlap a boundary between tier-2 elements</w:t>
      </w:r>
    </w:p>
    <w:p w14:paraId="4B000D24" w14:textId="77777777">
      <w:pPr>
        <w:pStyle w:val="Lista"/>
      </w:pPr>
      <w:r>
        <w:t>there is no technical reason preventing such elements from containing any lower-tier element, but since the semantic properties encoded by these elements do not in fact pertain to tier-3 elements, it is good practice to split these elements into parts around tier-3 elements when feasible</w:t>
      </w:r>
    </w:p>
    <w:p w14:paraId="5C050DB8" w14:textId="77777777">
      <w:pPr>
        <w:pStyle w:val="Cmsor3"/>
      </w:pPr>
      <w:bookmarkStart w:id="1100" w:name="_b4084bcsknv2" w:colFirst="0" w:colLast="0"/>
      <w:bookmarkStart w:id="1101" w:name="_Ref43979552"/>
      <w:bookmarkStart w:id="1102" w:name="_Toc243922826"/>
      <w:bookmarkEnd w:id="1100"/>
      <w:r>
        <w:lastRenderedPageBreak/>
        <w:t>Tier 3, empty elements representing extrinsic structure</w:t>
      </w:r>
      <w:bookmarkEnd w:id="1101"/>
      <w:bookmarkEnd w:id="1102"/>
    </w:p>
    <w:p w14:paraId="48EC3E69" w14:textId="5E67F42E">
      <w:pPr>
        <w:pStyle w:val="Lista"/>
      </w:pPr>
      <w:r>
        <w:t xml:space="preserve">elements marking transition points, namely line beginnings </w:t>
      </w:r>
      <w:r>
        <w:rPr>
          <w:noProof/>
        </w:rPr>
        <w:t>(</w:t>
      </w:r>
      <w:r>
        <w:t>§</w:t>
      </w:r>
      <w:r>
        <w:fldChar w:fldCharType="begin"/>
      </w:r>
      <w:r>
        <w:instrText xml:space="preserve"> REF _Ref43980100 \r \h  \* MERGEFORMAT </w:instrText>
      </w:r>
      <w:r>
        <w:fldChar w:fldCharType="separate"/>
      </w:r>
      <w:r>
        <w:t>4.5.1</w:t>
      </w:r>
      <w:r>
        <w:fldChar w:fldCharType="end"/>
      </w:r>
      <w:r>
        <w:t xml:space="preserve">), page beginnings </w:t>
      </w:r>
      <w:r>
        <w:rPr>
          <w:noProof/>
        </w:rPr>
        <w:t>(</w:t>
      </w:r>
      <w:r>
        <w:t>§</w:t>
      </w:r>
      <w:r>
        <w:fldChar w:fldCharType="begin"/>
      </w:r>
      <w:r>
        <w:instrText xml:space="preserve"> REF _Ref183083980 \r \h </w:instrText>
      </w:r>
      <w:r>
        <w:fldChar w:fldCharType="separate"/>
      </w:r>
      <w:r>
        <w:t>4.4.2</w:t>
      </w:r>
      <w:r>
        <w:fldChar w:fldCharType="end"/>
      </w:r>
      <w:r>
        <w:t xml:space="preserve">) and pagelike milestones </w:t>
      </w:r>
      <w:r>
        <w:rPr>
          <w:noProof/>
        </w:rPr>
        <w:t>(</w:t>
      </w:r>
      <w:r>
        <w:t>§</w:t>
      </w:r>
      <w:r>
        <w:fldChar w:fldCharType="begin"/>
      </w:r>
      <w:r>
        <w:instrText xml:space="preserve"> REF _Ref43986679 \w \h  \* MERGEFORMAT </w:instrText>
      </w:r>
      <w:r>
        <w:fldChar w:fldCharType="separate"/>
      </w:r>
      <w:r>
        <w:t>4.4.2.1</w:t>
      </w:r>
      <w:r>
        <w:fldChar w:fldCharType="end"/>
      </w:r>
      <w:r>
        <w:t>), must normally be placed within tier-2 elements</w:t>
      </w:r>
      <w:r>
        <w:rPr>
          <w:rStyle w:val="Lbjegyzet-hivatkozs"/>
        </w:rPr>
        <w:footnoteReference w:id="44"/>
      </w:r>
    </w:p>
    <w:p w14:paraId="2A231192" w14:textId="77777777">
      <w:pPr>
        <w:pStyle w:val="Lista2"/>
      </w:pPr>
      <w:r>
        <w:rPr>
          <w:rStyle w:val="Foreign"/>
        </w:rPr>
        <w:t>except</w:t>
      </w:r>
      <w:r>
        <w:t xml:space="preserve"> special cases where such transition points cannot be integrated into the text following them, namely</w:t>
      </w:r>
    </w:p>
    <w:p w14:paraId="1E65D633" w14:textId="4D890743">
      <w:pPr>
        <w:pStyle w:val="Lista3"/>
      </w:pPr>
      <w:r>
        <w:t xml:space="preserve">page beginnings for the first and last blank pages of a set of copper plates </w:t>
      </w:r>
      <w:r>
        <w:rPr>
          <w:noProof/>
        </w:rPr>
        <w:t>(</w:t>
      </w:r>
      <w:r>
        <w:t>§</w:t>
      </w:r>
      <w:r>
        <w:fldChar w:fldCharType="begin"/>
      </w:r>
      <w:r>
        <w:instrText xml:space="preserve"> REF _Ref182318940 \r \h </w:instrText>
      </w:r>
      <w:r>
        <w:fldChar w:fldCharType="separate"/>
      </w:r>
      <w:r>
        <w:t>4.4.2.2</w:t>
      </w:r>
      <w:r>
        <w:fldChar w:fldCharType="end"/>
      </w:r>
      <w:r>
        <w:t>), which have no associated text</w:t>
      </w:r>
    </w:p>
    <w:p w14:paraId="43D712EE" w14:textId="1A6E7B5D">
      <w:pPr>
        <w:pStyle w:val="Lista3"/>
      </w:pPr>
      <w:r>
        <w:t xml:space="preserve">reconstructed transition points </w:t>
      </w:r>
      <w:r>
        <w:rPr>
          <w:noProof/>
        </w:rPr>
        <w:t>(</w:t>
      </w:r>
      <w:r>
        <w:t xml:space="preserve">of any kind) in massive initial or medial lacunae </w:t>
      </w:r>
      <w:r>
        <w:rPr>
          <w:noProof/>
        </w:rPr>
        <w:t>(</w:t>
      </w:r>
      <w:r>
        <w:t>§</w:t>
      </w:r>
      <w:r>
        <w:fldChar w:fldCharType="begin"/>
      </w:r>
      <w:r>
        <w:instrText xml:space="preserve"> REF _Ref43981711 \w \h  \* MERGEFORMAT </w:instrText>
      </w:r>
      <w:r>
        <w:fldChar w:fldCharType="separate"/>
      </w:r>
      <w:r>
        <w:t>6.5.4</w:t>
      </w:r>
      <w:r>
        <w:fldChar w:fldCharType="end"/>
      </w:r>
      <w:r>
        <w:t>)</w:t>
      </w:r>
    </w:p>
    <w:p w14:paraId="2CFE1B57" w14:textId="77777777">
      <w:pPr>
        <w:pStyle w:val="Cmsor3"/>
      </w:pPr>
      <w:bookmarkStart w:id="1103" w:name="_6kukm0ycu92" w:colFirst="0" w:colLast="0"/>
      <w:bookmarkStart w:id="1104" w:name="_Ref43979566"/>
      <w:bookmarkStart w:id="1105" w:name="_Toc243922827"/>
      <w:bookmarkEnd w:id="1103"/>
      <w:r>
        <w:t>Tier 4, empty elements representing local features</w:t>
      </w:r>
      <w:bookmarkEnd w:id="1104"/>
      <w:bookmarkEnd w:id="1105"/>
    </w:p>
    <w:p w14:paraId="2B6B9B25" w14:textId="26D079BE">
      <w:pPr>
        <w:pStyle w:val="Lista"/>
      </w:pPr>
      <w:r>
        <w:t xml:space="preserve">elements belonging to this tier are spaces </w:t>
      </w:r>
      <w:r>
        <w:rPr>
          <w:noProof/>
        </w:rPr>
        <w:t>(</w:t>
      </w:r>
      <w:r>
        <w:t>§</w:t>
      </w:r>
      <w:r>
        <w:fldChar w:fldCharType="begin"/>
      </w:r>
      <w:r>
        <w:instrText xml:space="preserve"> REF _Ref43989284 \w \h  \* MERGEFORMAT </w:instrText>
      </w:r>
      <w:r>
        <w:fldChar w:fldCharType="separate"/>
      </w:r>
      <w:r>
        <w:t>5.3.5</w:t>
      </w:r>
      <w:r>
        <w:fldChar w:fldCharType="end"/>
      </w:r>
      <w:r>
        <w:t xml:space="preserve">) and unrestored lacunae </w:t>
      </w:r>
      <w:r>
        <w:rPr>
          <w:noProof/>
        </w:rPr>
        <w:t>(</w:t>
      </w:r>
      <w:r>
        <w:t>§</w:t>
      </w:r>
      <w:r>
        <w:fldChar w:fldCharType="begin"/>
      </w:r>
      <w:r>
        <w:instrText xml:space="preserve"> REF _Ref228460110 \r \h </w:instrText>
      </w:r>
      <w:r>
        <w:fldChar w:fldCharType="separate"/>
      </w:r>
      <w:r>
        <w:t>6.5</w:t>
      </w:r>
      <w:r>
        <w:fldChar w:fldCharType="end"/>
      </w:r>
      <w:r>
        <w:t xml:space="preserve">) including lacunae with known metre </w:t>
      </w:r>
      <w:r>
        <w:rPr>
          <w:noProof/>
        </w:rPr>
        <w:t>(</w:t>
      </w:r>
      <w:r>
        <w:t>§</w:t>
      </w:r>
      <w:r>
        <w:fldChar w:fldCharType="begin"/>
      </w:r>
      <w:r>
        <w:instrText xml:space="preserve"> REF _Ref228275301 \r \h </w:instrText>
      </w:r>
      <w:r>
        <w:fldChar w:fldCharType="separate"/>
      </w:r>
      <w:r>
        <w:t>6.5.2.3</w:t>
      </w:r>
      <w:r>
        <w:fldChar w:fldCharType="end"/>
      </w:r>
      <w:r>
        <w:t>)</w:t>
      </w:r>
    </w:p>
    <w:p w14:paraId="5A2B994E" w14:textId="77777777">
      <w:pPr>
        <w:pStyle w:val="Lista"/>
      </w:pPr>
      <w:r>
        <w:t>these empty elements with a spatial extent must by default be contained within tier-2 elements and must not be placed before the first tier-3 element of a document</w:t>
      </w:r>
    </w:p>
    <w:p w14:paraId="55A52E62" w14:textId="4013F800">
      <w:pPr>
        <w:pStyle w:val="Lista2"/>
      </w:pPr>
      <w:r>
        <w:rPr>
          <w:rStyle w:val="Foreign"/>
        </w:rPr>
        <w:t>except</w:t>
      </w:r>
      <w:r>
        <w:t xml:space="preserve"> that when necessary, lacuna markup may appear outside an element of intrinsic structure and before the first tier-3 element  </w:t>
      </w:r>
      <w:r>
        <w:rPr>
          <w:noProof/>
        </w:rPr>
        <w:t>(</w:t>
      </w:r>
      <w:r>
        <w:t>§</w:t>
      </w:r>
      <w:r>
        <w:fldChar w:fldCharType="begin"/>
      </w:r>
      <w:r>
        <w:instrText xml:space="preserve"> REF _Ref43981711 \w \h  \* MERGEFORMAT </w:instrText>
      </w:r>
      <w:r>
        <w:fldChar w:fldCharType="separate"/>
      </w:r>
      <w:r>
        <w:t>6.5.4</w:t>
      </w:r>
      <w:r>
        <w:fldChar w:fldCharType="end"/>
      </w:r>
      <w:r>
        <w:t>)</w:t>
      </w:r>
    </w:p>
    <w:p w14:paraId="3CF158C4" w14:textId="77777777">
      <w:pPr>
        <w:pStyle w:val="Lista"/>
      </w:pPr>
      <w:r>
        <w:t>these empty elements with a spatial extent must give way to elements of tier 3 and above in case of conflict</w:t>
      </w:r>
    </w:p>
    <w:p w14:paraId="11E73803" w14:textId="2EB2F5C4">
      <w:pPr>
        <w:pStyle w:val="Lista2"/>
      </w:pPr>
      <w:r>
        <w:t xml:space="preserve">thus, a space or lacuna interrupted by the start-tag or end-tag of any element of intrinsic structure </w:t>
      </w:r>
      <w:r>
        <w:rPr>
          <w:noProof/>
        </w:rPr>
        <w:t>(</w:t>
      </w:r>
      <w:r>
        <w:t xml:space="preserve">e.g. a verse line) or by an element of extrinsic structure </w:t>
      </w:r>
      <w:r>
        <w:rPr>
          <w:noProof/>
        </w:rPr>
        <w:t>(</w:t>
      </w:r>
      <w:r>
        <w:t xml:space="preserve">e.g. a line break) must be encoded as two separate instances, as in </w:t>
      </w:r>
      <w:r>
        <w:fldChar w:fldCharType="begin"/>
      </w:r>
      <w:r>
        <w:instrText xml:space="preserve"> REF _Ref232070261 \h </w:instrText>
      </w:r>
      <w:r>
        <w:fldChar w:fldCharType="separate"/>
      </w:r>
      <w:r>
        <w:t xml:space="preserve">Exhibit </w:t>
      </w:r>
      <w:r>
        <w:rPr>
          <w:noProof/>
        </w:rPr>
        <w:t>16.2</w:t>
      </w:r>
      <w:r>
        <w:t>.</w:t>
      </w:r>
      <w:r>
        <w:rPr>
          <w:noProof/>
        </w:rPr>
        <w:t>A</w:t>
      </w:r>
      <w:r>
        <w:fldChar w:fldCharType="end"/>
      </w:r>
    </w:p>
    <w:tbl>
      <w:tblPr>
        <w:tblStyle w:val="CodeSampleTable"/>
        <w:tblW w:w="5000" w:type="pct"/>
        <w:tblLook w:val="04A0" w:firstRow="1" w:lastRow="0" w:firstColumn="1" w:lastColumn="0" w:noHBand="0" w:noVBand="1"/>
      </w:tblPr>
      <w:tblGrid>
        <w:gridCol w:w="9628"/>
      </w:tblGrid>
      <w:tr w14:paraId="7158A557"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E5C98A3" w14:textId="11FCBB98">
            <w:pPr>
              <w:pStyle w:val="Kpalrs"/>
            </w:pPr>
            <w:bookmarkStart w:id="1106" w:name="_Ref232070261"/>
            <w:r>
              <w:t xml:space="preserve">Exhibit </w:t>
            </w:r>
            <w:fldSimple w:instr=" STYLEREF 2 \s ">
              <w:r>
                <w:rPr>
                  <w:noProof/>
                </w:rPr>
                <w:t>16.2</w:t>
              </w:r>
            </w:fldSimple>
            <w:r>
              <w:t>.</w:t>
            </w:r>
            <w:fldSimple w:instr=" SEQ Exhibit \* ALPHABETIC \s 2 ">
              <w:r>
                <w:rPr>
                  <w:noProof/>
                </w:rPr>
                <w:t>A</w:t>
              </w:r>
            </w:fldSimple>
            <w:bookmarkEnd w:id="1106"/>
            <w:r>
              <w:t>: lacuna split across line break</w:t>
            </w:r>
          </w:p>
        </w:tc>
      </w:tr>
      <w:tr w14:paraId="5A22C2CF" w14:textId="77777777">
        <w:tc>
          <w:tcPr>
            <w:tcW w:w="5000" w:type="pct"/>
          </w:tcPr>
          <w:p w14:paraId="70CBEBD2" w14:textId="77777777">
            <w:pPr>
              <w:pStyle w:val="CodeParagraph"/>
              <w:keepNext/>
            </w:pPr>
            <w:r>
              <w:rPr>
                <w:rStyle w:val="Code"/>
              </w:rPr>
              <w:t xml:space="preserve">&lt;lb </w:t>
            </w:r>
            <w:r>
              <w:rPr>
                <w:rStyle w:val="Codeattribute"/>
              </w:rPr>
              <w:t>n</w:t>
            </w:r>
            <w:r>
              <w:rPr>
                <w:rStyle w:val="Code"/>
              </w:rPr>
              <w:t>=</w:t>
            </w:r>
            <w:r>
              <w:rPr>
                <w:rStyle w:val="Codevalue"/>
              </w:rPr>
              <w:t>"1"</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/&gt;</w:t>
            </w:r>
            <w:r>
              <w:rPr>
                <w:rStyle w:val="Codetext"/>
              </w:rPr>
              <w:t>devyām utpanna</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 xml:space="preserve">/&gt;&lt;lb </w:t>
            </w:r>
            <w:r>
              <w:rPr>
                <w:rStyle w:val="Codeattribute"/>
              </w:rPr>
              <w:t>n</w:t>
            </w:r>
            <w:r>
              <w:rPr>
                <w:rStyle w:val="Code"/>
              </w:rPr>
              <w:t>=</w:t>
            </w:r>
            <w:r>
              <w:rPr>
                <w:rStyle w:val="Codevalue"/>
              </w:rPr>
              <w:t>"2"</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/&gt;</w:t>
            </w:r>
            <w:r>
              <w:rPr>
                <w:rStyle w:val="Codetext"/>
              </w:rPr>
              <w:t>ṭṭārikā-devyām utpannaḥ śrī-mahārājeśvaravarmmā...</w:t>
            </w:r>
          </w:p>
        </w:tc>
      </w:tr>
      <w:tr w14:paraId="2D627ADA" w14:textId="77777777">
        <w:tc>
          <w:tcPr>
            <w:tcW w:w="5000" w:type="pct"/>
          </w:tcPr>
          <w:p w14:paraId="02987238" w14:textId="77777777">
            <w:pPr>
              <w:pStyle w:val="TableNote"/>
              <w:rPr>
                <w:rStyle w:val="Code"/>
              </w:rPr>
            </w:pPr>
            <w:r>
              <w:t xml:space="preserve">here, the lacuna between </w:t>
            </w:r>
            <w:r>
              <w:rPr>
                <w:rStyle w:val="Foreign"/>
              </w:rPr>
              <w:t>utpanna</w:t>
            </w:r>
            <w:r>
              <w:t xml:space="preserve"> and </w:t>
            </w:r>
            <w:r>
              <w:rPr>
                <w:rStyle w:val="Foreign"/>
              </w:rPr>
              <w:t>ṭṭārikā</w:t>
            </w:r>
            <w:r>
              <w:t xml:space="preserve"> is encoded as two separate lacunae, one at the end of line 1, and another at the beginning of line 2; the line beginning element stands between these two</w:t>
            </w:r>
          </w:p>
        </w:tc>
      </w:tr>
    </w:tbl>
    <w:p w14:paraId="360FD2FE" w14:textId="77777777">
      <w:pPr>
        <w:pStyle w:val="Cmsor3"/>
      </w:pPr>
      <w:bookmarkStart w:id="1107" w:name="_jr9td4xsvig6" w:colFirst="0" w:colLast="0"/>
      <w:bookmarkStart w:id="1108" w:name="_Ref43987901"/>
      <w:bookmarkStart w:id="1109" w:name="_Toc243922828"/>
      <w:bookmarkEnd w:id="1107"/>
      <w:r>
        <w:t>Tier 5, phrase-level elements</w:t>
      </w:r>
      <w:bookmarkEnd w:id="1108"/>
      <w:r>
        <w:t xml:space="preserve"> representing changes to the text</w:t>
      </w:r>
      <w:bookmarkEnd w:id="1109"/>
    </w:p>
    <w:p w14:paraId="181E23EE" w14:textId="77777777">
      <w:pPr>
        <w:pStyle w:val="Lista"/>
      </w:pPr>
      <w:r>
        <w:t>elements belonging to this tier include those used in encoding</w:t>
      </w:r>
    </w:p>
    <w:p w14:paraId="57552A24" w14:textId="52D12312">
      <w:pPr>
        <w:pStyle w:val="Lista2"/>
      </w:pPr>
      <w:r>
        <w:t>scribal intervention (§</w:t>
      </w:r>
      <w:r>
        <w:fldChar w:fldCharType="begin"/>
      </w:r>
      <w:r>
        <w:instrText xml:space="preserve"> REF _Ref228799393 \r \h </w:instrText>
      </w:r>
      <w:r>
        <w:fldChar w:fldCharType="separate"/>
      </w:r>
      <w:r>
        <w:t>5.5</w:t>
      </w:r>
      <w:r>
        <w:fldChar w:fldCharType="end"/>
      </w:r>
      <w:r>
        <w:t>)</w:t>
      </w:r>
    </w:p>
    <w:p w14:paraId="793E8842" w14:textId="41BA196B">
      <w:pPr>
        <w:pStyle w:val="Lista2"/>
      </w:pPr>
      <w:r>
        <w:t>editorial intervention (§</w:t>
      </w:r>
      <w:r>
        <w:fldChar w:fldCharType="begin"/>
      </w:r>
      <w:r>
        <w:instrText xml:space="preserve"> REF _Ref229054270 \r \h </w:instrText>
      </w:r>
      <w:r>
        <w:fldChar w:fldCharType="separate"/>
      </w:r>
      <w:r>
        <w:t>7.2</w:t>
      </w:r>
      <w:r>
        <w:fldChar w:fldCharType="end"/>
      </w:r>
      <w:r>
        <w:t xml:space="preserve">) and restoration </w:t>
      </w:r>
      <w:r>
        <w:rPr>
          <w:noProof/>
        </w:rPr>
        <w:t>(</w:t>
      </w:r>
      <w:r>
        <w:t>§</w:t>
      </w:r>
      <w:r>
        <w:fldChar w:fldCharType="begin"/>
      </w:r>
      <w:r>
        <w:instrText xml:space="preserve"> REF _Ref228459751 \r \h </w:instrText>
      </w:r>
      <w:r>
        <w:fldChar w:fldCharType="separate"/>
      </w:r>
      <w:r>
        <w:t>6.4</w:t>
      </w:r>
      <w:r>
        <w:fldChar w:fldCharType="end"/>
      </w:r>
      <w:r>
        <w:t xml:space="preserve">) </w:t>
      </w:r>
    </w:p>
    <w:p w14:paraId="6EFE3C5E" w14:textId="77777777">
      <w:pPr>
        <w:pStyle w:val="Lista"/>
      </w:pPr>
      <w:r>
        <w:t>such phrase-level markup must</w:t>
      </w:r>
    </w:p>
    <w:p w14:paraId="2A5ECDAC" w14:textId="77777777">
      <w:pPr>
        <w:pStyle w:val="Lista2"/>
      </w:pPr>
      <w:r>
        <w:t>always be contained within tier-2 elements</w:t>
      </w:r>
    </w:p>
    <w:p w14:paraId="12050C24" w14:textId="77777777">
      <w:pPr>
        <w:pStyle w:val="Lista2"/>
      </w:pPr>
      <w:r>
        <w:t>in case of conflict give way to elements of tier 4 and above</w:t>
      </w:r>
    </w:p>
    <w:p w14:paraId="66AF6D95" w14:textId="67F83D51">
      <w:pPr>
        <w:pStyle w:val="Lista"/>
      </w:pPr>
      <w:r>
        <w:t xml:space="preserve">thus, such a phrase-level element interrupted by the start-tag or end-tag of any element of intrinsic structure or by an element of extrinsic structure must be encoded as two separate instances as in </w:t>
      </w:r>
      <w:r>
        <w:fldChar w:fldCharType="begin"/>
      </w:r>
      <w:r>
        <w:instrText xml:space="preserve"> REF _Ref232071972 \h </w:instrText>
      </w:r>
      <w:r>
        <w:fldChar w:fldCharType="separate"/>
      </w:r>
      <w:r>
        <w:t xml:space="preserve">Exhibit </w:t>
      </w:r>
      <w:r>
        <w:rPr>
          <w:noProof/>
        </w:rPr>
        <w:t>16.2</w:t>
      </w:r>
      <w:r>
        <w:t>.</w:t>
      </w:r>
      <w:r>
        <w:rPr>
          <w:noProof/>
        </w:rPr>
        <w:t>B</w:t>
      </w:r>
      <w:r>
        <w:fldChar w:fldCharType="end"/>
      </w:r>
    </w:p>
    <w:p w14:paraId="2B016E89" w14:textId="30E67C48">
      <w:pPr>
        <w:pStyle w:val="Lista"/>
      </w:pPr>
      <w:r>
        <w:t>these phrase-level elements may be nested inside other tier-5 elements when doing so is essential, so long as overlaps are avoided</w:t>
      </w:r>
    </w:p>
    <w:tbl>
      <w:tblPr>
        <w:tblStyle w:val="CodeSampleTable"/>
        <w:tblW w:w="5000" w:type="pct"/>
        <w:tblLook w:val="04A0" w:firstRow="1" w:lastRow="0" w:firstColumn="1" w:lastColumn="0" w:noHBand="0" w:noVBand="1"/>
      </w:tblPr>
      <w:tblGrid>
        <w:gridCol w:w="9628"/>
      </w:tblGrid>
      <w:tr w14:paraId="4DC95B4F"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0FA4F83" w14:textId="257E4DC5">
            <w:pPr>
              <w:pStyle w:val="Kpalrs"/>
            </w:pPr>
            <w:bookmarkStart w:id="1110" w:name="_Ref232071972"/>
            <w:r>
              <w:lastRenderedPageBreak/>
              <w:t xml:space="preserve">Exhibit </w:t>
            </w:r>
            <w:fldSimple w:instr=" STYLEREF 2 \s ">
              <w:r>
                <w:rPr>
                  <w:noProof/>
                </w:rPr>
                <w:t>16.2</w:t>
              </w:r>
            </w:fldSimple>
            <w:r>
              <w:t>.</w:t>
            </w:r>
            <w:fldSimple w:instr=" SEQ Exhibit \* ALPHABETIC \s 2 ">
              <w:r>
                <w:rPr>
                  <w:noProof/>
                </w:rPr>
                <w:t>B</w:t>
              </w:r>
            </w:fldSimple>
            <w:bookmarkEnd w:id="1110"/>
            <w:r>
              <w:t>: editorial restoration split across verse lines</w:t>
            </w:r>
          </w:p>
        </w:tc>
      </w:tr>
      <w:tr w14:paraId="40EABB7D" w14:textId="77777777">
        <w:tc>
          <w:tcPr>
            <w:tcW w:w="5000" w:type="pct"/>
          </w:tcPr>
          <w:p w14:paraId="40C0D651" w14:textId="77777777">
            <w:pPr>
              <w:pStyle w:val="CodeParagraph"/>
              <w:keepNext/>
            </w:pPr>
            <w:r>
              <w:rPr>
                <w:rStyle w:val="Code"/>
              </w:rPr>
              <w:t xml:space="preserve">&lt;lg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"anuṣṭubh"</w:t>
            </w:r>
            <w:r>
              <w:rPr>
                <w:rStyle w:val="Code"/>
              </w:rPr>
              <w:t>&gt;</w:t>
            </w:r>
            <w:r>
              <w:rPr>
                <w:rStyle w:val="Codetext"/>
              </w:rPr>
              <w:br/>
            </w:r>
            <w:r>
              <w:rPr>
                <w:rStyle w:val="Code"/>
              </w:rPr>
              <w:t xml:space="preserve">  &lt;l </w:t>
            </w:r>
            <w:r>
              <w:rPr>
                <w:rStyle w:val="Codeattribute"/>
              </w:rPr>
              <w:t>n</w:t>
            </w:r>
            <w:r>
              <w:rPr>
                <w:rStyle w:val="Code"/>
              </w:rPr>
              <w:t>=</w:t>
            </w:r>
            <w:r>
              <w:rPr>
                <w:rStyle w:val="Codevalue"/>
              </w:rPr>
              <w:t>"a"</w:t>
            </w:r>
            <w:r>
              <w:rPr>
                <w:rStyle w:val="Code"/>
              </w:rPr>
              <w:t>&gt;</w:t>
            </w:r>
            <w:r>
              <w:rPr>
                <w:rStyle w:val="Codetext"/>
              </w:rPr>
              <w:t>svadattām para-dattām vā</w:t>
            </w:r>
            <w:r>
              <w:rPr>
                <w:rStyle w:val="Code"/>
              </w:rPr>
              <w:t>&lt;/l&gt;</w:t>
            </w:r>
            <w:r>
              <w:rPr>
                <w:rStyle w:val="Codetext"/>
              </w:rPr>
              <w:br/>
            </w:r>
            <w:r>
              <w:rPr>
                <w:rStyle w:val="Code"/>
              </w:rPr>
              <w:t xml:space="preserve">  &lt;l </w:t>
            </w:r>
            <w:r>
              <w:rPr>
                <w:rStyle w:val="Codeattribute"/>
              </w:rPr>
              <w:t>n</w:t>
            </w:r>
            <w:r>
              <w:rPr>
                <w:rStyle w:val="Code"/>
              </w:rPr>
              <w:t>=</w:t>
            </w:r>
            <w:r>
              <w:rPr>
                <w:rStyle w:val="Codevalue"/>
              </w:rPr>
              <w:t>"b"</w:t>
            </w:r>
            <w:r>
              <w:rPr>
                <w:rStyle w:val="Code"/>
              </w:rPr>
              <w:t>&gt;</w:t>
            </w:r>
            <w:r>
              <w:rPr>
                <w:rStyle w:val="Codetext"/>
              </w:rPr>
              <w:t>yo hareta va</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sundharām</w:t>
            </w:r>
            <w:r>
              <w:rPr>
                <w:rStyle w:val="Code"/>
              </w:rPr>
              <w:t>&lt;/supplied&gt;&lt;/l&gt;</w:t>
            </w:r>
            <w:r>
              <w:rPr>
                <w:rStyle w:val="Codetext"/>
              </w:rPr>
              <w:br/>
            </w:r>
            <w:r>
              <w:rPr>
                <w:rStyle w:val="Code"/>
              </w:rPr>
              <w:t xml:space="preserve">  &lt;l </w:t>
            </w:r>
            <w:r>
              <w:rPr>
                <w:rStyle w:val="Codeattribute"/>
              </w:rPr>
              <w:t>n</w:t>
            </w:r>
            <w:r>
              <w:rPr>
                <w:rStyle w:val="Code"/>
              </w:rPr>
              <w:t>=</w:t>
            </w:r>
            <w:r>
              <w:rPr>
                <w:rStyle w:val="Codevalue"/>
              </w:rPr>
              <w:t>"c"</w:t>
            </w:r>
            <w:r>
              <w:rPr>
                <w:rStyle w:val="Code"/>
              </w:rPr>
              <w:t xml:space="preserve">&gt;&lt;supplied </w:t>
            </w:r>
            <w:r>
              <w:rPr>
                <w:rStyle w:val="Codeattribute"/>
              </w:rPr>
              <w:t>reason</w:t>
            </w:r>
            <w:r>
              <w:rPr>
                <w:rStyle w:val="Code"/>
              </w:rPr>
              <w:t>=</w:t>
            </w:r>
            <w:r>
              <w:rPr>
                <w:rStyle w:val="Codevalue"/>
              </w:rPr>
              <w:t>"lost"</w:t>
            </w:r>
            <w:r>
              <w:rPr>
                <w:rStyle w:val="Code"/>
              </w:rPr>
              <w:t>&gt;</w:t>
            </w:r>
            <w:r>
              <w:rPr>
                <w:rStyle w:val="Codetext"/>
              </w:rPr>
              <w:t>sa viṣṭhāyāṁ kr̥mir bhūtvā</w:t>
            </w:r>
            <w:r>
              <w:rPr>
                <w:rStyle w:val="Code"/>
              </w:rPr>
              <w:t>&lt;/supplied&gt;&lt;/l&gt;</w:t>
            </w:r>
            <w:r>
              <w:rPr>
                <w:rStyle w:val="Codetext"/>
              </w:rPr>
              <w:br/>
            </w:r>
            <w:r>
              <w:rPr>
                <w:rStyle w:val="Code"/>
              </w:rPr>
              <w:t xml:space="preserve">  &lt;l </w:t>
            </w:r>
            <w:r>
              <w:rPr>
                <w:rStyle w:val="Codeattribute"/>
              </w:rPr>
              <w:t>n</w:t>
            </w:r>
            <w:r>
              <w:rPr>
                <w:rStyle w:val="Code"/>
              </w:rPr>
              <w:t>=</w:t>
            </w:r>
            <w:r>
              <w:rPr>
                <w:rStyle w:val="Codevalue"/>
              </w:rPr>
              <w:t>"d"</w:t>
            </w:r>
            <w:r>
              <w:rPr>
                <w:rStyle w:val="Code"/>
              </w:rPr>
              <w:t xml:space="preserve">&gt;&lt;supplied </w:t>
            </w:r>
            <w:r>
              <w:rPr>
                <w:rStyle w:val="Codeattribute"/>
              </w:rPr>
              <w:t>reason</w:t>
            </w:r>
            <w:r>
              <w:rPr>
                <w:rStyle w:val="Code"/>
              </w:rPr>
              <w:t>=</w:t>
            </w:r>
            <w:r>
              <w:rPr>
                <w:rStyle w:val="Codevalue"/>
              </w:rPr>
              <w:t>"lost"</w:t>
            </w:r>
            <w:r>
              <w:rPr>
                <w:rStyle w:val="Code"/>
              </w:rPr>
              <w:t>&gt;</w:t>
            </w:r>
            <w:r>
              <w:rPr>
                <w:rStyle w:val="Codetext"/>
              </w:rPr>
              <w:t>pitr̥</w:t>
            </w:r>
            <w:r>
              <w:rPr>
                <w:rStyle w:val="Code"/>
              </w:rPr>
              <w:t>&lt;/supplied&gt;</w:t>
            </w:r>
            <w:r>
              <w:rPr>
                <w:rStyle w:val="Codetext"/>
              </w:rPr>
              <w:t>bhiḥ saha pacyate</w:t>
            </w:r>
            <w:r>
              <w:rPr>
                <w:rStyle w:val="Code"/>
              </w:rPr>
              <w:t>&lt;/l&gt;</w:t>
            </w:r>
            <w:r>
              <w:rPr>
                <w:rStyle w:val="Codetext"/>
              </w:rPr>
              <w:br/>
            </w:r>
            <w:r>
              <w:rPr>
                <w:rStyle w:val="Code"/>
              </w:rPr>
              <w:t>&lt;/lg&gt;</w:t>
            </w:r>
          </w:p>
        </w:tc>
      </w:tr>
      <w:tr w14:paraId="70F206EF" w14:textId="77777777">
        <w:tc>
          <w:tcPr>
            <w:tcW w:w="5000" w:type="pct"/>
          </w:tcPr>
          <w:p w14:paraId="082790FE" w14:textId="77777777">
            <w:pPr>
              <w:pStyle w:val="TableNote"/>
              <w:rPr>
                <w:rStyle w:val="Code"/>
              </w:rPr>
            </w:pPr>
            <w:r>
              <w:t xml:space="preserve">the lost and supplied text in the middle of the stanza is encoded as three separate instances of supplied text: the end of </w:t>
            </w:r>
            <w:proofErr w:type="spellStart"/>
            <w:r>
              <w:rPr>
                <w:rStyle w:val="Foreign"/>
              </w:rPr>
              <w:t>pāda</w:t>
            </w:r>
            <w:r>
              <w:t>s</w:t>
            </w:r>
            <w:proofErr w:type="spellEnd"/>
            <w:r>
              <w:t xml:space="preserve"> </w:t>
            </w:r>
            <w:r>
              <w:rPr>
                <w:rStyle w:val="Foreign"/>
              </w:rPr>
              <w:t>b</w:t>
            </w:r>
            <w:r>
              <w:t xml:space="preserve">, all of </w:t>
            </w:r>
            <w:r>
              <w:rPr>
                <w:rStyle w:val="Foreign"/>
              </w:rPr>
              <w:t>pāda</w:t>
            </w:r>
            <w:r>
              <w:t xml:space="preserve"> </w:t>
            </w:r>
            <w:r>
              <w:rPr>
                <w:rStyle w:val="Foreign"/>
              </w:rPr>
              <w:t>c</w:t>
            </w:r>
            <w:r>
              <w:t xml:space="preserve">, and the beginning of </w:t>
            </w:r>
            <w:r>
              <w:rPr>
                <w:rStyle w:val="Foreign"/>
              </w:rPr>
              <w:t>pāda</w:t>
            </w:r>
            <w:r>
              <w:t xml:space="preserve"> d</w:t>
            </w:r>
          </w:p>
        </w:tc>
      </w:tr>
    </w:tbl>
    <w:p w14:paraId="1000F48A" w14:textId="77777777">
      <w:pPr>
        <w:pStyle w:val="Cmsor3"/>
      </w:pPr>
      <w:bookmarkStart w:id="1111" w:name="_Ref232072486"/>
      <w:bookmarkStart w:id="1112" w:name="_Toc243922829"/>
      <w:r>
        <w:t>Tier 6, unclear</w:t>
      </w:r>
      <w:bookmarkEnd w:id="1111"/>
      <w:bookmarkEnd w:id="1112"/>
    </w:p>
    <w:p w14:paraId="0FB21366" w14:textId="77777777">
      <w:pPr>
        <w:pStyle w:val="Lista"/>
      </w:pPr>
      <w:r>
        <w:t xml:space="preserve">the element </w:t>
      </w:r>
      <w:r>
        <w:rPr>
          <w:rStyle w:val="Code"/>
        </w:rPr>
        <w:t>&lt;unclear&gt;</w:t>
      </w:r>
      <w:r>
        <w:t xml:space="preserve"> must, by EpiDoc rules, contain only text and may never contain any markup elements except </w:t>
      </w:r>
      <w:r>
        <w:rPr>
          <w:rStyle w:val="Code"/>
        </w:rPr>
        <w:t>&lt;g&gt;</w:t>
      </w:r>
      <w:r>
        <w:t>; thus,</w:t>
      </w:r>
    </w:p>
    <w:p w14:paraId="3D9EEB8C" w14:textId="2536B12B">
      <w:pPr>
        <w:pStyle w:val="Lista2"/>
      </w:pPr>
      <w:r>
        <w:t xml:space="preserve">when unclarity overlaps with another encoded feature, it is always </w:t>
      </w:r>
      <w:r>
        <w:rPr>
          <w:rStyle w:val="Code"/>
        </w:rPr>
        <w:t>&lt;unclear&gt;</w:t>
      </w:r>
      <w:r>
        <w:t xml:space="preserve"> that must be split into separate parts inside and outside the other element, as in </w:t>
      </w:r>
      <w:r>
        <w:fldChar w:fldCharType="begin"/>
      </w:r>
      <w:r>
        <w:instrText xml:space="preserve"> REF _Ref44072089 \h  \* MERGEFORMAT </w:instrText>
      </w:r>
      <w:r>
        <w:fldChar w:fldCharType="separate"/>
      </w:r>
      <w:r>
        <w:t xml:space="preserve">Exhibit </w:t>
      </w:r>
      <w:r>
        <w:rPr>
          <w:noProof/>
        </w:rPr>
        <w:t>16.2.C</w:t>
      </w:r>
      <w:r>
        <w:fldChar w:fldCharType="end"/>
      </w:r>
    </w:p>
    <w:p w14:paraId="0776DCF6" w14:textId="78F8AABD">
      <w:pPr>
        <w:pStyle w:val="Lista2"/>
      </w:pPr>
      <w:r>
        <w:t xml:space="preserve">when an unclear stretch contains another encoded feature </w:t>
      </w:r>
      <w:r>
        <w:rPr>
          <w:noProof/>
        </w:rPr>
        <w:t>(</w:t>
      </w:r>
      <w:r>
        <w:t xml:space="preserve">other than </w:t>
      </w:r>
      <w:r>
        <w:rPr>
          <w:rStyle w:val="Code"/>
        </w:rPr>
        <w:t>&lt;g&gt;</w:t>
      </w:r>
      <w:r>
        <w:t xml:space="preserve">), then </w:t>
      </w:r>
      <w:r>
        <w:rPr>
          <w:rStyle w:val="Code"/>
        </w:rPr>
        <w:t>&lt;unclear&gt;</w:t>
      </w:r>
      <w:r>
        <w:t xml:space="preserve"> must be split into separate parts as in </w:t>
      </w:r>
      <w:r>
        <w:fldChar w:fldCharType="begin"/>
      </w:r>
      <w:r>
        <w:instrText xml:space="preserve"> REF _Ref44072159 \h  \* MERGEFORMAT </w:instrText>
      </w:r>
      <w:r>
        <w:fldChar w:fldCharType="separate"/>
      </w:r>
      <w:r>
        <w:t xml:space="preserve">Exhibit </w:t>
      </w:r>
      <w:r>
        <w:rPr>
          <w:noProof/>
        </w:rPr>
        <w:t>16.2.D</w:t>
      </w:r>
      <w:r>
        <w:fldChar w:fldCharType="end"/>
      </w:r>
      <w:r>
        <w:t xml:space="preserve">, to allow the nesting of </w:t>
      </w:r>
      <w:r>
        <w:rPr>
          <w:rStyle w:val="Code"/>
        </w:rPr>
        <w:t>&lt;unclear&gt;</w:t>
      </w:r>
      <w:r>
        <w:t xml:space="preserve"> within the other element instead of the other way round</w:t>
      </w:r>
    </w:p>
    <w:tbl>
      <w:tblPr>
        <w:tblStyle w:val="CodeSampleTable"/>
        <w:tblW w:w="5000" w:type="pct"/>
        <w:tblLook w:val="04A0" w:firstRow="1" w:lastRow="0" w:firstColumn="1" w:lastColumn="0" w:noHBand="0" w:noVBand="1"/>
      </w:tblPr>
      <w:tblGrid>
        <w:gridCol w:w="9628"/>
      </w:tblGrid>
      <w:tr w14:paraId="16D1CD37"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60772F3" w14:textId="0349AD9A">
            <w:pPr>
              <w:pStyle w:val="Kpalrs"/>
            </w:pPr>
            <w:bookmarkStart w:id="1113" w:name="_Ref44072089"/>
            <w:r>
              <w:t xml:space="preserve">Exhibit </w:t>
            </w:r>
            <w:fldSimple w:instr=" STYLEREF 2 \s ">
              <w:r>
                <w:rPr>
                  <w:noProof/>
                </w:rPr>
                <w:t>16.2</w:t>
              </w:r>
            </w:fldSimple>
            <w:r>
              <w:t>.</w:t>
            </w:r>
            <w:fldSimple w:instr=" SEQ Exhibit \* ALPHABETIC \s 2 ">
              <w:r>
                <w:rPr>
                  <w:noProof/>
                </w:rPr>
                <w:t>C</w:t>
              </w:r>
            </w:fldSimple>
            <w:bookmarkEnd w:id="1113"/>
            <w:r>
              <w:t>: unclear with an overlapping element</w:t>
            </w:r>
          </w:p>
        </w:tc>
      </w:tr>
      <w:tr w14:paraId="508FD0CB" w14:textId="77777777">
        <w:tc>
          <w:tcPr>
            <w:tcW w:w="5000" w:type="pct"/>
          </w:tcPr>
          <w:p w14:paraId="09BA710E" w14:textId="77777777">
            <w:pPr>
              <w:keepNext/>
              <w:jc w:val="center"/>
              <w:rPr>
                <w:rStyle w:val="Codetext"/>
              </w:rPr>
            </w:pPr>
            <w:r>
              <w:rPr>
                <w:rStyle w:val="Foreign"/>
              </w:rPr>
              <w:t>uktañ ca bhagavatā ve</w:t>
            </w:r>
            <w:r>
              <w:rPr>
                <w:rStyle w:val="Foreign"/>
                <w:dstrike/>
              </w:rPr>
              <w:t>da-vyāsena vyāsena vyā</w:t>
            </w:r>
            <w:r>
              <w:rPr>
                <w:rStyle w:val="Foreign"/>
              </w:rPr>
              <w:t>sena</w:t>
            </w:r>
          </w:p>
        </w:tc>
      </w:tr>
      <w:tr w14:paraId="5AC453B0" w14:textId="77777777">
        <w:tc>
          <w:tcPr>
            <w:tcW w:w="5000" w:type="pct"/>
          </w:tcPr>
          <w:p w14:paraId="3849EA1E" w14:textId="77777777">
            <w:pPr>
              <w:pStyle w:val="TableNote"/>
              <w:keepNext/>
              <w:ind w:left="0" w:firstLine="0"/>
              <w:contextualSpacing w:val="0"/>
            </w:pPr>
            <w:r>
              <w:t>the stretch struck out in the text above represents unclear text in the original</w:t>
            </w:r>
          </w:p>
          <w:p w14:paraId="06A749BC" w14:textId="77777777">
            <w:pPr>
              <w:pStyle w:val="TableNote"/>
              <w:keepNext/>
              <w:ind w:left="0" w:firstLine="0"/>
              <w:contextualSpacing w:val="0"/>
            </w:pPr>
            <w:r>
              <w:t xml:space="preserve">the last iteration of </w:t>
            </w:r>
            <w:r>
              <w:rPr>
                <w:rStyle w:val="Foreign"/>
              </w:rPr>
              <w:t>vyāsena</w:t>
            </w:r>
            <w:r>
              <w:t xml:space="preserve"> is scribal dittography, which you as editor suppress</w:t>
            </w:r>
          </w:p>
        </w:tc>
      </w:tr>
      <w:tr w14:paraId="6F718B43" w14:textId="77777777">
        <w:tc>
          <w:tcPr>
            <w:tcW w:w="5000" w:type="pct"/>
          </w:tcPr>
          <w:p w14:paraId="38CB6F17" w14:textId="77777777">
            <w:pPr>
              <w:pStyle w:val="CodeParagraph"/>
              <w:keepNext/>
            </w:pPr>
            <w:r>
              <w:rPr>
                <w:rStyle w:val="Codetext"/>
              </w:rPr>
              <w:t>uktañ ca bhagavatā ve</w:t>
            </w:r>
            <w:r>
              <w:rPr>
                <w:rStyle w:val="Code"/>
              </w:rPr>
              <w:t>&lt;unclear&gt;</w:t>
            </w:r>
            <w:r>
              <w:rPr>
                <w:rStyle w:val="Codetext"/>
              </w:rPr>
              <w:t>da-vyāsena vyāsena</w:t>
            </w:r>
            <w:r>
              <w:rPr>
                <w:rStyle w:val="Code"/>
              </w:rPr>
              <w:t>&lt;/unclear&gt;</w:t>
            </w:r>
            <w:r>
              <w:rPr>
                <w:rStyle w:val="Codetext"/>
              </w:rPr>
              <w:t xml:space="preserve"> </w:t>
            </w:r>
            <w:r>
              <w:rPr>
                <w:rStyle w:val="Code"/>
              </w:rPr>
              <w:t>&lt;surplus&gt;&lt;unclear&gt;</w:t>
            </w:r>
            <w:r>
              <w:rPr>
                <w:rStyle w:val="Codetext"/>
              </w:rPr>
              <w:t>vyā</w:t>
            </w:r>
            <w:r>
              <w:rPr>
                <w:rStyle w:val="Code"/>
              </w:rPr>
              <w:t>&lt;/unclear&gt;</w:t>
            </w:r>
            <w:r>
              <w:rPr>
                <w:rStyle w:val="Codetext"/>
              </w:rPr>
              <w:t>sena</w:t>
            </w:r>
            <w:r>
              <w:rPr>
                <w:rStyle w:val="Code"/>
              </w:rPr>
              <w:t>&lt;/surplus&gt;</w:t>
            </w:r>
          </w:p>
        </w:tc>
      </w:tr>
      <w:tr w14:paraId="63B66E37" w14:textId="77777777">
        <w:tc>
          <w:tcPr>
            <w:tcW w:w="5000" w:type="pct"/>
          </w:tcPr>
          <w:p w14:paraId="71F8753C" w14:textId="77777777">
            <w:pPr>
              <w:pStyle w:val="TableNote"/>
              <w:rPr>
                <w:rStyle w:val="Code"/>
              </w:rPr>
            </w:pPr>
            <w:r>
              <w:t xml:space="preserve">the </w:t>
            </w:r>
            <w:r>
              <w:rPr>
                <w:rStyle w:val="Code"/>
              </w:rPr>
              <w:t>&lt;unclear&gt;</w:t>
            </w:r>
            <w:r>
              <w:t xml:space="preserve"> element is split into two parts, one in the retained text and one in the suppressed segment</w:t>
            </w:r>
          </w:p>
        </w:tc>
      </w:tr>
    </w:tbl>
    <w:p w14:paraId="68AF11B7" w14:textId="77777777"/>
    <w:tbl>
      <w:tblPr>
        <w:tblStyle w:val="CodeSampleTable"/>
        <w:tblW w:w="5000" w:type="pct"/>
        <w:tblLook w:val="04A0" w:firstRow="1" w:lastRow="0" w:firstColumn="1" w:lastColumn="0" w:noHBand="0" w:noVBand="1"/>
      </w:tblPr>
      <w:tblGrid>
        <w:gridCol w:w="9628"/>
      </w:tblGrid>
      <w:tr w14:paraId="1475F31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F477C3D" w14:textId="7F07C553">
            <w:pPr>
              <w:pStyle w:val="Kpalrs"/>
            </w:pPr>
            <w:bookmarkStart w:id="1114" w:name="_Ref44072159"/>
            <w:r>
              <w:t xml:space="preserve">Exhibit </w:t>
            </w:r>
            <w:fldSimple w:instr=" STYLEREF 2 \s ">
              <w:r>
                <w:rPr>
                  <w:noProof/>
                </w:rPr>
                <w:t>16.2</w:t>
              </w:r>
            </w:fldSimple>
            <w:r>
              <w:t>.</w:t>
            </w:r>
            <w:fldSimple w:instr=" SEQ Exhibit \* ALPHABETIC \s 2 ">
              <w:r>
                <w:rPr>
                  <w:noProof/>
                </w:rPr>
                <w:t>D</w:t>
              </w:r>
            </w:fldSimple>
            <w:bookmarkEnd w:id="1114"/>
            <w:r>
              <w:t>: unclear with a nested element</w:t>
            </w:r>
          </w:p>
        </w:tc>
      </w:tr>
      <w:tr w14:paraId="31B9D455" w14:textId="77777777">
        <w:tc>
          <w:tcPr>
            <w:tcW w:w="5000" w:type="pct"/>
          </w:tcPr>
          <w:p w14:paraId="0BFADB40" w14:textId="77777777">
            <w:pPr>
              <w:keepNext/>
              <w:jc w:val="center"/>
              <w:rPr>
                <w:rStyle w:val="Codetext"/>
              </w:rPr>
            </w:pPr>
            <w:r>
              <w:rPr>
                <w:rStyle w:val="Foreign"/>
              </w:rPr>
              <w:t>puṇyābhi</w:t>
            </w:r>
            <w:r>
              <w:rPr>
                <w:rStyle w:val="Foreign"/>
                <w:dstrike/>
              </w:rPr>
              <w:t>vriddhaye</w:t>
            </w:r>
          </w:p>
        </w:tc>
      </w:tr>
      <w:tr w14:paraId="3FBF3DA2" w14:textId="77777777">
        <w:tc>
          <w:tcPr>
            <w:tcW w:w="5000" w:type="pct"/>
          </w:tcPr>
          <w:p w14:paraId="41138F8E" w14:textId="77777777">
            <w:pPr>
              <w:pStyle w:val="TableNote"/>
              <w:keepNext/>
              <w:ind w:left="0" w:firstLine="0"/>
              <w:contextualSpacing w:val="0"/>
            </w:pPr>
            <w:r>
              <w:t>the stretch struck out in the text above represents unclear text in the original</w:t>
            </w:r>
          </w:p>
          <w:p w14:paraId="267709C9" w14:textId="77777777">
            <w:pPr>
              <w:pStyle w:val="TableNote"/>
              <w:keepNext/>
              <w:ind w:left="0" w:firstLine="0"/>
              <w:contextualSpacing w:val="0"/>
            </w:pPr>
            <w:r>
              <w:t xml:space="preserve">the spelling </w:t>
            </w:r>
            <w:r>
              <w:rPr>
                <w:rStyle w:val="Foreign"/>
              </w:rPr>
              <w:t>ri</w:t>
            </w:r>
            <w:r>
              <w:t xml:space="preserve"> is non-standard and you, as editor, flag it as such</w:t>
            </w:r>
          </w:p>
        </w:tc>
      </w:tr>
      <w:tr w14:paraId="3BF84CF0" w14:textId="77777777">
        <w:tc>
          <w:tcPr>
            <w:tcW w:w="5000" w:type="pct"/>
          </w:tcPr>
          <w:p w14:paraId="26AC52FC" w14:textId="77777777">
            <w:pPr>
              <w:pStyle w:val="CodeParagraph"/>
              <w:keepNext/>
            </w:pPr>
            <w:r>
              <w:rPr>
                <w:rStyle w:val="Codetext"/>
              </w:rPr>
              <w:t>puṇyābhi</w:t>
            </w:r>
            <w:r>
              <w:rPr>
                <w:rStyle w:val="Code"/>
              </w:rPr>
              <w:t>&lt;unclear&gt;</w:t>
            </w:r>
            <w:r>
              <w:rPr>
                <w:rStyle w:val="Codetext"/>
              </w:rPr>
              <w:t>v</w:t>
            </w:r>
            <w:r>
              <w:rPr>
                <w:rStyle w:val="Code"/>
              </w:rPr>
              <w:t>&lt;/unclear&gt;&lt;orig&gt;&lt;unclear&gt;</w:t>
            </w:r>
            <w:r>
              <w:rPr>
                <w:rStyle w:val="Codetext"/>
              </w:rPr>
              <w:t>ri</w:t>
            </w:r>
            <w:r>
              <w:rPr>
                <w:rStyle w:val="Code"/>
              </w:rPr>
              <w:t>&lt;/unclear&gt;&lt;/orig&gt;&lt;unclear&gt;</w:t>
            </w:r>
            <w:r>
              <w:rPr>
                <w:rStyle w:val="Codetext"/>
              </w:rPr>
              <w:t>ddhaye</w:t>
            </w:r>
            <w:r>
              <w:rPr>
                <w:rStyle w:val="Code"/>
              </w:rPr>
              <w:t>&lt;/unclear&gt;</w:t>
            </w:r>
          </w:p>
        </w:tc>
      </w:tr>
      <w:tr w14:paraId="52F6CD33" w14:textId="77777777">
        <w:tc>
          <w:tcPr>
            <w:tcW w:w="5000" w:type="pct"/>
          </w:tcPr>
          <w:p w14:paraId="3FAC604A" w14:textId="77777777">
            <w:pPr>
              <w:pStyle w:val="TableNote"/>
              <w:rPr>
                <w:rStyle w:val="Codetext"/>
                <w:i/>
              </w:rPr>
            </w:pPr>
            <w:r>
              <w:t xml:space="preserve">the </w:t>
            </w:r>
            <w:r>
              <w:rPr>
                <w:rStyle w:val="Code"/>
              </w:rPr>
              <w:t>&lt;unclear&gt;</w:t>
            </w:r>
            <w:r>
              <w:t xml:space="preserve"> element is split into three parts, one before the flag, one for the flagged segment within the </w:t>
            </w:r>
            <w:r>
              <w:rPr>
                <w:rStyle w:val="Code"/>
              </w:rPr>
              <w:t>&lt;orig&gt;</w:t>
            </w:r>
            <w:r>
              <w:t xml:space="preserve"> tag, and one after it</w:t>
            </w:r>
          </w:p>
        </w:tc>
      </w:tr>
    </w:tbl>
    <w:p w14:paraId="612B00F5" w14:textId="77777777">
      <w:pPr>
        <w:pStyle w:val="Cmsor2"/>
      </w:pPr>
      <w:bookmarkStart w:id="1115" w:name="_k7hidbku03us" w:colFirst="0" w:colLast="0"/>
      <w:bookmarkStart w:id="1116" w:name="_Ref227844670"/>
      <w:bookmarkStart w:id="1117" w:name="_Ref43990429"/>
      <w:bookmarkStart w:id="1118" w:name="_Toc243922830"/>
      <w:bookmarkEnd w:id="1115"/>
      <w:r>
        <w:t>Graphemes and the granularity of encoding</w:t>
      </w:r>
      <w:bookmarkEnd w:id="1116"/>
      <w:bookmarkEnd w:id="1118"/>
    </w:p>
    <w:p w14:paraId="49D09244" w14:textId="77777777">
      <w:r>
        <w:t xml:space="preserve">As discussed in §2 of the TG (expanding on the quick definitions of the grapholinguistic terminology in TG §1.6), our original inscriptions are written in a complex script where most characters </w:t>
      </w:r>
      <w:r>
        <w:rPr>
          <w:noProof/>
        </w:rPr>
        <w:t>(</w:t>
      </w:r>
      <w:r>
        <w:rPr>
          <w:rStyle w:val="Foreign"/>
        </w:rPr>
        <w:t>akṣara</w:t>
      </w:r>
      <w:r>
        <w:rPr>
          <w:rStyle w:val="Foreign"/>
          <w:i w:val="0"/>
          <w:iCs w:val="0"/>
        </w:rPr>
        <w:t>s</w:t>
      </w:r>
      <w:r>
        <w:t xml:space="preserve">) are comprised of more than one grapheme, while our editions are in Romanised transliteration where characters coincide with a single grapheme but some source graphemes are represented by two target graphemes (digraphs like &lt;au&gt; and </w:t>
      </w:r>
      <w:r>
        <w:rPr>
          <w:noProof/>
        </w:rPr>
        <w:t>&lt;kh&gt;</w:t>
      </w:r>
      <w:r>
        <w:t>). This situation has the potential to create confusion in our encoding, whose minimal units are always source graphemes. This section addresses that confusion in order to pre-empt it.</w:t>
      </w:r>
    </w:p>
    <w:p w14:paraId="61881DAF" w14:textId="77777777">
      <w:pPr>
        <w:pStyle w:val="Cmsor3"/>
      </w:pPr>
      <w:bookmarkStart w:id="1119" w:name="_Ref232085052"/>
      <w:bookmarkStart w:id="1120" w:name="_Toc243922831"/>
      <w:r>
        <w:t>Grapholinguistic recap</w:t>
      </w:r>
      <w:bookmarkEnd w:id="1119"/>
      <w:bookmarkEnd w:id="1120"/>
    </w:p>
    <w:p w14:paraId="3DE79A64" w14:textId="77777777">
      <w:pPr>
        <w:pStyle w:val="Lista"/>
      </w:pPr>
      <w:r>
        <w:t>recall from TG §2.3.1 that graphemes are signifiers of minimal units of abstract linguistic information pertaining to a given domain of analytic interest</w:t>
      </w:r>
    </w:p>
    <w:p w14:paraId="791AC3AB" w14:textId="77777777">
      <w:pPr>
        <w:pStyle w:val="Lista2"/>
      </w:pPr>
      <w:r>
        <w:t>phonographic graphemes, which comprise most of our texts, are signifiers of information pertaining to abstract archetypal phonemes, whose mapping to the actual phonemes of spoken language depends on varyingly complex rules in the Indic writing systems of various languages</w:t>
      </w:r>
    </w:p>
    <w:p w14:paraId="12D1730E" w14:textId="77777777">
      <w:pPr>
        <w:pStyle w:val="Lista2"/>
      </w:pPr>
      <w:r>
        <w:t>for reasons discussed in the TG, among the phonographic graphemes of Indic writing systems we recognise not only the straightforward “letters” such as &lt;u&gt; and &lt;k&gt;, but also</w:t>
      </w:r>
    </w:p>
    <w:p w14:paraId="0837A459" w14:textId="77777777">
      <w:pPr>
        <w:pStyle w:val="Lista3"/>
      </w:pPr>
      <w:r>
        <w:lastRenderedPageBreak/>
        <w:t>the inherent vowel &lt;a&gt; (TG §2.3.2.1), even though it does not correspond to an isolable graphic sign</w:t>
      </w:r>
    </w:p>
    <w:p w14:paraId="59A8B004" w14:textId="77777777">
      <w:pPr>
        <w:pStyle w:val="Lista3"/>
      </w:pPr>
      <w:r>
        <w:t xml:space="preserve">the vowel killer </w:t>
      </w:r>
      <w:r>
        <w:rPr>
          <w:rStyle w:val="Foreign"/>
        </w:rPr>
        <w:t>virāma</w:t>
      </w:r>
      <w:r>
        <w:t xml:space="preserve"> &lt;·&gt; (TG §2.6.3)</w:t>
      </w:r>
    </w:p>
    <w:p w14:paraId="37756072" w14:textId="77777777">
      <w:pPr>
        <w:pStyle w:val="Lista"/>
      </w:pPr>
      <w:r>
        <w:t>recall from TG §2.3.1 that a grapheme is an emic (i.e. abstract) entity, not an actual graphic sign</w:t>
      </w:r>
    </w:p>
    <w:p w14:paraId="2D01CAD5" w14:textId="77777777">
      <w:pPr>
        <w:pStyle w:val="Lista2"/>
      </w:pPr>
      <w:r>
        <w:t>the etic (concrete) graphic signs corresponding to graphemes are called graphs</w:t>
      </w:r>
    </w:p>
    <w:p w14:paraId="38CF29EB" w14:textId="77777777">
      <w:pPr>
        <w:pStyle w:val="Lista"/>
      </w:pPr>
      <w:r>
        <w:t>recall from TG §2.4.1 that the autonomous graphic segments of writing are what we call characters</w:t>
      </w:r>
    </w:p>
    <w:p w14:paraId="7E87DC5B" w14:textId="77777777">
      <w:pPr>
        <w:pStyle w:val="Lista2"/>
      </w:pPr>
      <w:r>
        <w:t>characters are not the same as graphemes: the two normally coincide in the Latin writing system but tend not to coincide in the Indic writing system</w:t>
      </w:r>
    </w:p>
    <w:p w14:paraId="3D1D93E8" w14:textId="77777777">
      <w:pPr>
        <w:pStyle w:val="Lista2"/>
      </w:pPr>
      <w:r>
        <w:t xml:space="preserve">the characters of the Indic writing system, called </w:t>
      </w:r>
      <w:r>
        <w:rPr>
          <w:rStyle w:val="Foreign"/>
        </w:rPr>
        <w:t>akṣara</w:t>
      </w:r>
      <w:r>
        <w:rPr>
          <w:rStyle w:val="Foreign"/>
          <w:i w:val="0"/>
          <w:iCs w:val="0"/>
        </w:rPr>
        <w:t>s</w:t>
      </w:r>
      <w:r>
        <w:t xml:space="preserve"> in Sanskrit, are thus </w:t>
      </w:r>
      <w:r>
        <w:rPr>
          <w:i/>
          <w:iCs/>
        </w:rPr>
        <w:t>not</w:t>
      </w:r>
      <w:r>
        <w:t xml:space="preserve"> graphemes (TG §2.3.1.1)</w:t>
      </w:r>
    </w:p>
    <w:p w14:paraId="32C00712" w14:textId="77777777">
      <w:pPr>
        <w:pStyle w:val="Lista3"/>
      </w:pPr>
      <w:r>
        <w:t xml:space="preserve">typical </w:t>
      </w:r>
      <w:r>
        <w:rPr>
          <w:rStyle w:val="Foreign"/>
        </w:rPr>
        <w:t>akṣara</w:t>
      </w:r>
      <w:r>
        <w:rPr>
          <w:rStyle w:val="Foreign"/>
          <w:i w:val="0"/>
          <w:iCs w:val="0"/>
        </w:rPr>
        <w:t>s</w:t>
      </w:r>
      <w:r>
        <w:t xml:space="preserve"> such as &lt;ka&gt; and </w:t>
      </w:r>
      <w:r>
        <w:rPr>
          <w:noProof/>
        </w:rPr>
        <w:t>&lt;rddhe&gt;</w:t>
      </w:r>
      <w:r>
        <w:t xml:space="preserve"> are comprised of two or more graphemes</w:t>
      </w:r>
    </w:p>
    <w:p w14:paraId="0BDC0493" w14:textId="77777777">
      <w:pPr>
        <w:pStyle w:val="Lista3"/>
      </w:pPr>
      <w:r>
        <w:t xml:space="preserve">although some </w:t>
      </w:r>
      <w:r>
        <w:rPr>
          <w:rStyle w:val="Foreign"/>
        </w:rPr>
        <w:t>akṣara</w:t>
      </w:r>
      <w:r>
        <w:rPr>
          <w:noProof/>
        </w:rPr>
        <w:t>s</w:t>
      </w:r>
      <w:r>
        <w:t>, such as &lt;A&gt; and &lt;K&gt; are comprised of a single grapheme</w:t>
      </w:r>
    </w:p>
    <w:p w14:paraId="12A83660" w14:textId="77777777">
      <w:pPr>
        <w:pStyle w:val="Lista"/>
      </w:pPr>
      <w:r>
        <w:t xml:space="preserve">digraphs, such as </w:t>
      </w:r>
      <w:r>
        <w:rPr>
          <w:rStyle w:val="Foreign"/>
        </w:rPr>
        <w:t>au</w:t>
      </w:r>
      <w:r>
        <w:t xml:space="preserve"> and </w:t>
      </w:r>
      <w:r>
        <w:rPr>
          <w:rStyle w:val="Foreign"/>
        </w:rPr>
        <w:t>kh</w:t>
      </w:r>
      <w:r>
        <w:t xml:space="preserve"> in our transliteration scheme or </w:t>
      </w:r>
      <w:r>
        <w:rPr>
          <w:rStyle w:val="Foreign"/>
        </w:rPr>
        <w:t>sh</w:t>
      </w:r>
      <w:r>
        <w:t xml:space="preserve"> and </w:t>
      </w:r>
      <w:r>
        <w:rPr>
          <w:rStyle w:val="Foreign"/>
        </w:rPr>
        <w:t>th</w:t>
      </w:r>
      <w:r>
        <w:t xml:space="preserve"> in the English writing system, are neither graphemes nor characters</w:t>
      </w:r>
    </w:p>
    <w:p w14:paraId="5A3AB27A" w14:textId="77777777">
      <w:pPr>
        <w:pStyle w:val="Lista2"/>
      </w:pPr>
      <w:r>
        <w:t>instead, they are simply clusters of graphemes (and, in the Latin writing system, of characters) which, when occurring together, are mapped to a particular spoken phoneme</w:t>
      </w:r>
    </w:p>
    <w:p w14:paraId="18DDD59A" w14:textId="77777777">
      <w:pPr>
        <w:pStyle w:val="Lista2"/>
      </w:pPr>
      <w:r>
        <w:t xml:space="preserve">however, the digraphs of our transliteration </w:t>
      </w:r>
      <w:r>
        <w:rPr>
          <w:i/>
          <w:iCs/>
        </w:rPr>
        <w:t>represent</w:t>
      </w:r>
      <w:r>
        <w:t xml:space="preserve"> single source graphemes, such as the graphemes &lt;au&gt; and </w:t>
      </w:r>
      <w:r>
        <w:rPr>
          <w:noProof/>
        </w:rPr>
        <w:t>&lt;kh&gt;</w:t>
      </w:r>
      <w:r>
        <w:t xml:space="preserve"> of the Indic writing system</w:t>
      </w:r>
    </w:p>
    <w:p w14:paraId="11584246" w14:textId="77777777">
      <w:pPr>
        <w:pStyle w:val="Lista"/>
      </w:pPr>
      <w:r>
        <w:t>like graphemes, characters are emic units</w:t>
      </w:r>
    </w:p>
    <w:p w14:paraId="01F33C4B" w14:textId="77777777">
      <w:pPr>
        <w:pStyle w:val="Lista2"/>
      </w:pPr>
      <w:r>
        <w:t>their etic counterparts, i.e. their concrete written manifestations, are called glyphs</w:t>
      </w:r>
    </w:p>
    <w:p w14:paraId="6B5CB9F2" w14:textId="77777777">
      <w:pPr>
        <w:pStyle w:val="Lista2"/>
      </w:pPr>
      <w:r>
        <w:t xml:space="preserve">the term </w:t>
      </w:r>
      <w:r>
        <w:rPr>
          <w:rStyle w:val="Foreign"/>
        </w:rPr>
        <w:t>akṣara</w:t>
      </w:r>
      <w:r>
        <w:t xml:space="preserve"> may refer either to a character or a glyph of the Indic writing system</w:t>
      </w:r>
    </w:p>
    <w:p w14:paraId="5F567BAA" w14:textId="77777777">
      <w:pPr>
        <w:pStyle w:val="Lista"/>
      </w:pPr>
      <w:r>
        <w:t>as discussed in TG §2.4.3, the Indic writing system’s characters and glyphs can both be complex, and the former (graphemic complexity) and the latter (graphetic complexity) do not always coincide, although they usually do so</w:t>
      </w:r>
    </w:p>
    <w:p w14:paraId="13D3182E" w14:textId="77777777">
      <w:pPr>
        <w:pStyle w:val="Lista"/>
      </w:pPr>
      <w:r>
        <w:t>the constituent graphs of complex glyphs can themselves consist of several parts, which we call graphic elements or simply elements</w:t>
      </w:r>
    </w:p>
    <w:p w14:paraId="24535403" w14:textId="77777777">
      <w:pPr>
        <w:pStyle w:val="Lista2"/>
      </w:pPr>
      <w:r>
        <w:t>graphic elements are not graphs because they do not manifest graphemes, i.e. they do not signify linguistic information in a given domain of analytic interest</w:t>
      </w:r>
    </w:p>
    <w:p w14:paraId="2BCAAC84" w14:textId="77777777">
      <w:pPr>
        <w:pStyle w:val="Lista2"/>
      </w:pPr>
      <w:r>
        <w:t>some graphic elements can, however, look identical to certain graphs because of the phenomenon called dual patterning (TG §2.4.4.1)</w:t>
      </w:r>
    </w:p>
    <w:p w14:paraId="19490AFD" w14:textId="77777777">
      <w:pPr>
        <w:pStyle w:val="Lista3"/>
      </w:pPr>
      <w:r>
        <w:t xml:space="preserve">for example, Devanagari </w:t>
      </w:r>
      <w:r>
        <w:rPr>
          <w:rFonts w:cs="Latha"/>
          <w:lang w:bidi="ta-IN"/>
        </w:rPr>
        <w:t>|</w:t>
      </w:r>
      <w:r>
        <w:rPr>
          <w:rStyle w:val="ForeignDevanagariScript0"/>
          <w:rFonts w:hint="cs"/>
          <w:cs/>
        </w:rPr>
        <w:t>ा</w:t>
      </w:r>
      <w:r>
        <w:rPr>
          <w:rFonts w:cs="Latha"/>
          <w:lang w:bidi="ta-IN"/>
        </w:rPr>
        <w:t>|</w:t>
      </w:r>
      <w:r>
        <w:t xml:space="preserve"> is a graph</w:t>
      </w:r>
      <w:r>
        <w:rPr>
          <w:rFonts w:hint="cs"/>
          <w:cs/>
        </w:rPr>
        <w:t xml:space="preserve"> </w:t>
      </w:r>
      <w:r>
        <w:t xml:space="preserve">(corresponding to the grapheme &lt;ā&gt;) in the glyph </w:t>
      </w:r>
      <w:r>
        <w:rPr>
          <w:rFonts w:cs="Latha"/>
          <w:lang w:bidi="ta-IN"/>
        </w:rPr>
        <w:t>|</w:t>
      </w:r>
      <w:r>
        <w:rPr>
          <w:rStyle w:val="ForeignDevanagariScript0"/>
          <w:rFonts w:hint="cs"/>
          <w:cs/>
        </w:rPr>
        <w:t>का</w:t>
      </w:r>
      <w:r>
        <w:rPr>
          <w:rFonts w:cs="Latha"/>
          <w:lang w:bidi="ta-IN"/>
        </w:rPr>
        <w:t>|</w:t>
      </w:r>
      <w:r>
        <w:t xml:space="preserve"> (corresponding to the character </w:t>
      </w:r>
      <w:r>
        <w:rPr>
          <w:noProof/>
        </w:rPr>
        <w:t>&lt;kā&gt;</w:t>
      </w:r>
      <w:r>
        <w:t>)</w:t>
      </w:r>
    </w:p>
    <w:p w14:paraId="223746E2" w14:textId="77777777">
      <w:pPr>
        <w:pStyle w:val="Lista3"/>
      </w:pPr>
      <w:r>
        <w:t xml:space="preserve">but in the glyph </w:t>
      </w:r>
      <w:r>
        <w:rPr>
          <w:rFonts w:cs="Latha"/>
          <w:lang w:bidi="ta-IN"/>
        </w:rPr>
        <w:t>|</w:t>
      </w:r>
      <w:r>
        <w:rPr>
          <w:rStyle w:val="ForeignDevanagariScript0"/>
          <w:rFonts w:hint="cs"/>
          <w:cs/>
        </w:rPr>
        <w:t>को</w:t>
      </w:r>
      <w:r>
        <w:rPr>
          <w:rFonts w:cs="Latha"/>
          <w:lang w:bidi="ta-IN"/>
        </w:rPr>
        <w:t xml:space="preserve">| (&lt;ko&gt;), </w:t>
      </w:r>
      <w:r>
        <w:t xml:space="preserve">the same shape </w:t>
      </w:r>
      <w:r>
        <w:rPr>
          <w:rFonts w:cs="Latha"/>
          <w:lang w:bidi="ta-IN"/>
        </w:rPr>
        <w:t>|</w:t>
      </w:r>
      <w:r>
        <w:rPr>
          <w:rStyle w:val="ForeignDevanagariScript0"/>
          <w:rFonts w:hint="cs"/>
          <w:cs/>
        </w:rPr>
        <w:t>ा</w:t>
      </w:r>
      <w:r>
        <w:rPr>
          <w:rFonts w:cs="Latha"/>
          <w:lang w:bidi="ta-IN"/>
        </w:rPr>
        <w:t>|</w:t>
      </w:r>
      <w:r>
        <w:t xml:space="preserve"> is merely an element (of the graph </w:t>
      </w:r>
      <w:r>
        <w:rPr>
          <w:rFonts w:cs="Latha"/>
          <w:lang w:bidi="ta-IN"/>
        </w:rPr>
        <w:t>|</w:t>
      </w:r>
      <w:r>
        <w:rPr>
          <w:rStyle w:val="ForeignDevanagariScript0"/>
          <w:rFonts w:hint="cs"/>
          <w:cs/>
        </w:rPr>
        <w:t>ो</w:t>
      </w:r>
      <w:r>
        <w:rPr>
          <w:rFonts w:cs="Latha"/>
          <w:lang w:bidi="ta-IN"/>
        </w:rPr>
        <w:t>| corresponding to the grapheme &lt;o&gt;)</w:t>
      </w:r>
    </w:p>
    <w:p w14:paraId="3DA6FDB4" w14:textId="77777777">
      <w:pPr>
        <w:pStyle w:val="Lista3"/>
      </w:pPr>
      <w:r>
        <w:rPr>
          <w:rFonts w:cs="Latha"/>
          <w:lang w:bidi="ta-IN"/>
        </w:rPr>
        <w:t>analogously, Latin |l| in itself is a graph (corresponding to the grapheme &lt;l&gt;), but in the graph |k| the same shape |l|</w:t>
      </w:r>
      <w:r>
        <w:t xml:space="preserve"> is merely an element</w:t>
      </w:r>
    </w:p>
    <w:p w14:paraId="4A5FC5AC" w14:textId="77777777">
      <w:pPr>
        <w:pStyle w:val="Cmsor3"/>
      </w:pPr>
      <w:bookmarkStart w:id="1121" w:name="_Toc243922832"/>
      <w:r>
        <w:t>Encoding Indic documents in Romanised transliteration</w:t>
      </w:r>
      <w:bookmarkEnd w:id="1121"/>
    </w:p>
    <w:p w14:paraId="572F24CF" w14:textId="4F5A0A52">
      <w:r>
        <w:t>The minimal units of our encoding are always source graphemes, meaning that encoding can never apply to anything that is smaller than a source grapheme, and alterations to the text below the level of source graphemes must be represented as alterations at the level of source graphemes. In the light of the grapholinguistic concepts summarised in §</w:t>
      </w:r>
      <w:r>
        <w:fldChar w:fldCharType="begin"/>
      </w:r>
      <w:r>
        <w:instrText xml:space="preserve"> REF _Ref232085052 \r \h </w:instrText>
      </w:r>
      <w:r>
        <w:fldChar w:fldCharType="separate"/>
      </w:r>
      <w:r>
        <w:t>16.3.1</w:t>
      </w:r>
      <w:r>
        <w:fldChar w:fldCharType="end"/>
      </w:r>
      <w:r>
        <w:t xml:space="preserve"> above, this has the following implications. Because encoding a change in the text is most prone to confusion over graphemic units, the potential problems are also discussed separately and explicitly for the encoding of scribal intervention (§</w:t>
      </w:r>
      <w:r>
        <w:fldChar w:fldCharType="begin"/>
      </w:r>
      <w:r>
        <w:instrText xml:space="preserve"> REF _Ref228890328 \r \h </w:instrText>
      </w:r>
      <w:r>
        <w:fldChar w:fldCharType="separate"/>
      </w:r>
      <w:r>
        <w:t>5.5.4</w:t>
      </w:r>
      <w:r>
        <w:fldChar w:fldCharType="end"/>
      </w:r>
      <w:r>
        <w:t>) and editorial intervention (§</w:t>
      </w:r>
      <w:r>
        <w:fldChar w:fldCharType="begin"/>
      </w:r>
      <w:r>
        <w:instrText xml:space="preserve"> REF _Ref228952859 \r \h </w:instrText>
      </w:r>
      <w:r>
        <w:fldChar w:fldCharType="separate"/>
      </w:r>
      <w:r>
        <w:t>7.7.1</w:t>
      </w:r>
      <w:r>
        <w:fldChar w:fldCharType="end"/>
      </w:r>
      <w:r>
        <w:t>).</w:t>
      </w:r>
    </w:p>
    <w:p w14:paraId="46A4046C" w14:textId="77777777">
      <w:pPr>
        <w:pStyle w:val="Lista"/>
      </w:pPr>
      <w:r>
        <w:t xml:space="preserve">encoding </w:t>
      </w:r>
      <w:r>
        <w:rPr>
          <w:i/>
          <w:iCs/>
        </w:rPr>
        <w:t xml:space="preserve">cannot </w:t>
      </w:r>
      <w:r>
        <w:t xml:space="preserve">apply to individual target graphemes which are members of a digraph in our transliteration system, such as </w:t>
      </w:r>
      <w:r>
        <w:rPr>
          <w:rStyle w:val="Foreign"/>
        </w:rPr>
        <w:t>au</w:t>
      </w:r>
      <w:r>
        <w:t xml:space="preserve"> and </w:t>
      </w:r>
      <w:r>
        <w:rPr>
          <w:rStyle w:val="Foreign"/>
        </w:rPr>
        <w:t>kh</w:t>
      </w:r>
    </w:p>
    <w:p w14:paraId="1D4A7A4E" w14:textId="77777777">
      <w:pPr>
        <w:pStyle w:val="Lista2"/>
      </w:pPr>
      <w:r>
        <w:t>digraphs are for our purposes atomic units, as their members do not, in themselves, represent a source grapheme</w:t>
      </w:r>
    </w:p>
    <w:p w14:paraId="4D42B85C" w14:textId="77777777">
      <w:pPr>
        <w:pStyle w:val="Lista2"/>
      </w:pPr>
      <w:r>
        <w:t xml:space="preserve">for example, the glyphs for &lt;pa&gt; and </w:t>
      </w:r>
      <w:r>
        <w:rPr>
          <w:noProof/>
        </w:rPr>
        <w:t>&lt;pha&gt;</w:t>
      </w:r>
      <w:r>
        <w:t xml:space="preserve"> look rather similar in many Indic scripts, but in a hypothetical situation where the editor is uncertain which of these was inscribed, encoding </w:t>
      </w:r>
      <w:r>
        <w:rPr>
          <w:rStyle w:val="Codetext"/>
        </w:rPr>
        <w:t>p</w:t>
      </w:r>
      <w:r>
        <w:rPr>
          <w:rStyle w:val="Code"/>
        </w:rPr>
        <w:t xml:space="preserve">&lt;unclear </w:t>
      </w:r>
      <w:r>
        <w:rPr>
          <w:rStyle w:val="Codeattribute"/>
        </w:rPr>
        <w:t>cert</w:t>
      </w:r>
      <w:r>
        <w:rPr>
          <w:rStyle w:val="Code"/>
        </w:rPr>
        <w:t>=</w:t>
      </w:r>
      <w:r>
        <w:rPr>
          <w:rStyle w:val="Codevalue"/>
        </w:rPr>
        <w:t>"low"</w:t>
      </w:r>
      <w:r>
        <w:rPr>
          <w:rStyle w:val="Code"/>
        </w:rPr>
        <w:t>&gt;</w:t>
      </w:r>
      <w:r>
        <w:rPr>
          <w:rStyle w:val="Codetext"/>
        </w:rPr>
        <w:t>h</w:t>
      </w:r>
      <w:r>
        <w:rPr>
          <w:rStyle w:val="Code"/>
        </w:rPr>
        <w:t>&lt;/unclear&gt;</w:t>
      </w:r>
      <w:r>
        <w:rPr>
          <w:rStyle w:val="Codetext"/>
        </w:rPr>
        <w:t>a</w:t>
      </w:r>
      <w:r>
        <w:t xml:space="preserve"> is </w:t>
      </w:r>
      <w:r>
        <w:rPr>
          <w:i/>
          <w:iCs/>
        </w:rPr>
        <w:t>not</w:t>
      </w:r>
      <w:r>
        <w:t xml:space="preserve"> an option</w:t>
      </w:r>
    </w:p>
    <w:p w14:paraId="13A779D7" w14:textId="77777777">
      <w:pPr>
        <w:pStyle w:val="Lista3"/>
      </w:pPr>
      <w:r>
        <w:t>(instead, encode the more likely reading as unclear or both as an ambivalent choice)</w:t>
      </w:r>
    </w:p>
    <w:p w14:paraId="1AF9ED79" w14:textId="77777777">
      <w:pPr>
        <w:pStyle w:val="Lista"/>
      </w:pPr>
      <w:r>
        <w:lastRenderedPageBreak/>
        <w:t xml:space="preserve">encoding </w:t>
      </w:r>
      <w:r>
        <w:rPr>
          <w:i/>
          <w:iCs/>
        </w:rPr>
        <w:t xml:space="preserve">can </w:t>
      </w:r>
      <w:r>
        <w:t>apply to source graphemes which are components of a complex character in the source, even if it would be impossible to single them out in the original script</w:t>
      </w:r>
    </w:p>
    <w:p w14:paraId="0117EF90" w14:textId="77777777">
      <w:pPr>
        <w:pStyle w:val="Lista2"/>
      </w:pPr>
      <w:r>
        <w:t xml:space="preserve">while a printed edition in an Indic script such as Devanagari often applies editorial markup (such as brackets) to entire </w:t>
      </w:r>
      <w:r>
        <w:rPr>
          <w:rStyle w:val="Foreign"/>
        </w:rPr>
        <w:t>akṣara</w:t>
      </w:r>
      <w:r>
        <w:rPr>
          <w:rStyle w:val="Foreign"/>
          <w:i w:val="0"/>
          <w:iCs w:val="0"/>
        </w:rPr>
        <w:t>s</w:t>
      </w:r>
      <w:r>
        <w:t xml:space="preserve">, this need not and should not be done in a digital edition of a transliterated text unless of course the markup in question is applicable to all the graphemes of an </w:t>
      </w:r>
      <w:r>
        <w:rPr>
          <w:rStyle w:val="Foreign"/>
        </w:rPr>
        <w:t>akṣara</w:t>
      </w:r>
    </w:p>
    <w:p w14:paraId="0E4E080F" w14:textId="77777777">
      <w:pPr>
        <w:pStyle w:val="Lista2"/>
        <w:rPr>
          <w:rStyle w:val="Codetext"/>
          <w:rFonts w:ascii="Gentium" w:hAnsi="Gentium" w:cs="Tiro Devanagari Sanskrit"/>
          <w:noProof w:val="0"/>
          <w:color w:val="auto"/>
          <w:shd w:val="clear" w:color="auto" w:fill="auto"/>
        </w:rPr>
      </w:pPr>
      <w:r>
        <w:t xml:space="preserve">for example, if the subscript part of the glyph |dvi| is unclear while the rest of it is clear, the correct encoding is </w:t>
      </w:r>
      <w:r>
        <w:rPr>
          <w:rStyle w:val="Codetext"/>
        </w:rPr>
        <w:t>d</w:t>
      </w:r>
      <w:r>
        <w:rPr>
          <w:rStyle w:val="Code"/>
        </w:rPr>
        <w:t>&lt;unclear&gt;</w:t>
      </w:r>
      <w:r>
        <w:rPr>
          <w:rStyle w:val="Codetext"/>
        </w:rPr>
        <w:t>v</w:t>
      </w:r>
      <w:r>
        <w:rPr>
          <w:rStyle w:val="Code"/>
        </w:rPr>
        <w:t>&lt;/unclear&gt;</w:t>
      </w:r>
      <w:r>
        <w:rPr>
          <w:rStyle w:val="Codetext"/>
        </w:rPr>
        <w:t>i</w:t>
      </w:r>
      <w:r>
        <w:t xml:space="preserve">, and </w:t>
      </w:r>
      <w:r>
        <w:rPr>
          <w:i/>
          <w:iCs/>
        </w:rPr>
        <w:t>not</w:t>
      </w:r>
      <w:r>
        <w:t xml:space="preserve"> </w:t>
      </w:r>
      <w:r>
        <w:rPr>
          <w:rStyle w:val="Code"/>
        </w:rPr>
        <w:t>&lt;unclear&gt;</w:t>
      </w:r>
      <w:r>
        <w:rPr>
          <w:rStyle w:val="Codetext"/>
        </w:rPr>
        <w:t>dvi</w:t>
      </w:r>
      <w:r>
        <w:rPr>
          <w:rStyle w:val="Code"/>
        </w:rPr>
        <w:t>&lt;/unclear&gt;</w:t>
      </w:r>
    </w:p>
    <w:p w14:paraId="6297E963" w14:textId="77777777">
      <w:pPr>
        <w:pStyle w:val="Lista"/>
      </w:pPr>
      <w:r>
        <w:t xml:space="preserve">when encoding scribal and editorial intervention, modifications that involve the addition or deletion of a source graph (such as a vowel marker or a </w:t>
      </w:r>
      <w:r>
        <w:rPr>
          <w:rStyle w:val="Foreign"/>
        </w:rPr>
        <w:t>virāma</w:t>
      </w:r>
      <w:r>
        <w:t>) cannot be encoded as addition or deletion because on the graphemic level it results in the swapping of one grapheme for another</w:t>
      </w:r>
    </w:p>
    <w:p w14:paraId="78E15A4F" w14:textId="1F1EF688">
      <w:pPr>
        <w:pStyle w:val="Lista2"/>
      </w:pPr>
      <w:r>
        <w:t xml:space="preserve">instead, they must be encoded as a substitution (of the inherent vowel with another vowel or the </w:t>
      </w:r>
      <w:r>
        <w:rPr>
          <w:rStyle w:val="Foreign"/>
        </w:rPr>
        <w:t>virāma</w:t>
      </w:r>
      <w:r>
        <w:t>, or vice versa), as discussed in more detail with examples in §</w:t>
      </w:r>
      <w:r>
        <w:fldChar w:fldCharType="begin"/>
      </w:r>
      <w:r>
        <w:instrText xml:space="preserve"> REF _Ref228890328 \r \h </w:instrText>
      </w:r>
      <w:r>
        <w:fldChar w:fldCharType="separate"/>
      </w:r>
      <w:r>
        <w:t>5.5.4</w:t>
      </w:r>
      <w:r>
        <w:fldChar w:fldCharType="end"/>
      </w:r>
      <w:r>
        <w:t xml:space="preserve"> and §</w:t>
      </w:r>
      <w:r>
        <w:fldChar w:fldCharType="begin"/>
      </w:r>
      <w:r>
        <w:instrText xml:space="preserve"> REF _Ref228952859 \r \h </w:instrText>
      </w:r>
      <w:r>
        <w:fldChar w:fldCharType="separate"/>
      </w:r>
      <w:r>
        <w:t>7.7.1</w:t>
      </w:r>
      <w:r>
        <w:fldChar w:fldCharType="end"/>
      </w:r>
    </w:p>
    <w:p w14:paraId="78527B09" w14:textId="77777777">
      <w:pPr>
        <w:pStyle w:val="Lista"/>
      </w:pPr>
      <w:r>
        <w:t xml:space="preserve">because our transliteration treats the independent forms of vowels and consonants as graphemes distinct from their </w:t>
      </w:r>
      <w:r>
        <w:rPr>
          <w:noProof/>
        </w:rPr>
        <w:t>in-</w:t>
      </w:r>
      <w:r>
        <w:rPr>
          <w:rStyle w:val="Foreign"/>
        </w:rPr>
        <w:t>akṣara</w:t>
      </w:r>
      <w:r>
        <w:t xml:space="preserve"> forms, when encoding editorial intervention, modifications that involve the addition or deletion of a grapheme may require an adjacent grapheme to be changed from its </w:t>
      </w:r>
      <w:r>
        <w:rPr>
          <w:noProof/>
        </w:rPr>
        <w:t>in-</w:t>
      </w:r>
      <w:r>
        <w:rPr>
          <w:rStyle w:val="Foreign"/>
        </w:rPr>
        <w:t>akṣara</w:t>
      </w:r>
      <w:r>
        <w:t xml:space="preserve"> form to its independent form or vice versa</w:t>
      </w:r>
    </w:p>
    <w:p w14:paraId="0F470FAB" w14:textId="3728D678">
      <w:pPr>
        <w:pStyle w:val="Lista2"/>
      </w:pPr>
      <w:r>
        <w:t>this is discussed in more detail with examples in §</w:t>
      </w:r>
      <w:r>
        <w:fldChar w:fldCharType="begin"/>
      </w:r>
      <w:r>
        <w:instrText xml:space="preserve"> REF _Ref228952859 \r \h </w:instrText>
      </w:r>
      <w:r>
        <w:fldChar w:fldCharType="separate"/>
      </w:r>
      <w:r>
        <w:t>7.7.1</w:t>
      </w:r>
      <w:r>
        <w:fldChar w:fldCharType="end"/>
      </w:r>
    </w:p>
    <w:bookmarkEnd w:id="1117"/>
    <w:p w14:paraId="4F8D1E40" w14:textId="2FFBD2D5">
      <w:pPr>
        <w:pStyle w:val="Cm"/>
      </w:pPr>
      <w:r>
        <w:lastRenderedPageBreak/>
        <w:t>Appendices</w:t>
      </w:r>
      <w:bookmarkStart w:id="1122" w:name="_qidxc825gutk" w:colFirst="0" w:colLast="0"/>
      <w:bookmarkEnd w:id="1122"/>
    </w:p>
    <w:p w14:paraId="73CE6B51" w14:textId="77777777">
      <w:pPr>
        <w:pStyle w:val="Cmsor1"/>
        <w:numPr>
          <w:ilvl w:val="0"/>
          <w:numId w:val="7"/>
        </w:numPr>
      </w:pPr>
      <w:bookmarkStart w:id="1123" w:name="_9d8e21ca9gia" w:colFirst="0" w:colLast="0"/>
      <w:bookmarkStart w:id="1124" w:name="_Ref43985466"/>
      <w:bookmarkStart w:id="1125" w:name="_Toc243922833"/>
      <w:bookmarkEnd w:id="1123"/>
      <w:r>
        <w:lastRenderedPageBreak/>
        <w:t>Case Studies in encoding complex layout</w:t>
      </w:r>
      <w:bookmarkEnd w:id="1124"/>
      <w:bookmarkEnd w:id="1125"/>
    </w:p>
    <w:p w14:paraId="50F7FC1C" w14:textId="77777777">
      <w:pPr>
        <w:pStyle w:val="Cmsor2"/>
        <w:numPr>
          <w:ilvl w:val="1"/>
          <w:numId w:val="7"/>
        </w:numPr>
      </w:pPr>
      <w:bookmarkStart w:id="1126" w:name="_fxhw8prafv6z" w:colFirst="0" w:colLast="0"/>
      <w:bookmarkStart w:id="1127" w:name="_Ref239844299"/>
      <w:bookmarkStart w:id="1128" w:name="_Toc243922834"/>
      <w:bookmarkEnd w:id="1126"/>
      <w:r>
        <w:t>Slab in two non-contiguous fragments</w:t>
      </w:r>
      <w:bookmarkEnd w:id="1127"/>
      <w:bookmarkEnd w:id="1128"/>
    </w:p>
    <w:p w14:paraId="548F9769" w14:textId="77777777">
      <w:pPr>
        <w:pStyle w:val="Image"/>
      </w:pPr>
      <w:r>
        <w:drawing>
          <wp:inline distT="0" distB="0" distL="0" distR="0" wp14:anchorId="3737A8AA" wp14:editId="5F05420B">
            <wp:extent cx="4497070" cy="3056890"/>
            <wp:effectExtent l="0" t="0" r="0" b="0"/>
            <wp:docPr id="277679417"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97070" cy="3056890"/>
                    </a:xfrm>
                    <a:prstGeom prst="rect">
                      <a:avLst/>
                    </a:prstGeom>
                    <a:noFill/>
                    <a:ln>
                      <a:noFill/>
                    </a:ln>
                  </pic:spPr>
                </pic:pic>
              </a:graphicData>
            </a:graphic>
          </wp:inline>
        </w:drawing>
      </w:r>
    </w:p>
    <w:p w14:paraId="23B07DCC" w14:textId="77777777">
      <w:pPr>
        <w:pStyle w:val="Lista"/>
      </w:pPr>
      <w:r>
        <w:t>here we have two fragments of a slab, which are clearly from the top and bottom of a single inscription, but there is no way to know how much text is lost between the two</w:t>
      </w:r>
    </w:p>
    <w:p w14:paraId="44D6CF1B" w14:textId="260BA860">
      <w:pPr>
        <w:pStyle w:val="Lista"/>
      </w:pPr>
      <w:r>
        <w:t>therefore the fragments have been encoded as textpart divisions as per §</w:t>
      </w:r>
      <w:r>
        <w:fldChar w:fldCharType="begin"/>
      </w:r>
      <w:r>
        <w:instrText xml:space="preserve"> REF _Ref225346692 \r \h </w:instrText>
      </w:r>
      <w:r>
        <w:fldChar w:fldCharType="separate"/>
      </w:r>
      <w:r>
        <w:t>4.7.3.2</w:t>
      </w:r>
      <w:r>
        <w:fldChar w:fldCharType="end"/>
      </w:r>
    </w:p>
    <w:p w14:paraId="7FD40A08" w14:textId="4D529E1F">
      <w:pPr>
        <w:pStyle w:val="Lista"/>
      </w:pPr>
      <w:r>
        <w:t>the lost text in between is not encoded, as per §</w:t>
      </w:r>
      <w:r>
        <w:fldChar w:fldCharType="begin"/>
      </w:r>
      <w:r>
        <w:instrText xml:space="preserve"> REF _Ref43981711 \w \h  \* MERGEFORMAT </w:instrText>
      </w:r>
      <w:r>
        <w:fldChar w:fldCharType="separate"/>
      </w:r>
      <w:r>
        <w:t>6.5.4</w:t>
      </w:r>
      <w:r>
        <w:fldChar w:fldCharType="end"/>
      </w:r>
    </w:p>
    <w:p w14:paraId="0491E333" w14:textId="22BB063C">
      <w:pPr>
        <w:pStyle w:val="Lista"/>
      </w:pPr>
      <w:r>
        <w:t>the incomplete semantic paragraphs are encoded as per §</w:t>
      </w:r>
      <w:r>
        <w:fldChar w:fldCharType="begin"/>
      </w:r>
      <w:r>
        <w:instrText xml:space="preserve"> REF _Ref228980509 \r \h </w:instrText>
      </w:r>
      <w:r>
        <w:fldChar w:fldCharType="separate"/>
      </w:r>
      <w:r>
        <w:t>3.2.3.1</w:t>
      </w:r>
      <w:r>
        <w:fldChar w:fldCharType="end"/>
      </w:r>
      <w:r>
        <w:t xml:space="preserve"> </w:t>
      </w:r>
    </w:p>
    <w:p w14:paraId="6BC5CC9A" w14:textId="77777777">
      <w:pPr>
        <w:pStyle w:val="CodeParagraph"/>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br/>
        <w:t xml:space="preserve">  </w:t>
      </w:r>
      <w:r>
        <w:rPr>
          <w:rStyle w:val="Code"/>
        </w:rPr>
        <w:t xml:space="preserve">&lt;p </w:t>
      </w:r>
      <w:r>
        <w:rPr>
          <w:rStyle w:val="Codeattribute"/>
        </w:rPr>
        <w:t>part</w:t>
      </w:r>
      <w:r>
        <w:rPr>
          <w:rStyle w:val="Code"/>
        </w:rPr>
        <w:t>=</w:t>
      </w:r>
      <w:r>
        <w:rPr>
          <w:rStyle w:val="Codevalue"/>
        </w:rPr>
        <w:t>"I"</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 there lived a hobbit. Not a</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nasty, dirty, wet hole, filled with the ends of worms</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/&gt;</w:t>
      </w:r>
      <w:r>
        <w:rPr>
          <w:rStyle w:val="Codetext"/>
        </w:rPr>
        <w:t>and an oozy smell, nor yet a dry, bare, sandy h</w:t>
      </w:r>
      <w:r>
        <w:rPr>
          <w:rStyle w:val="Code"/>
        </w:rPr>
        <w:t>&lt;unclear&gt;</w:t>
      </w:r>
      <w:r>
        <w:rPr>
          <w:rStyle w:val="Codetext"/>
        </w:rPr>
        <w:t>ol</w:t>
      </w:r>
      <w:r>
        <w:rPr>
          <w:rStyle w:val="Code"/>
        </w:rPr>
        <w:t xml:space="preserve">&lt;/unclear&gt;&lt;supplied </w:t>
      </w:r>
      <w:r>
        <w:rPr>
          <w:rStyle w:val="Codeattribute"/>
        </w:rPr>
        <w:t>reason</w:t>
      </w:r>
      <w:r>
        <w:rPr>
          <w:rStyle w:val="Code"/>
        </w:rPr>
        <w:t>=</w:t>
      </w:r>
      <w:r>
        <w:rPr>
          <w:rStyle w:val="Codevalue"/>
        </w:rPr>
        <w:t>"lost"</w:t>
      </w:r>
      <w:r>
        <w:rPr>
          <w:rStyle w:val="Code"/>
        </w:rPr>
        <w:t>&gt;</w:t>
      </w:r>
      <w:r>
        <w:rPr>
          <w:rStyle w:val="Codetext"/>
        </w:rPr>
        <w:t>e</w:t>
      </w:r>
      <w:r>
        <w:rPr>
          <w:rStyle w:val="Code"/>
        </w:rPr>
        <w:t>&lt;/supplied</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/&gt;</w:t>
      </w:r>
      <w:r>
        <w:rPr>
          <w:rStyle w:val="Codetext"/>
        </w:rPr>
        <w:t xml:space="preserve">with nothing in it to </w:t>
      </w:r>
      <w:r>
        <w:rPr>
          <w:rStyle w:val="Code"/>
        </w:rPr>
        <w:t xml:space="preserve">&lt;unclear </w:t>
      </w:r>
      <w:r>
        <w:rPr>
          <w:rStyle w:val="Codeattribute"/>
        </w:rPr>
        <w:t>cert</w:t>
      </w:r>
      <w:r>
        <w:rPr>
          <w:rStyle w:val="Code"/>
        </w:rPr>
        <w:t>=</w:t>
      </w:r>
      <w:r>
        <w:rPr>
          <w:rStyle w:val="Codevalue"/>
        </w:rPr>
        <w:t>"low"</w:t>
      </w:r>
      <w:r>
        <w:rPr>
          <w:rStyle w:val="Code"/>
        </w:rPr>
        <w:t>&gt;</w:t>
      </w:r>
      <w:r>
        <w:rPr>
          <w:rStyle w:val="Codetext"/>
        </w:rPr>
        <w:t>sit</w:t>
      </w:r>
      <w:r>
        <w:rPr>
          <w:rStyle w:val="Code"/>
        </w:rPr>
        <w:t>&lt;/unclear&gt;</w:t>
      </w:r>
      <w:r>
        <w:rPr>
          <w:rStyle w:val="Codetext"/>
        </w:rPr>
        <w:t xml:space="preserve"> down on or to eat: it </w:t>
      </w:r>
      <w:r>
        <w:rPr>
          <w:rStyle w:val="Code"/>
        </w:rPr>
        <w:t>&lt;unclear&gt;</w:t>
      </w:r>
      <w:r>
        <w:rPr>
          <w:rStyle w:val="Codetext"/>
        </w:rPr>
        <w:t>w</w:t>
      </w:r>
      <w:r>
        <w:rPr>
          <w:rStyle w:val="Code"/>
        </w:rPr>
        <w:t xml:space="preserve">&lt;/unclear&gt;&lt;supplied </w:t>
      </w:r>
      <w:r>
        <w:rPr>
          <w:rStyle w:val="Codeattribute"/>
        </w:rPr>
        <w:t>reason</w:t>
      </w:r>
      <w:r>
        <w:rPr>
          <w:rStyle w:val="Code"/>
        </w:rPr>
        <w:t>=</w:t>
      </w:r>
      <w:r>
        <w:rPr>
          <w:rStyle w:val="Codevalue"/>
        </w:rPr>
        <w:t>"lost"</w:t>
      </w:r>
      <w:r>
        <w:rPr>
          <w:rStyle w:val="Code"/>
        </w:rPr>
        <w:t>&gt;</w:t>
      </w:r>
      <w:r>
        <w:rPr>
          <w:rStyle w:val="Codetext"/>
        </w:rPr>
        <w:t>as a</w:t>
      </w:r>
      <w:r>
        <w:rPr>
          <w:rStyle w:val="Code"/>
        </w:rPr>
        <w:t>&lt;/supplied&gt;</w:t>
      </w:r>
      <w:r>
        <w:rPr>
          <w:rStyle w:val="Codetext"/>
        </w:rPr>
        <w:br/>
        <w:t xml:space="preserve">    </w:t>
      </w:r>
      <w:r>
        <w:rPr>
          <w:rStyle w:val="Code"/>
        </w:rPr>
        <w:t xml:space="preserve">&lt;lb </w:t>
      </w:r>
      <w:r>
        <w:rPr>
          <w:rStyle w:val="Codeattribute"/>
        </w:rPr>
        <w:t>n</w:t>
      </w:r>
      <w:r>
        <w:rPr>
          <w:rStyle w:val="Code"/>
        </w:rPr>
        <w:t>=</w:t>
      </w:r>
      <w:r>
        <w:rPr>
          <w:rStyle w:val="Codevalue"/>
        </w:rPr>
        <w:t>"5"</w:t>
      </w:r>
      <w:r>
        <w:rPr>
          <w:rStyle w:val="Code"/>
        </w:rPr>
        <w:t>/&gt;</w:t>
      </w:r>
      <w:r>
        <w:rPr>
          <w:rStyle w:val="Codetext"/>
        </w:rPr>
        <w:t>hobbit-h</w:t>
      </w:r>
      <w:r>
        <w:rPr>
          <w:rStyle w:val="Code"/>
        </w:rPr>
        <w:t>&lt;unclear&gt;</w:t>
      </w:r>
      <w:r>
        <w:rPr>
          <w:rStyle w:val="Codetext"/>
        </w:rPr>
        <w:t>ol</w:t>
      </w:r>
      <w:r>
        <w:rPr>
          <w:rStyle w:val="Code"/>
        </w:rPr>
        <w:t xml:space="preserve">&lt;/unclear&gt;&lt;supplied </w:t>
      </w:r>
      <w:r>
        <w:rPr>
          <w:rStyle w:val="Codeattribute"/>
        </w:rPr>
        <w:t>reason</w:t>
      </w:r>
      <w:r>
        <w:rPr>
          <w:rStyle w:val="Code"/>
        </w:rPr>
        <w:t>=</w:t>
      </w:r>
      <w:r>
        <w:rPr>
          <w:rStyle w:val="Codevalue"/>
        </w:rPr>
        <w:t>"lost"</w:t>
      </w:r>
      <w:r>
        <w:rPr>
          <w:rStyle w:val="Code"/>
        </w:rPr>
        <w:t>&gt;</w:t>
      </w:r>
      <w:r>
        <w:rPr>
          <w:rStyle w:val="Codetext"/>
        </w:rPr>
        <w:t>e</w:t>
      </w:r>
      <w:r>
        <w:rPr>
          <w:rStyle w:val="Code"/>
        </w:rPr>
        <w:t>&lt;/supplied&gt;</w:t>
      </w:r>
      <w:r>
        <w:rPr>
          <w:rStyle w:val="Codetext"/>
        </w:rPr>
        <w:t xml:space="preserve">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"18"</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/&gt;&lt;unclear&gt;</w:t>
      </w:r>
      <w:r>
        <w:rPr>
          <w:rStyle w:val="Codetext"/>
        </w:rPr>
        <w:t>f</w:t>
      </w:r>
      <w:r>
        <w:rPr>
          <w:rStyle w:val="Code"/>
        </w:rPr>
        <w:t xml:space="preserve">&lt;/unclear&gt;&lt;gap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"12"</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w:t>
      </w:r>
      <w:r>
        <w:rPr>
          <w:rStyle w:val="Codetext"/>
        </w:rPr>
        <w:br/>
        <w:t xml:space="preserve">  </w:t>
      </w:r>
      <w:r>
        <w:rPr>
          <w:rStyle w:val="Code"/>
        </w:rPr>
        <w:t>&lt;/p&gt;</w:t>
      </w:r>
      <w:r>
        <w:rPr>
          <w:rStyle w:val="Codetext"/>
        </w:rPr>
        <w:br/>
      </w:r>
      <w:r>
        <w:rPr>
          <w:rStyle w:val="Code"/>
        </w:rPr>
        <w:t>&lt;/div&gt;</w:t>
      </w:r>
      <w:r>
        <w:rPr>
          <w:rStyle w:val="Codetext"/>
        </w:rPr>
        <w:br/>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br/>
        <w:t xml:space="preserve">  </w:t>
      </w:r>
      <w:r>
        <w:rPr>
          <w:rStyle w:val="Code"/>
        </w:rPr>
        <w:t xml:space="preserve">&lt;p </w:t>
      </w:r>
      <w:r>
        <w:rPr>
          <w:rStyle w:val="Codeattribute"/>
        </w:rPr>
        <w:t>part</w:t>
      </w:r>
      <w:r>
        <w:rPr>
          <w:rStyle w:val="Code"/>
        </w:rPr>
        <w:t>=</w:t>
      </w:r>
      <w:r>
        <w:rPr>
          <w:rStyle w:val="Codevalue"/>
        </w:rPr>
        <w:t>"F"</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"12"</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/&gt;&lt;unclear&gt;</w:t>
      </w:r>
      <w:r>
        <w:rPr>
          <w:rStyle w:val="Codetext"/>
        </w:rPr>
        <w:t>w</w:t>
      </w:r>
      <w:r>
        <w:rPr>
          <w:rStyle w:val="Code"/>
        </w:rPr>
        <w:t>&lt;/unclear&gt;</w:t>
      </w:r>
      <w:r>
        <w:rPr>
          <w:rStyle w:val="Codetext"/>
        </w:rPr>
        <w:t>as a very well-to-do hobbit, and his</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"5"</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/&gt;&lt;unclear&gt;</w:t>
      </w:r>
      <w:r>
        <w:rPr>
          <w:rStyle w:val="Codetext"/>
        </w:rPr>
        <w:t>w</w:t>
      </w:r>
      <w:r>
        <w:rPr>
          <w:rStyle w:val="Code"/>
        </w:rPr>
        <w:t>&lt;/unclear&gt;</w:t>
      </w:r>
      <w:r>
        <w:rPr>
          <w:rStyle w:val="Codetext"/>
        </w:rPr>
        <w:t>as Baggins. The Bagginses had lived in the</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/&gt;&lt;unclear&gt;</w:t>
      </w:r>
      <w:r>
        <w:rPr>
          <w:rStyle w:val="Codetext"/>
        </w:rPr>
        <w:t>n</w:t>
      </w:r>
      <w:r>
        <w:rPr>
          <w:rStyle w:val="Code"/>
        </w:rPr>
        <w:t>&lt;/unclear&gt;e</w:t>
      </w:r>
      <w:r>
        <w:rPr>
          <w:rStyle w:val="Codetext"/>
        </w:rPr>
        <w:t>ighbourhood of The Hill for time out of mind, and</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/&gt;</w:t>
      </w:r>
      <w:r>
        <w:rPr>
          <w:rStyle w:val="Codetext"/>
        </w:rPr>
        <w:t>people considered them very respectable</w:t>
      </w:r>
      <w:r>
        <w:rPr>
          <w:rStyle w:val="Codetext"/>
        </w:rPr>
        <w:br/>
        <w:t xml:space="preserve">  </w:t>
      </w:r>
      <w:r>
        <w:rPr>
          <w:rStyle w:val="Code"/>
        </w:rPr>
        <w:t>&lt;/p&gt;</w:t>
      </w:r>
      <w:r>
        <w:rPr>
          <w:rStyle w:val="Codetext"/>
        </w:rPr>
        <w:br/>
      </w:r>
      <w:r>
        <w:rPr>
          <w:rStyle w:val="Code"/>
        </w:rPr>
        <w:t>&lt;/div&gt;</w:t>
      </w:r>
    </w:p>
    <w:p w14:paraId="2BE9954F" w14:textId="77777777">
      <w:pPr>
        <w:pStyle w:val="Cmsor2"/>
        <w:numPr>
          <w:ilvl w:val="1"/>
          <w:numId w:val="7"/>
        </w:numPr>
      </w:pPr>
      <w:bookmarkStart w:id="1129" w:name="_mqsd94x1tblc" w:colFirst="0" w:colLast="0"/>
      <w:bookmarkStart w:id="1130" w:name="_Ref239844102"/>
      <w:bookmarkStart w:id="1131" w:name="_Ref239844124"/>
      <w:bookmarkStart w:id="1132" w:name="_Ref239844181"/>
      <w:bookmarkStart w:id="1133" w:name="_Ref239844274"/>
      <w:bookmarkStart w:id="1134" w:name="_Ref239844290"/>
      <w:bookmarkStart w:id="1135" w:name="_Toc243922835"/>
      <w:bookmarkEnd w:id="1129"/>
      <w:r>
        <w:lastRenderedPageBreak/>
        <w:t>Copperplate charter with seal and other goodies</w:t>
      </w:r>
      <w:bookmarkEnd w:id="1130"/>
      <w:bookmarkEnd w:id="1131"/>
      <w:bookmarkEnd w:id="1132"/>
      <w:bookmarkEnd w:id="1133"/>
      <w:bookmarkEnd w:id="1134"/>
      <w:bookmarkEnd w:id="1135"/>
    </w:p>
    <w:p w14:paraId="3B11C7E0" w14:textId="77777777">
      <w:pPr>
        <w:pStyle w:val="Image"/>
      </w:pPr>
      <w:r>
        <w:drawing>
          <wp:inline distT="0" distB="0" distL="0" distR="0" wp14:anchorId="6F2E9001" wp14:editId="6857779D">
            <wp:extent cx="5400000" cy="5400000"/>
            <wp:effectExtent l="0" t="0" r="0" b="0"/>
            <wp:docPr id="157042502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00000" cy="5400000"/>
                    </a:xfrm>
                    <a:prstGeom prst="rect">
                      <a:avLst/>
                    </a:prstGeom>
                    <a:noFill/>
                    <a:ln>
                      <a:noFill/>
                    </a:ln>
                  </pic:spPr>
                </pic:pic>
              </a:graphicData>
            </a:graphic>
          </wp:inline>
        </w:drawing>
      </w:r>
    </w:p>
    <w:p w14:paraId="342D9D7D" w14:textId="77777777">
      <w:pPr>
        <w:pStyle w:val="Lista"/>
      </w:pPr>
      <w:r>
        <w:t>this imaginary set of copper plates consists of</w:t>
      </w:r>
    </w:p>
    <w:p w14:paraId="54FF9854" w14:textId="77777777">
      <w:pPr>
        <w:pStyle w:val="Lista2"/>
      </w:pPr>
      <w:r>
        <w:t>an inscribed seal</w:t>
      </w:r>
    </w:p>
    <w:p w14:paraId="6C83B923" w14:textId="77777777">
      <w:pPr>
        <w:pStyle w:val="Lista2"/>
      </w:pPr>
      <w:r>
        <w:t>three plates, the first and the last inscribed only on their inner faces</w:t>
      </w:r>
    </w:p>
    <w:p w14:paraId="14625FC4" w14:textId="77777777">
      <w:pPr>
        <w:pStyle w:val="Lista3"/>
      </w:pPr>
      <w:r>
        <w:t>with foliation marks on the recto faces of the second and third plate</w:t>
      </w:r>
    </w:p>
    <w:p w14:paraId="1D0092FC" w14:textId="77777777">
      <w:pPr>
        <w:pStyle w:val="Lista3"/>
      </w:pPr>
      <w:r>
        <w:t>with an inset initial text on the first page</w:t>
      </w:r>
    </w:p>
    <w:p w14:paraId="3A138A8A" w14:textId="77777777">
      <w:pPr>
        <w:pStyle w:val="Lista3"/>
      </w:pPr>
      <w:r>
        <w:t>with a visually separated colophon on the last page</w:t>
      </w:r>
    </w:p>
    <w:p w14:paraId="1AB6A46E" w14:textId="015E1A3D">
      <w:pPr>
        <w:pStyle w:val="Lista"/>
      </w:pPr>
      <w:r>
        <w:t xml:space="preserve">the seal and the plates comprise a boxlike partition that must be encoded as two textpart divisions </w:t>
      </w:r>
      <w:r>
        <w:rPr>
          <w:noProof/>
        </w:rPr>
        <w:t>(</w:t>
      </w:r>
      <w:r>
        <w:t>§</w:t>
      </w:r>
      <w:r>
        <w:fldChar w:fldCharType="begin"/>
      </w:r>
      <w:r>
        <w:instrText xml:space="preserve"> REF _Ref225778181 \r \h </w:instrText>
      </w:r>
      <w:r>
        <w:fldChar w:fldCharType="separate"/>
      </w:r>
      <w:r>
        <w:t>4.2</w:t>
      </w:r>
      <w:r>
        <w:fldChar w:fldCharType="end"/>
      </w:r>
      <w:r>
        <w:t>)</w:t>
      </w:r>
    </w:p>
    <w:p w14:paraId="6BCED0B2" w14:textId="4E3AD4F2">
      <w:pPr>
        <w:pStyle w:val="Lista"/>
      </w:pPr>
      <w:r>
        <w:t xml:space="preserve">the second division is a virtual zone subdivided into pagelike partitions </w:t>
      </w:r>
      <w:r>
        <w:rPr>
          <w:noProof/>
        </w:rPr>
        <w:t>(</w:t>
      </w:r>
      <w:r>
        <w:t>§</w:t>
      </w:r>
      <w:r>
        <w:fldChar w:fldCharType="begin"/>
      </w:r>
      <w:r>
        <w:instrText xml:space="preserve"> REF _Ref233982406 \r \h </w:instrText>
      </w:r>
      <w:r>
        <w:fldChar w:fldCharType="separate"/>
      </w:r>
      <w:r>
        <w:t>4.4</w:t>
      </w:r>
      <w:r>
        <w:fldChar w:fldCharType="end"/>
      </w:r>
      <w:r>
        <w:t xml:space="preserve">), which are actual pages and must thus be encoded as </w:t>
      </w:r>
      <w:r>
        <w:rPr>
          <w:rStyle w:val="Code"/>
        </w:rPr>
        <w:t>&lt;pb/&gt;</w:t>
      </w:r>
      <w:r>
        <w:t xml:space="preserve"> elements (§</w:t>
      </w:r>
      <w:r>
        <w:fldChar w:fldCharType="begin"/>
      </w:r>
      <w:r>
        <w:instrText xml:space="preserve"> REF _Ref183083979 \r \h </w:instrText>
      </w:r>
      <w:r>
        <w:fldChar w:fldCharType="separate"/>
      </w:r>
      <w:r>
        <w:t>4.4.2</w:t>
      </w:r>
      <w:r>
        <w:fldChar w:fldCharType="end"/>
      </w:r>
      <w:r>
        <w:t>)</w:t>
      </w:r>
    </w:p>
    <w:p w14:paraId="78293A77" w14:textId="4D9EF3CD">
      <w:pPr>
        <w:pStyle w:val="Lista2"/>
      </w:pPr>
      <w:r>
        <w:t xml:space="preserve">the blank outer pages must also be encoded </w:t>
      </w:r>
      <w:r>
        <w:rPr>
          <w:noProof/>
        </w:rPr>
        <w:t>(</w:t>
      </w:r>
      <w:r>
        <w:t>§</w:t>
      </w:r>
      <w:r>
        <w:fldChar w:fldCharType="begin"/>
      </w:r>
      <w:r>
        <w:instrText xml:space="preserve"> REF _Ref182318940 \r \h </w:instrText>
      </w:r>
      <w:r>
        <w:fldChar w:fldCharType="separate"/>
      </w:r>
      <w:r>
        <w:t>4.4.2.2</w:t>
      </w:r>
      <w:r>
        <w:fldChar w:fldCharType="end"/>
      </w:r>
      <w:r>
        <w:t>)</w:t>
      </w:r>
    </w:p>
    <w:p w14:paraId="60B4E688" w14:textId="77777777">
      <w:pPr>
        <w:pStyle w:val="Lista"/>
      </w:pPr>
      <w:r>
        <w:t>within the second division,</w:t>
      </w:r>
    </w:p>
    <w:p w14:paraId="16FCE0A0" w14:textId="0AE09753">
      <w:pPr>
        <w:pStyle w:val="Lista2"/>
      </w:pPr>
      <w:r>
        <w:t xml:space="preserve">text begins with a floating incipit, which must be marked up as a special line </w:t>
      </w:r>
      <w:r>
        <w:rPr>
          <w:noProof/>
        </w:rPr>
        <w:t>(</w:t>
      </w:r>
      <w:r>
        <w:t>§</w:t>
      </w:r>
      <w:r>
        <w:fldChar w:fldCharType="begin"/>
      </w:r>
      <w:r>
        <w:instrText xml:space="preserve"> REF _Ref43978135 \r \h  \* MERGEFORMAT </w:instrText>
      </w:r>
      <w:r>
        <w:fldChar w:fldCharType="separate"/>
      </w:r>
      <w:r>
        <w:t>4.7.1.1</w:t>
      </w:r>
      <w:r>
        <w:fldChar w:fldCharType="end"/>
      </w:r>
      <w:r>
        <w:t>)</w:t>
      </w:r>
    </w:p>
    <w:p w14:paraId="7E421F35" w14:textId="2F6D0DA1">
      <w:pPr>
        <w:pStyle w:val="Lista2"/>
      </w:pPr>
      <w:r>
        <w:t xml:space="preserve">the foliation numbers comprise forme work </w:t>
      </w:r>
      <w:r>
        <w:rPr>
          <w:noProof/>
        </w:rPr>
        <w:t>(</w:t>
      </w:r>
      <w:r>
        <w:t>§</w:t>
      </w:r>
      <w:r>
        <w:fldChar w:fldCharType="begin"/>
      </w:r>
      <w:r>
        <w:instrText xml:space="preserve"> REF _Ref43984607 \w \h  \* MERGEFORMAT </w:instrText>
      </w:r>
      <w:r>
        <w:fldChar w:fldCharType="separate"/>
      </w:r>
      <w:r>
        <w:t>4.7.2</w:t>
      </w:r>
      <w:r>
        <w:fldChar w:fldCharType="end"/>
      </w:r>
      <w:r>
        <w:t>), each attached to the relevant page</w:t>
      </w:r>
    </w:p>
    <w:p w14:paraId="49B4203A" w14:textId="65D3FB15">
      <w:pPr>
        <w:pStyle w:val="Lista2"/>
      </w:pPr>
      <w:r>
        <w:t xml:space="preserve">the special alignment of the colophon may optionally be encoded </w:t>
      </w:r>
      <w:r>
        <w:rPr>
          <w:noProof/>
        </w:rPr>
        <w:t>(</w:t>
      </w:r>
      <w:r>
        <w:t>§</w:t>
      </w:r>
      <w:r>
        <w:fldChar w:fldCharType="begin"/>
      </w:r>
      <w:r>
        <w:instrText xml:space="preserve"> REF _Ref43987598 \r \h  \* MERGEFORMAT </w:instrText>
      </w:r>
      <w:r>
        <w:fldChar w:fldCharType="separate"/>
      </w:r>
      <w:r>
        <w:t>8.5.1</w:t>
      </w:r>
      <w:r>
        <w:fldChar w:fldCharType="end"/>
      </w:r>
      <w:r>
        <w:t>)</w:t>
      </w:r>
    </w:p>
    <w:p w14:paraId="1E45212C" w14:textId="77777777"/>
    <w:p w14:paraId="5D164F21" w14:textId="7D296A1C">
      <w:pPr>
        <w:pStyle w:val="CodeParagraph"/>
        <w:rPr>
          <w:rStyle w:val="Code"/>
        </w:rPr>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 xml:space="preserve">&gt;&lt;head </w:t>
      </w:r>
      <w:r>
        <w:rPr>
          <w:rStyle w:val="Codeattribute"/>
        </w:rPr>
        <w:t>xml:lang</w:t>
      </w:r>
      <w:r>
        <w:rPr>
          <w:rStyle w:val="Code"/>
        </w:rPr>
        <w:t>=</w:t>
      </w:r>
      <w:r>
        <w:rPr>
          <w:rStyle w:val="Codevalue"/>
        </w:rPr>
        <w:t>"eng"</w:t>
      </w:r>
      <w:r>
        <w:rPr>
          <w:rStyle w:val="Code"/>
        </w:rPr>
        <w:t>&gt;</w:t>
      </w:r>
      <w:r>
        <w:rPr>
          <w:rStyle w:val="Codetext"/>
        </w:rPr>
        <w:t>Seal</w:t>
      </w:r>
      <w:r>
        <w:rPr>
          <w:rStyle w:val="Code"/>
        </w:rPr>
        <w:t>&lt;/head&gt;</w:t>
      </w:r>
      <w:r>
        <w:rPr>
          <w:rStyle w:val="Codecomment"/>
        </w:rPr>
        <w:t>&lt;!--Seal as a division. Since the two divisions are different in nature, @subtype is not used; instead, a &lt;head&gt; is added for identification, §</w:t>
      </w:r>
      <w:r>
        <w:rPr>
          <w:rStyle w:val="Codecomment"/>
        </w:rPr>
        <w:fldChar w:fldCharType="begin"/>
      </w:r>
      <w:r>
        <w:rPr>
          <w:rStyle w:val="Codecomment"/>
        </w:rPr>
        <w:instrText xml:space="preserve"> REF _Ref225177909 \r \h </w:instrText>
      </w:r>
      <w:r>
        <w:rPr>
          <w:rStyle w:val="Codecomment"/>
        </w:rPr>
      </w:r>
      <w:r>
        <w:rPr>
          <w:rStyle w:val="Codecomment"/>
        </w:rPr>
        <w:fldChar w:fldCharType="separate"/>
      </w:r>
      <w:r>
        <w:rPr>
          <w:rStyle w:val="Codecomment"/>
        </w:rPr>
        <w:t>4.2.1.3</w:t>
      </w:r>
      <w:r>
        <w:rPr>
          <w:rStyle w:val="Codecomment"/>
        </w:rPr>
        <w:fldChar w:fldCharType="end"/>
      </w:r>
      <w:r>
        <w:rPr>
          <w:rStyle w:val="Codecomment"/>
        </w:rPr>
        <w:t>.--&gt;&lt;!--By project convention, the seal is encoded before the text of the plates.--&gt;</w:t>
      </w:r>
      <w:r>
        <w:rPr>
          <w:rStyle w:val="Codetext"/>
        </w:rPr>
        <w:br/>
      </w:r>
      <w:r>
        <w:rPr>
          <w:rStyle w:val="Codetext"/>
        </w:rPr>
        <w:lastRenderedPageBreak/>
        <w:t xml:space="preserve">  </w:t>
      </w:r>
      <w:r>
        <w:rPr>
          <w:rStyle w:val="Code"/>
        </w:rPr>
        <w:t>&lt;ab&gt;</w:t>
      </w:r>
      <w:r>
        <w:rPr>
          <w:rStyle w:val="Codecomment"/>
        </w:rPr>
        <w:t>&lt;!--Seal text wrapped in a block-level element, in this case &lt;ab&gt; because it does not qualify as a paragraph, §</w:t>
      </w:r>
      <w:r>
        <w:rPr>
          <w:rStyle w:val="Codecomment"/>
          <w:rFonts w:eastAsia="Arial Unicode MS"/>
        </w:rPr>
        <w:fldChar w:fldCharType="begin"/>
      </w:r>
      <w:r>
        <w:rPr>
          <w:rStyle w:val="Codecomment"/>
          <w:rFonts w:eastAsia="Arial Unicode MS"/>
        </w:rPr>
        <w:instrText xml:space="preserve"> REF _Ref43981028 \r \h  \* MERGEFORMAT </w:instrText>
      </w:r>
      <w:r>
        <w:rPr>
          <w:rStyle w:val="Codecomment"/>
          <w:rFonts w:eastAsia="Arial Unicode MS"/>
        </w:rPr>
      </w:r>
      <w:r>
        <w:rPr>
          <w:rStyle w:val="Codecomment"/>
          <w:rFonts w:eastAsia="Arial Unicode MS"/>
        </w:rPr>
        <w:fldChar w:fldCharType="separate"/>
      </w:r>
      <w:r>
        <w:rPr>
          <w:rStyle w:val="Codecomment"/>
          <w:rFonts w:eastAsia="Arial Unicode MS"/>
        </w:rPr>
        <w:t>3.2.1.2</w:t>
      </w:r>
      <w:r>
        <w:rPr>
          <w:rStyle w:val="Codecomment"/>
          <w:rFonts w:eastAsia="Arial Unicode MS"/>
        </w:rPr>
        <w:fldChar w:fldCharType="end"/>
      </w:r>
      <w:r>
        <w:rPr>
          <w:rStyle w:val="Codecomment"/>
        </w:rPr>
        <w:t>.--&gt;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J R R</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Tolkien</w:t>
      </w:r>
      <w:r>
        <w:rPr>
          <w:rStyle w:val="Codetext"/>
        </w:rPr>
        <w:br/>
        <w:t xml:space="preserve">  </w:t>
      </w:r>
      <w:r>
        <w:rPr>
          <w:rStyle w:val="Code"/>
        </w:rPr>
        <w:t>&lt;/ab&gt;</w:t>
      </w:r>
      <w:r>
        <w:rPr>
          <w:rStyle w:val="Codetext"/>
        </w:rPr>
        <w:br/>
      </w:r>
      <w:r>
        <w:rPr>
          <w:rStyle w:val="Code"/>
        </w:rPr>
        <w:t>&lt;/div&gt;</w:t>
      </w:r>
      <w:r>
        <w:rPr>
          <w:rStyle w:val="Codetext"/>
        </w:rPr>
        <w:br/>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"B"</w:t>
      </w:r>
      <w:r>
        <w:rPr>
          <w:rStyle w:val="Code"/>
        </w:rPr>
        <w:t xml:space="preserve">&gt;&lt;head </w:t>
      </w:r>
      <w:r>
        <w:rPr>
          <w:rStyle w:val="Codeattribute"/>
        </w:rPr>
        <w:t>xml:lang</w:t>
      </w:r>
      <w:r>
        <w:rPr>
          <w:rStyle w:val="Code"/>
        </w:rPr>
        <w:t>=</w:t>
      </w:r>
      <w:r>
        <w:rPr>
          <w:rStyle w:val="Codevalue"/>
        </w:rPr>
        <w:t>"eng"</w:t>
      </w:r>
      <w:r>
        <w:rPr>
          <w:rStyle w:val="Code"/>
        </w:rPr>
        <w:t>&gt;</w:t>
      </w:r>
      <w:r>
        <w:rPr>
          <w:rStyle w:val="Codetext"/>
        </w:rPr>
        <w:t>Plates</w:t>
      </w:r>
      <w:r>
        <w:rPr>
          <w:rStyle w:val="Code"/>
        </w:rPr>
        <w:t>&lt;/head&gt;</w:t>
      </w:r>
      <w:r>
        <w:rPr>
          <w:rStyle w:val="Codetext"/>
        </w:rPr>
        <w:br/>
        <w:t xml:space="preserve">  </w:t>
      </w:r>
      <w:r>
        <w:rPr>
          <w:rStyle w:val="Code"/>
        </w:rPr>
        <w:t xml:space="preserve">&lt;pb </w:t>
      </w:r>
      <w:r>
        <w:rPr>
          <w:rStyle w:val="Codeattribute"/>
        </w:rPr>
        <w:t>n</w:t>
      </w:r>
      <w:r>
        <w:rPr>
          <w:rStyle w:val="Code"/>
        </w:rPr>
        <w:t>=</w:t>
      </w:r>
      <w:r>
        <w:rPr>
          <w:rStyle w:val="Codevalue"/>
        </w:rPr>
        <w:t>"1r"</w:t>
      </w:r>
      <w:r>
        <w:rPr>
          <w:rStyle w:val="Code"/>
        </w:rPr>
        <w:t>/&gt;</w:t>
      </w:r>
      <w:r>
        <w:rPr>
          <w:rStyle w:val="Codecomment"/>
        </w:rPr>
        <w:t>&lt;!--Blank outer page; the page beginning is not inside a block-level element, §</w:t>
      </w:r>
      <w:r>
        <w:rPr>
          <w:rStyle w:val="Codecomment"/>
        </w:rPr>
        <w:fldChar w:fldCharType="begin"/>
      </w:r>
      <w:r>
        <w:rPr>
          <w:rStyle w:val="Codecomment"/>
        </w:rPr>
        <w:instrText xml:space="preserve"> REF _Ref182318940 \r \h </w:instrText>
      </w:r>
      <w:r>
        <w:rPr>
          <w:rStyle w:val="Codecomment"/>
        </w:rPr>
      </w:r>
      <w:r>
        <w:rPr>
          <w:rStyle w:val="Codecomment"/>
        </w:rPr>
        <w:fldChar w:fldCharType="separate"/>
      </w:r>
      <w:r>
        <w:rPr>
          <w:rStyle w:val="Codecomment"/>
        </w:rPr>
        <w:t>4.4.2.2</w:t>
      </w:r>
      <w:r>
        <w:rPr>
          <w:rStyle w:val="Codecomment"/>
        </w:rPr>
        <w:fldChar w:fldCharType="end"/>
      </w:r>
      <w:r>
        <w:rPr>
          <w:rStyle w:val="Codecomment"/>
        </w:rPr>
        <w:t>.--&gt;</w:t>
      </w:r>
      <w:r>
        <w:rPr>
          <w:rStyle w:val="Codetext"/>
        </w:rPr>
        <w:br/>
        <w:t xml:space="preserve">  </w:t>
      </w:r>
      <w:r>
        <w:rPr>
          <w:rStyle w:val="Code"/>
        </w:rPr>
        <w:t>&lt;ab&gt;</w:t>
      </w:r>
    </w:p>
    <w:p w14:paraId="3BE67D08" w14:textId="507F896E">
      <w:pPr>
        <w:pStyle w:val="CodeParagraph"/>
        <w:rPr>
          <w:rStyle w:val="Codetext"/>
        </w:rPr>
      </w:pPr>
      <w:r>
        <w:rPr>
          <w:rStyle w:val="Codetext"/>
        </w:rPr>
        <w:t xml:space="preserve">    </w:t>
      </w:r>
      <w:r>
        <w:rPr>
          <w:rStyle w:val="Code"/>
        </w:rPr>
        <w:t xml:space="preserve">&lt;pb </w:t>
      </w:r>
      <w:r>
        <w:rPr>
          <w:rStyle w:val="Codeattribute"/>
        </w:rPr>
        <w:t>n</w:t>
      </w:r>
      <w:r>
        <w:rPr>
          <w:rStyle w:val="Code"/>
        </w:rPr>
        <w:t>=</w:t>
      </w:r>
      <w:r>
        <w:rPr>
          <w:rStyle w:val="Codevalue"/>
        </w:rPr>
        <w:t>"1v"</w:t>
      </w:r>
      <w:r>
        <w:rPr>
          <w:rStyle w:val="Code"/>
        </w:rPr>
        <w:t>/&gt;</w:t>
      </w:r>
      <w:r>
        <w:rPr>
          <w:rStyle w:val="Codecomment"/>
        </w:rPr>
        <w:t>&lt;!--This page beginning is inside the first block-level container of the text, which happens to be the &lt;ab&gt; wrapper for the incipit. This does not imply that the page break is part of that &lt;ab&gt;.--&gt;</w:t>
      </w:r>
      <w:r>
        <w:rPr>
          <w:rStyle w:val="Codetext"/>
        </w:rPr>
        <w:br/>
        <w:t xml:space="preserve">    </w:t>
      </w:r>
      <w:r>
        <w:rPr>
          <w:rStyle w:val="Code"/>
        </w:rPr>
        <w:t xml:space="preserve">&lt;lb </w:t>
      </w:r>
      <w:r>
        <w:rPr>
          <w:rStyle w:val="Codeattribute"/>
        </w:rPr>
        <w:t>n</w:t>
      </w:r>
      <w:r>
        <w:rPr>
          <w:rStyle w:val="Code"/>
        </w:rPr>
        <w:t>=</w:t>
      </w:r>
      <w:r>
        <w:rPr>
          <w:rStyle w:val="Codevalue"/>
        </w:rPr>
        <w:t>"01"</w:t>
      </w:r>
      <w:r>
        <w:rPr>
          <w:rStyle w:val="Code"/>
        </w:rPr>
        <w:t>/&gt;</w:t>
      </w:r>
      <w:r>
        <w:rPr>
          <w:rStyle w:val="Codetext"/>
        </w:rPr>
        <w:t>The Hobbit</w:t>
      </w:r>
      <w:r>
        <w:rPr>
          <w:rStyle w:val="Codecomment"/>
        </w:rPr>
        <w:t>&lt;!--Line numbers are restarted in the second textpart, §</w:t>
      </w:r>
      <w:r>
        <w:rPr>
          <w:rStyle w:val="Codecomment"/>
          <w:rFonts w:eastAsia="Arial Unicode MS"/>
        </w:rPr>
        <w:fldChar w:fldCharType="begin"/>
      </w:r>
      <w:r>
        <w:rPr>
          <w:rStyle w:val="Codecomment"/>
          <w:rFonts w:eastAsia="Arial Unicode MS"/>
        </w:rPr>
        <w:instrText xml:space="preserve"> REF _Ref43986747 \w \h  \* MERGEFORMAT </w:instrText>
      </w:r>
      <w:r>
        <w:rPr>
          <w:rStyle w:val="Codecomment"/>
          <w:rFonts w:eastAsia="Arial Unicode MS"/>
        </w:rPr>
      </w:r>
      <w:r>
        <w:rPr>
          <w:rStyle w:val="Codecomment"/>
          <w:rFonts w:eastAsia="Arial Unicode MS"/>
        </w:rPr>
        <w:fldChar w:fldCharType="separate"/>
      </w:r>
      <w:r>
        <w:rPr>
          <w:rStyle w:val="Codecomment"/>
          <w:rFonts w:eastAsia="Arial Unicode MS"/>
        </w:rPr>
        <w:t>4.2.1.4</w:t>
      </w:r>
      <w:r>
        <w:rPr>
          <w:rStyle w:val="Codecomment"/>
          <w:rFonts w:eastAsia="Arial Unicode MS"/>
        </w:rPr>
        <w:fldChar w:fldCharType="end"/>
      </w:r>
      <w:r>
        <w:rPr>
          <w:rStyle w:val="Codecomment"/>
        </w:rPr>
        <w:t>. The specially positioned incipit has the line number 01, §</w:t>
      </w:r>
      <w:r>
        <w:rPr>
          <w:rStyle w:val="Codecomment"/>
          <w:rFonts w:eastAsia="Arial Unicode MS"/>
        </w:rPr>
        <w:fldChar w:fldCharType="begin"/>
      </w:r>
      <w:r>
        <w:rPr>
          <w:rStyle w:val="Codecomment"/>
          <w:rFonts w:eastAsia="Arial Unicode MS"/>
        </w:rPr>
        <w:instrText xml:space="preserve"> REF _Ref43978135 \r \h  \* MERGEFORMAT </w:instrText>
      </w:r>
      <w:r>
        <w:rPr>
          <w:rStyle w:val="Codecomment"/>
          <w:rFonts w:eastAsia="Arial Unicode MS"/>
        </w:rPr>
      </w:r>
      <w:r>
        <w:rPr>
          <w:rStyle w:val="Codecomment"/>
          <w:rFonts w:eastAsia="Arial Unicode MS"/>
        </w:rPr>
        <w:fldChar w:fldCharType="separate"/>
      </w:r>
      <w:r>
        <w:rPr>
          <w:rStyle w:val="Codecomment"/>
          <w:rFonts w:eastAsia="Arial Unicode MS"/>
        </w:rPr>
        <w:t>4.7.1.1</w:t>
      </w:r>
      <w:r>
        <w:rPr>
          <w:rStyle w:val="Codecomment"/>
          <w:rFonts w:eastAsia="Arial Unicode MS"/>
        </w:rPr>
        <w:fldChar w:fldCharType="end"/>
      </w:r>
      <w:r>
        <w:rPr>
          <w:rStyle w:val="Codecomment"/>
        </w:rPr>
        <w:t>.--&gt;</w:t>
      </w:r>
      <w:r>
        <w:rPr>
          <w:rStyle w:val="Codetext"/>
        </w:rPr>
        <w:br/>
        <w:t xml:space="preserve">  </w:t>
      </w:r>
      <w:r>
        <w:rPr>
          <w:rStyle w:val="Code"/>
        </w:rPr>
        <w:t>&lt;/ab&gt;</w:t>
      </w:r>
      <w:r>
        <w:rPr>
          <w:rStyle w:val="Codetext"/>
        </w:rPr>
        <w:br/>
        <w:t xml:space="preserve">  </w:t>
      </w:r>
      <w:r>
        <w:rPr>
          <w:rStyle w:val="Code"/>
        </w:rPr>
        <w:t>&lt;p&gt;</w:t>
      </w:r>
      <w:r>
        <w:rPr>
          <w:rStyle w:val="Codecomment"/>
        </w:rPr>
        <w:t>&lt;!--First semantic paragraph of the text.--&gt;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 there lived a hobbit. Not</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a nasty, dirty, wet hole, filled with the ends of worm</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/&gt;</w:t>
      </w:r>
      <w:r>
        <w:rPr>
          <w:rStyle w:val="Codetext"/>
        </w:rPr>
        <w:t>and an oozy smell, nor yet a dry, bare, sandy hole with</w:t>
      </w:r>
      <w:r>
        <w:rPr>
          <w:rStyle w:val="Codetext"/>
        </w:rPr>
        <w:br/>
        <w:t xml:space="preserve">  </w:t>
      </w:r>
      <w:r>
        <w:rPr>
          <w:rStyle w:val="Code"/>
        </w:rPr>
        <w:t xml:space="preserve">&lt;pb </w:t>
      </w:r>
      <w:r>
        <w:rPr>
          <w:rStyle w:val="Codeattribute"/>
        </w:rPr>
        <w:t>n</w:t>
      </w:r>
      <w:r>
        <w:rPr>
          <w:rStyle w:val="Code"/>
        </w:rPr>
        <w:t>=</w:t>
      </w:r>
      <w:r>
        <w:rPr>
          <w:rStyle w:val="Codevalue"/>
        </w:rPr>
        <w:t>"2r"</w:t>
      </w:r>
      <w:r>
        <w:rPr>
          <w:rStyle w:val="Code"/>
        </w:rPr>
        <w:t>/&gt;</w:t>
      </w:r>
      <w:r>
        <w:rPr>
          <w:rStyle w:val="Codetext"/>
        </w:rPr>
        <w:br/>
        <w:t xml:space="preserve">  </w:t>
      </w:r>
      <w:r>
        <w:rPr>
          <w:rStyle w:val="Codecomment"/>
        </w:rPr>
        <w:t>&lt;!--Within a textpart, line numbers are continued on subsequent pages as recommended under §</w:t>
      </w:r>
      <w:r>
        <w:rPr>
          <w:rStyle w:val="Codecomment"/>
        </w:rPr>
        <w:fldChar w:fldCharType="begin"/>
      </w:r>
      <w:r>
        <w:rPr>
          <w:rStyle w:val="Codecomment"/>
        </w:rPr>
        <w:instrText xml:space="preserve"> REF _Ref225429069 \r \h </w:instrText>
      </w:r>
      <w:r>
        <w:rPr>
          <w:rStyle w:val="Codecomment"/>
        </w:rPr>
      </w:r>
      <w:r>
        <w:rPr>
          <w:rStyle w:val="Codecomment"/>
        </w:rPr>
        <w:fldChar w:fldCharType="separate"/>
      </w:r>
      <w:r>
        <w:rPr>
          <w:rStyle w:val="Codecomment"/>
        </w:rPr>
        <w:t>4.5.2.1</w:t>
      </w:r>
      <w:r>
        <w:rPr>
          <w:rStyle w:val="Codecomment"/>
        </w:rPr>
        <w:fldChar w:fldCharType="end"/>
      </w:r>
      <w:r>
        <w:rPr>
          <w:rStyle w:val="Codecomment"/>
        </w:rPr>
        <w:t xml:space="preserve">. Alternatively, they could be reset to 1 on each page, provided that the number of the current page is incorporated into each line number to maintain uniqueness, </w:t>
      </w:r>
      <w:r>
        <w:rPr>
          <w:rStyle w:val="Codecomment"/>
        </w:rPr>
        <w:fldChar w:fldCharType="begin"/>
      </w:r>
      <w:r>
        <w:rPr>
          <w:rStyle w:val="Codecomment"/>
        </w:rPr>
        <w:instrText xml:space="preserve"> REF _Ref182228380 \r \h </w:instrText>
      </w:r>
      <w:r>
        <w:rPr>
          <w:rStyle w:val="Codecomment"/>
        </w:rPr>
      </w:r>
      <w:r>
        <w:rPr>
          <w:rStyle w:val="Codecomment"/>
        </w:rPr>
        <w:fldChar w:fldCharType="separate"/>
      </w:r>
      <w:r>
        <w:rPr>
          <w:rStyle w:val="Codecomment"/>
        </w:rPr>
        <w:t>4.5.2.2</w:t>
      </w:r>
      <w:r>
        <w:rPr>
          <w:rStyle w:val="Codecomment"/>
        </w:rPr>
        <w:fldChar w:fldCharType="end"/>
      </w:r>
      <w:r>
        <w:rPr>
          <w:rStyle w:val="Codecomment"/>
        </w:rPr>
        <w:t>.--&gt;</w:t>
      </w:r>
    </w:p>
    <w:p w14:paraId="14575FCB" w14:textId="77777777">
      <w:pPr>
        <w:pStyle w:val="CodeParagraph"/>
        <w:rPr>
          <w:rStyle w:val="Code"/>
        </w:rPr>
      </w:pPr>
      <w:r>
        <w:rPr>
          <w:rStyle w:val="Codetext"/>
        </w:rPr>
        <w:t xml:space="preserve">  </w:t>
      </w:r>
      <w:r>
        <w:rPr>
          <w:rStyle w:val="Code"/>
        </w:rPr>
        <w:t xml:space="preserve">&lt;fw </w:t>
      </w:r>
      <w:r>
        <w:rPr>
          <w:rStyle w:val="Codeattribute"/>
        </w:rPr>
        <w:t>place</w:t>
      </w:r>
      <w:r>
        <w:rPr>
          <w:rStyle w:val="Code"/>
        </w:rPr>
        <w:t>=</w:t>
      </w:r>
      <w:r>
        <w:rPr>
          <w:rStyle w:val="Codevalue"/>
        </w:rPr>
        <w:t>"bot-left"</w:t>
      </w:r>
      <w:r>
        <w:rPr>
          <w:rStyle w:val="Code"/>
        </w:rPr>
        <w:t xml:space="preserve"> </w:t>
      </w:r>
      <w:r>
        <w:rPr>
          <w:rStyle w:val="Codeattribute"/>
        </w:rPr>
        <w:t>n</w:t>
      </w:r>
      <w:r>
        <w:rPr>
          <w:rStyle w:val="Code"/>
        </w:rPr>
        <w:t>=</w:t>
      </w:r>
      <w:r>
        <w:rPr>
          <w:rStyle w:val="Codevalue"/>
        </w:rPr>
        <w:t>"2r"</w:t>
      </w:r>
      <w:r>
        <w:rPr>
          <w:rStyle w:val="Code"/>
        </w:rPr>
        <w:t>&gt;</w:t>
      </w:r>
    </w:p>
    <w:p w14:paraId="7702B7F3" w14:textId="65E6778B">
      <w:pPr>
        <w:pStyle w:val="CodeParagraph"/>
      </w:pPr>
      <w:r>
        <w:rPr>
          <w:rStyle w:val="Codecomment"/>
        </w:rPr>
        <w:t xml:space="preserve">    &lt;!--Foliation encoded right after the page beginning, §</w:t>
      </w:r>
      <w:r>
        <w:rPr>
          <w:rStyle w:val="Codecomment"/>
          <w:rFonts w:eastAsia="Arial Unicode MS"/>
        </w:rPr>
        <w:fldChar w:fldCharType="begin"/>
      </w:r>
      <w:r>
        <w:rPr>
          <w:rStyle w:val="Codecomment"/>
          <w:rFonts w:eastAsia="Arial Unicode MS"/>
        </w:rPr>
        <w:instrText xml:space="preserve"> REF _Ref43984607 \w \h  \* MERGEFORMAT </w:instrText>
      </w:r>
      <w:r>
        <w:rPr>
          <w:rStyle w:val="Codecomment"/>
          <w:rFonts w:eastAsia="Arial Unicode MS"/>
        </w:rPr>
      </w:r>
      <w:r>
        <w:rPr>
          <w:rStyle w:val="Codecomment"/>
          <w:rFonts w:eastAsia="Arial Unicode MS"/>
        </w:rPr>
        <w:fldChar w:fldCharType="separate"/>
      </w:r>
      <w:r>
        <w:rPr>
          <w:rStyle w:val="Codecomment"/>
          <w:rFonts w:eastAsia="Arial Unicode MS"/>
        </w:rPr>
        <w:t>4.7.2</w:t>
      </w:r>
      <w:r>
        <w:rPr>
          <w:rStyle w:val="Codecomment"/>
          <w:rFonts w:eastAsia="Arial Unicode MS"/>
        </w:rPr>
        <w:fldChar w:fldCharType="end"/>
      </w:r>
      <w:r>
        <w:rPr>
          <w:rStyle w:val="Codecomment"/>
        </w:rPr>
        <w:t>.--&gt;</w:t>
      </w:r>
      <w:r>
        <w:rPr>
          <w:rStyle w:val="Codetext"/>
        </w:rPr>
        <w:br/>
        <w:t xml:space="preserve">    </w:t>
      </w:r>
      <w:r>
        <w:rPr>
          <w:rStyle w:val="Code"/>
        </w:rPr>
        <w:t xml:space="preserve">&lt;num </w:t>
      </w:r>
      <w:r>
        <w:rPr>
          <w:rStyle w:val="Codeattribute"/>
        </w:rPr>
        <w:t>value</w:t>
      </w:r>
      <w:r>
        <w:rPr>
          <w:rStyle w:val="Code"/>
        </w:rPr>
        <w:t>=</w:t>
      </w:r>
      <w:r>
        <w:rPr>
          <w:rStyle w:val="Codevalue"/>
        </w:rPr>
        <w:t>"2"</w:t>
      </w:r>
      <w:r>
        <w:rPr>
          <w:rStyle w:val="Code"/>
        </w:rPr>
        <w:t>&gt;</w:t>
      </w:r>
      <w:r>
        <w:rPr>
          <w:rStyle w:val="Codetext"/>
        </w:rPr>
        <w:t>2</w:t>
      </w:r>
      <w:r>
        <w:rPr>
          <w:rStyle w:val="Code"/>
        </w:rPr>
        <w:t>&lt;/num&gt;</w:t>
      </w:r>
      <w:r>
        <w:rPr>
          <w:rStyle w:val="Codetext"/>
        </w:rPr>
        <w:br/>
        <w:t xml:space="preserve">  </w:t>
      </w:r>
      <w:r>
        <w:rPr>
          <w:rStyle w:val="Code"/>
        </w:rPr>
        <w:t>&lt;/fw&gt;</w:t>
      </w:r>
      <w:r>
        <w:rPr>
          <w:rStyle w:val="Codetext"/>
        </w:rPr>
        <w:t xml:space="preserve">  </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/&gt;</w:t>
      </w:r>
      <w:r>
        <w:rPr>
          <w:rStyle w:val="Codetext"/>
        </w:rPr>
        <w:t>nothing in it to sit down on or to eat: it was a</w:t>
      </w:r>
      <w:r>
        <w:rPr>
          <w:rStyle w:val="Codetext"/>
        </w:rPr>
        <w:br/>
        <w:t xml:space="preserve">  </w:t>
      </w:r>
      <w:r>
        <w:rPr>
          <w:rStyle w:val="Code"/>
        </w:rPr>
        <w:t xml:space="preserve">&lt;lb </w:t>
      </w:r>
      <w:r>
        <w:rPr>
          <w:rStyle w:val="Codeattribute"/>
        </w:rPr>
        <w:t>n</w:t>
      </w:r>
      <w:r>
        <w:rPr>
          <w:rStyle w:val="Code"/>
        </w:rPr>
        <w:t>=</w:t>
      </w:r>
      <w:r>
        <w:rPr>
          <w:rStyle w:val="Codevalue"/>
        </w:rPr>
        <w:t>"5"</w:t>
      </w:r>
      <w:r>
        <w:rPr>
          <w:rStyle w:val="Code"/>
        </w:rPr>
        <w:t>/&gt;</w:t>
      </w:r>
      <w:r>
        <w:rPr>
          <w:rStyle w:val="Codetext"/>
        </w:rPr>
        <w:t>hobbit-hole, and that means comfort.</w:t>
      </w:r>
      <w:r>
        <w:rPr>
          <w:rStyle w:val="Codetext"/>
        </w:rPr>
        <w:br/>
        <w:t xml:space="preserve">  </w:t>
      </w:r>
      <w:r>
        <w:rPr>
          <w:rStyle w:val="Code"/>
        </w:rPr>
        <w:t>&lt;/p&gt;</w:t>
      </w:r>
      <w:r>
        <w:rPr>
          <w:rStyle w:val="Codecomment"/>
        </w:rPr>
        <w:t>&lt;!--Ending a semantic paragraph here and starting a new one.--&gt;</w:t>
      </w:r>
      <w:r>
        <w:rPr>
          <w:rStyle w:val="Codetext"/>
        </w:rPr>
        <w:br/>
        <w:t xml:space="preserve">  </w:t>
      </w:r>
      <w:r>
        <w:rPr>
          <w:rStyle w:val="Code"/>
        </w:rPr>
        <w:t>&lt;p&gt;</w:t>
      </w:r>
      <w:r>
        <w:rPr>
          <w:rStyle w:val="Codetext"/>
        </w:rPr>
        <w:t>It had a perfectly</w:t>
      </w:r>
      <w:r>
        <w:rPr>
          <w:rStyle w:val="Codetext"/>
        </w:rPr>
        <w:br/>
        <w:t xml:space="preserve">  </w:t>
      </w:r>
      <w:r>
        <w:rPr>
          <w:rStyle w:val="Code"/>
        </w:rPr>
        <w:t xml:space="preserve">&lt;lb </w:t>
      </w:r>
      <w:r>
        <w:rPr>
          <w:rStyle w:val="Codeattribute"/>
        </w:rPr>
        <w:t>n</w:t>
      </w:r>
      <w:r>
        <w:rPr>
          <w:rStyle w:val="Code"/>
        </w:rPr>
        <w:t>=</w:t>
      </w:r>
      <w:r>
        <w:rPr>
          <w:rStyle w:val="Codevalue"/>
        </w:rPr>
        <w:t>"6"</w:t>
      </w:r>
      <w:r>
        <w:rPr>
          <w:rStyle w:val="Code"/>
        </w:rPr>
        <w:t>/&gt;</w:t>
      </w:r>
      <w:r>
        <w:rPr>
          <w:rStyle w:val="Codetext"/>
        </w:rPr>
        <w:t>round door like a porthole, painted green, with a shiny</w:t>
      </w:r>
      <w:r>
        <w:rPr>
          <w:rStyle w:val="Codetext"/>
        </w:rPr>
        <w:br/>
        <w:t xml:space="preserve">  </w:t>
      </w:r>
      <w:r>
        <w:rPr>
          <w:rStyle w:val="Code"/>
        </w:rPr>
        <w:t xml:space="preserve">&lt;pb </w:t>
      </w:r>
      <w:r>
        <w:rPr>
          <w:rStyle w:val="Codeattribute"/>
        </w:rPr>
        <w:t>n</w:t>
      </w:r>
      <w:r>
        <w:rPr>
          <w:rStyle w:val="Code"/>
        </w:rPr>
        <w:t>=</w:t>
      </w:r>
      <w:r>
        <w:rPr>
          <w:rStyle w:val="Codevalue"/>
        </w:rPr>
        <w:t>"2v"</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"7"</w:t>
      </w:r>
      <w:r>
        <w:rPr>
          <w:rStyle w:val="Code"/>
        </w:rPr>
        <w:t>/&gt;</w:t>
      </w:r>
      <w:r>
        <w:rPr>
          <w:rStyle w:val="Codetext"/>
        </w:rPr>
        <w:t>yellow brass knob in the exact middle. The door opened</w:t>
      </w:r>
      <w:r>
        <w:rPr>
          <w:rStyle w:val="Codetext"/>
        </w:rPr>
        <w:br/>
        <w:t xml:space="preserve">  </w:t>
      </w:r>
      <w:r>
        <w:rPr>
          <w:rStyle w:val="Code"/>
        </w:rPr>
        <w:t xml:space="preserve">&lt;lb </w:t>
      </w:r>
      <w:r>
        <w:rPr>
          <w:rStyle w:val="Codeattribute"/>
        </w:rPr>
        <w:t>n</w:t>
      </w:r>
      <w:r>
        <w:rPr>
          <w:rStyle w:val="Code"/>
        </w:rPr>
        <w:t>=</w:t>
      </w:r>
      <w:r>
        <w:rPr>
          <w:rStyle w:val="Codevalue"/>
        </w:rPr>
        <w:t>"8"</w:t>
      </w:r>
      <w:r>
        <w:rPr>
          <w:rStyle w:val="Code"/>
        </w:rPr>
        <w:t>/&gt;</w:t>
      </w:r>
      <w:r>
        <w:rPr>
          <w:rStyle w:val="Codetext"/>
        </w:rPr>
        <w:t>on to a tube-shaped hall like a tunnel: a very</w:t>
      </w:r>
      <w:r>
        <w:rPr>
          <w:rStyle w:val="Codetext"/>
        </w:rPr>
        <w:br/>
        <w:t xml:space="preserve">  </w:t>
      </w:r>
      <w:r>
        <w:rPr>
          <w:rStyle w:val="Code"/>
        </w:rPr>
        <w:t xml:space="preserve">&lt;lb </w:t>
      </w:r>
      <w:r>
        <w:rPr>
          <w:rStyle w:val="Codeattribute"/>
        </w:rPr>
        <w:t>n</w:t>
      </w:r>
      <w:r>
        <w:rPr>
          <w:rStyle w:val="Code"/>
        </w:rPr>
        <w:t>=</w:t>
      </w:r>
      <w:r>
        <w:rPr>
          <w:rStyle w:val="Codevalue"/>
        </w:rPr>
        <w:t>"9"</w:t>
      </w:r>
      <w:r>
        <w:rPr>
          <w:rStyle w:val="Code"/>
        </w:rPr>
        <w:t>/&gt;</w:t>
      </w:r>
      <w:r>
        <w:rPr>
          <w:rStyle w:val="Codetext"/>
        </w:rPr>
        <w:t>comfortable tunnel without smoke, with panelled walls,</w:t>
      </w:r>
      <w:r>
        <w:rPr>
          <w:rStyle w:val="Codetext"/>
        </w:rPr>
        <w:br/>
        <w:t xml:space="preserve">  </w:t>
      </w:r>
      <w:r>
        <w:rPr>
          <w:rStyle w:val="Code"/>
        </w:rPr>
        <w:t xml:space="preserve">&lt;pb </w:t>
      </w:r>
      <w:r>
        <w:rPr>
          <w:rStyle w:val="Codeattribute"/>
        </w:rPr>
        <w:t>n</w:t>
      </w:r>
      <w:r>
        <w:rPr>
          <w:rStyle w:val="Code"/>
        </w:rPr>
        <w:t>=</w:t>
      </w:r>
      <w:r>
        <w:rPr>
          <w:rStyle w:val="Codevalue"/>
        </w:rPr>
        <w:t>"3r"</w:t>
      </w:r>
      <w:r>
        <w:rPr>
          <w:rStyle w:val="Code"/>
        </w:rPr>
        <w:t>/&gt;</w:t>
      </w:r>
      <w:r>
        <w:rPr>
          <w:rStyle w:val="Codetext"/>
        </w:rPr>
        <w:br/>
        <w:t xml:space="preserve">  </w:t>
      </w:r>
      <w:r>
        <w:rPr>
          <w:rStyle w:val="Code"/>
        </w:rPr>
        <w:t xml:space="preserve">&lt;fw </w:t>
      </w:r>
      <w:r>
        <w:rPr>
          <w:rStyle w:val="Codeattribute"/>
        </w:rPr>
        <w:t>place</w:t>
      </w:r>
      <w:r>
        <w:rPr>
          <w:rStyle w:val="Code"/>
        </w:rPr>
        <w:t>=</w:t>
      </w:r>
      <w:r>
        <w:rPr>
          <w:rStyle w:val="Codevalue"/>
        </w:rPr>
        <w:t>"bot-left"</w:t>
      </w:r>
      <w:r>
        <w:rPr>
          <w:rStyle w:val="Code"/>
        </w:rPr>
        <w:t xml:space="preserve"> </w:t>
      </w:r>
      <w:r>
        <w:rPr>
          <w:rStyle w:val="Codeattribute"/>
        </w:rPr>
        <w:t>n</w:t>
      </w:r>
      <w:r>
        <w:rPr>
          <w:rStyle w:val="Code"/>
        </w:rPr>
        <w:t>=</w:t>
      </w:r>
      <w:r>
        <w:rPr>
          <w:rStyle w:val="Codevalue"/>
        </w:rPr>
        <w:t>"3r"</w:t>
      </w:r>
      <w:r>
        <w:rPr>
          <w:rStyle w:val="Code"/>
        </w:rPr>
        <w:t>&gt;</w:t>
      </w:r>
      <w:r>
        <w:rPr>
          <w:rStyle w:val="Codetext"/>
        </w:rPr>
        <w:br/>
        <w:t xml:space="preserve">    </w:t>
      </w:r>
      <w:r>
        <w:rPr>
          <w:rStyle w:val="Codecomment"/>
        </w:rPr>
        <w:t>&lt;!--Foliation right after the page beginning.--&gt;</w:t>
      </w:r>
      <w:r>
        <w:rPr>
          <w:rStyle w:val="Codetext"/>
        </w:rPr>
        <w:br/>
        <w:t xml:space="preserve">    </w:t>
      </w:r>
      <w:r>
        <w:rPr>
          <w:rStyle w:val="Code"/>
        </w:rPr>
        <w:t xml:space="preserve">&lt;num </w:t>
      </w:r>
      <w:r>
        <w:rPr>
          <w:rStyle w:val="Codeattribute"/>
        </w:rPr>
        <w:t>value</w:t>
      </w:r>
      <w:r>
        <w:rPr>
          <w:rStyle w:val="Code"/>
        </w:rPr>
        <w:t>=</w:t>
      </w:r>
      <w:r>
        <w:rPr>
          <w:rStyle w:val="Codevalue"/>
        </w:rPr>
        <w:t>"3"</w:t>
      </w:r>
      <w:r>
        <w:rPr>
          <w:rStyle w:val="Code"/>
        </w:rPr>
        <w:t>&gt;</w:t>
      </w:r>
      <w:r>
        <w:rPr>
          <w:rStyle w:val="Codetext"/>
        </w:rPr>
        <w:t>3</w:t>
      </w:r>
      <w:r>
        <w:rPr>
          <w:rStyle w:val="Code"/>
        </w:rPr>
        <w:t>&lt;/num&gt;</w:t>
      </w:r>
      <w:r>
        <w:rPr>
          <w:rStyle w:val="Codetext"/>
        </w:rPr>
        <w:br/>
        <w:t xml:space="preserve">  </w:t>
      </w:r>
      <w:r>
        <w:rPr>
          <w:rStyle w:val="Code"/>
        </w:rPr>
        <w:t>&lt;/fw&gt;</w:t>
      </w:r>
      <w:r>
        <w:rPr>
          <w:rStyle w:val="Codetext"/>
        </w:rPr>
        <w:br/>
        <w:t xml:space="preserve">  </w:t>
      </w:r>
      <w:r>
        <w:rPr>
          <w:rStyle w:val="Code"/>
        </w:rPr>
        <w:t xml:space="preserve">&lt;lb </w:t>
      </w:r>
      <w:r>
        <w:rPr>
          <w:rStyle w:val="Codeattribute"/>
        </w:rPr>
        <w:t>n</w:t>
      </w:r>
      <w:r>
        <w:rPr>
          <w:rStyle w:val="Code"/>
        </w:rPr>
        <w:t>=</w:t>
      </w:r>
      <w:r>
        <w:rPr>
          <w:rStyle w:val="Codevalue"/>
        </w:rPr>
        <w:t>"10"</w:t>
      </w:r>
      <w:r>
        <w:rPr>
          <w:rStyle w:val="Code"/>
        </w:rPr>
        <w:t>/&gt;</w:t>
      </w:r>
      <w:r>
        <w:rPr>
          <w:rStyle w:val="Codetext"/>
        </w:rPr>
        <w:t>and floors tiled and carpeted, provided with polished</w:t>
      </w:r>
      <w:r>
        <w:rPr>
          <w:rStyle w:val="Codetext"/>
        </w:rPr>
        <w:br/>
        <w:t xml:space="preserve">  </w:t>
      </w:r>
      <w:r>
        <w:rPr>
          <w:rStyle w:val="Code"/>
        </w:rPr>
        <w:t xml:space="preserve">&lt;lb </w:t>
      </w:r>
      <w:r>
        <w:rPr>
          <w:rStyle w:val="Codeattribute"/>
        </w:rPr>
        <w:t>n</w:t>
      </w:r>
      <w:r>
        <w:rPr>
          <w:rStyle w:val="Code"/>
        </w:rPr>
        <w:t>=</w:t>
      </w:r>
      <w:r>
        <w:rPr>
          <w:rStyle w:val="Codevalue"/>
        </w:rPr>
        <w:t>"11"</w:t>
      </w:r>
      <w:r>
        <w:rPr>
          <w:rStyle w:val="Code"/>
        </w:rPr>
        <w:t>/&gt;</w:t>
      </w:r>
      <w:r>
        <w:rPr>
          <w:rStyle w:val="Codetext"/>
        </w:rPr>
        <w:t>chairs, and lots and lots of pegs for hats and coats.</w:t>
      </w:r>
      <w:r>
        <w:rPr>
          <w:rStyle w:val="Codetext"/>
        </w:rPr>
        <w:br/>
        <w:t xml:space="preserve">  </w:t>
      </w:r>
      <w:r>
        <w:rPr>
          <w:rStyle w:val="Code"/>
        </w:rPr>
        <w:t>&lt;/p&gt;</w:t>
      </w:r>
      <w:r>
        <w:rPr>
          <w:rStyle w:val="Codetext"/>
        </w:rPr>
        <w:br/>
        <w:t xml:space="preserve">  </w:t>
      </w:r>
      <w:r>
        <w:rPr>
          <w:rStyle w:val="Code"/>
        </w:rPr>
        <w:t>&lt;ab&gt;</w:t>
      </w:r>
      <w:r>
        <w:rPr>
          <w:rStyle w:val="Codecomment"/>
        </w:rPr>
        <w:t>&lt;!--The colophon is an incomplete sentence, so it gets an &lt;ab&gt; wrapper.--&gt;</w:t>
      </w:r>
      <w:r>
        <w:rPr>
          <w:rStyle w:val="Codetext"/>
        </w:rPr>
        <w:br/>
        <w:t xml:space="preserve">  </w:t>
      </w:r>
      <w:r>
        <w:rPr>
          <w:rStyle w:val="Code"/>
        </w:rPr>
        <w:t xml:space="preserve">&lt;lb </w:t>
      </w:r>
      <w:r>
        <w:rPr>
          <w:rStyle w:val="Codeattribute"/>
        </w:rPr>
        <w:t>n</w:t>
      </w:r>
      <w:r>
        <w:rPr>
          <w:rStyle w:val="Code"/>
        </w:rPr>
        <w:t>=</w:t>
      </w:r>
      <w:r>
        <w:rPr>
          <w:rStyle w:val="Codevalue"/>
        </w:rPr>
        <w:t>"12"</w:t>
      </w:r>
      <w:r>
        <w:rPr>
          <w:rStyle w:val="Code"/>
        </w:rPr>
        <w:t xml:space="preserve"> </w:t>
      </w:r>
      <w:r>
        <w:rPr>
          <w:rStyle w:val="Codeattribute"/>
        </w:rPr>
        <w:t>style</w:t>
      </w:r>
      <w:r>
        <w:rPr>
          <w:rStyle w:val="Code"/>
        </w:rPr>
        <w:t>=</w:t>
      </w:r>
      <w:r>
        <w:rPr>
          <w:rStyle w:val="Codevalue"/>
        </w:rPr>
        <w:t>"text-align: right"</w:t>
      </w:r>
      <w:r>
        <w:rPr>
          <w:rStyle w:val="Code"/>
        </w:rPr>
        <w:t>/&gt;</w:t>
      </w:r>
      <w:r>
        <w:rPr>
          <w:rStyle w:val="Codecomment"/>
        </w:rPr>
        <w:t>&lt;!--Optionally marking up right-aligned line.--&gt;</w:t>
      </w:r>
      <w:r>
        <w:rPr>
          <w:rStyle w:val="Codetext"/>
        </w:rPr>
        <w:br/>
        <w:t xml:space="preserve">  </w:t>
      </w:r>
      <w:r>
        <w:rPr>
          <w:rStyle w:val="Code"/>
        </w:rPr>
        <w:t xml:space="preserve">&lt;num </w:t>
      </w:r>
      <w:r>
        <w:rPr>
          <w:rStyle w:val="Codeattribute"/>
        </w:rPr>
        <w:t>value</w:t>
      </w:r>
      <w:r>
        <w:rPr>
          <w:rStyle w:val="Code"/>
        </w:rPr>
        <w:t>=</w:t>
      </w:r>
      <w:r>
        <w:rPr>
          <w:rStyle w:val="Codevalue"/>
        </w:rPr>
        <w:t>"29"</w:t>
      </w:r>
      <w:r>
        <w:rPr>
          <w:rStyle w:val="Code"/>
        </w:rPr>
        <w:t>&gt;</w:t>
      </w:r>
      <w:r>
        <w:rPr>
          <w:rStyle w:val="Codetext"/>
        </w:rPr>
        <w:t>29</w:t>
      </w:r>
      <w:r>
        <w:rPr>
          <w:rStyle w:val="Code"/>
        </w:rPr>
        <w:t>&lt;/num&gt;</w:t>
      </w:r>
      <w:r>
        <w:rPr>
          <w:rStyle w:val="Codetext"/>
        </w:rPr>
        <w:t xml:space="preserve"> September </w:t>
      </w:r>
      <w:r>
        <w:rPr>
          <w:rStyle w:val="Code"/>
        </w:rPr>
        <w:t xml:space="preserve">&lt;num </w:t>
      </w:r>
      <w:r>
        <w:rPr>
          <w:rStyle w:val="Codeattribute"/>
        </w:rPr>
        <w:t>value</w:t>
      </w:r>
      <w:r>
        <w:rPr>
          <w:rStyle w:val="Code"/>
        </w:rPr>
        <w:t>=</w:t>
      </w:r>
      <w:r>
        <w:rPr>
          <w:rStyle w:val="Codevalue"/>
        </w:rPr>
        <w:t>"2019"</w:t>
      </w:r>
      <w:r>
        <w:rPr>
          <w:rStyle w:val="Code"/>
        </w:rPr>
        <w:t>&gt;</w:t>
      </w:r>
      <w:r>
        <w:rPr>
          <w:rStyle w:val="Codetext"/>
        </w:rPr>
        <w:t>2019</w:t>
      </w:r>
      <w:r>
        <w:rPr>
          <w:rStyle w:val="Code"/>
        </w:rPr>
        <w:t>&lt;/num&gt;</w:t>
      </w:r>
      <w:r>
        <w:rPr>
          <w:rStyle w:val="Codetext"/>
        </w:rPr>
        <w:br/>
        <w:t xml:space="preserve">  </w:t>
      </w:r>
      <w:r>
        <w:rPr>
          <w:rStyle w:val="Code"/>
        </w:rPr>
        <w:t>&lt;/ab&gt;</w:t>
      </w:r>
      <w:r>
        <w:rPr>
          <w:rStyle w:val="Codetext"/>
        </w:rPr>
        <w:br/>
        <w:t xml:space="preserve">  </w:t>
      </w:r>
      <w:r>
        <w:rPr>
          <w:rStyle w:val="Code"/>
        </w:rPr>
        <w:t xml:space="preserve">&lt;pb </w:t>
      </w:r>
      <w:r>
        <w:rPr>
          <w:rStyle w:val="Codeattribute"/>
        </w:rPr>
        <w:t>n</w:t>
      </w:r>
      <w:r>
        <w:rPr>
          <w:rStyle w:val="Code"/>
        </w:rPr>
        <w:t>=</w:t>
      </w:r>
      <w:r>
        <w:rPr>
          <w:rStyle w:val="Codevalue"/>
        </w:rPr>
        <w:t>"3v"</w:t>
      </w:r>
      <w:r>
        <w:rPr>
          <w:rStyle w:val="Code"/>
        </w:rPr>
        <w:t>/&gt;</w:t>
      </w:r>
      <w:r>
        <w:rPr>
          <w:rStyle w:val="Codecomment"/>
        </w:rPr>
        <w:t>&lt;!--Blank outer page; the &lt;pb/&gt; element is not inside a block-level container.--&gt;</w:t>
      </w:r>
      <w:r>
        <w:rPr>
          <w:rStyle w:val="Codetext"/>
        </w:rPr>
        <w:br/>
      </w:r>
      <w:r>
        <w:rPr>
          <w:rStyle w:val="Code"/>
        </w:rPr>
        <w:t>&lt;/div&gt;</w:t>
      </w:r>
    </w:p>
    <w:p w14:paraId="3E57D0E0" w14:textId="77777777">
      <w:pPr>
        <w:pStyle w:val="Cmsor2"/>
        <w:numPr>
          <w:ilvl w:val="1"/>
          <w:numId w:val="7"/>
        </w:numPr>
      </w:pPr>
      <w:bookmarkStart w:id="1136" w:name="_q8mje15sbli5" w:colFirst="0" w:colLast="0"/>
      <w:bookmarkStart w:id="1137" w:name="_Ref239844217"/>
      <w:bookmarkStart w:id="1138" w:name="_Ref239844389"/>
      <w:bookmarkStart w:id="1139" w:name="_Toc243922836"/>
      <w:bookmarkEnd w:id="1136"/>
      <w:r>
        <w:lastRenderedPageBreak/>
        <w:t>Copperplate charter with a lost plate reconstructed</w:t>
      </w:r>
      <w:bookmarkEnd w:id="1137"/>
      <w:bookmarkEnd w:id="1138"/>
      <w:bookmarkEnd w:id="1139"/>
    </w:p>
    <w:p w14:paraId="49F4F4EB" w14:textId="77777777">
      <w:pPr>
        <w:pStyle w:val="Image"/>
      </w:pPr>
      <w:r>
        <w:drawing>
          <wp:inline distT="0" distB="0" distL="0" distR="0" wp14:anchorId="7E94A89C" wp14:editId="28155C10">
            <wp:extent cx="5400000" cy="2030400"/>
            <wp:effectExtent l="0" t="0" r="0" b="8255"/>
            <wp:docPr id="223577458"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00000" cy="2030400"/>
                    </a:xfrm>
                    <a:prstGeom prst="rect">
                      <a:avLst/>
                    </a:prstGeom>
                    <a:noFill/>
                    <a:ln>
                      <a:noFill/>
                    </a:ln>
                  </pic:spPr>
                </pic:pic>
              </a:graphicData>
            </a:graphic>
          </wp:inline>
        </w:drawing>
      </w:r>
    </w:p>
    <w:p w14:paraId="5564C984" w14:textId="6A5992FC">
      <w:pPr>
        <w:pStyle w:val="Lista"/>
      </w:pPr>
      <w:r>
        <w:t xml:space="preserve">as a variation on </w:t>
      </w:r>
      <w:r>
        <w:fldChar w:fldCharType="begin"/>
      </w:r>
      <w:r>
        <w:instrText xml:space="preserve"> REF _Ref239844102 \r \h </w:instrText>
      </w:r>
      <w:r>
        <w:fldChar w:fldCharType="separate"/>
      </w:r>
      <w:r>
        <w:t>Appendix A.2</w:t>
      </w:r>
      <w:r>
        <w:fldChar w:fldCharType="end"/>
      </w:r>
      <w:r>
        <w:t>, we now have a partial set of plates where the middle plate is missing along with the seal</w:t>
      </w:r>
    </w:p>
    <w:p w14:paraId="1693A73F" w14:textId="12AD4751">
      <w:pPr>
        <w:pStyle w:val="Lista"/>
      </w:pPr>
      <w:r>
        <w:t xml:space="preserve">from the presence of foliation marks </w:t>
      </w:r>
      <w:r>
        <w:rPr>
          <w:noProof/>
        </w:rPr>
        <w:t>(</w:t>
      </w:r>
      <w:r>
        <w:t xml:space="preserve">and from our intimate knowledge of the Middle Earth copper plate corpus) we can infer that exactly one plate was lost, therefore we include the lost plate in our edition instead of creating textpart divisions </w:t>
      </w:r>
      <w:r>
        <w:rPr>
          <w:noProof/>
        </w:rPr>
        <w:t>(</w:t>
      </w:r>
      <w:r>
        <w:t>§</w:t>
      </w:r>
      <w:r>
        <w:fldChar w:fldCharType="begin"/>
      </w:r>
      <w:r>
        <w:instrText xml:space="preserve"> REF _Ref149918878 \r \h </w:instrText>
      </w:r>
      <w:r>
        <w:fldChar w:fldCharType="separate"/>
      </w:r>
      <w:r>
        <w:t>6.5.5.3</w:t>
      </w:r>
      <w:r>
        <w:fldChar w:fldCharType="end"/>
      </w:r>
      <w:r>
        <w:t>)</w:t>
      </w:r>
    </w:p>
    <w:p w14:paraId="3983CAA5" w14:textId="77777777">
      <w:pPr>
        <w:pStyle w:val="Lista2"/>
      </w:pPr>
      <w:r>
        <w:t>we can also infer that the lost plate would have been inscribed with exactly three lines on both faces, so this is also encoded in the edition</w:t>
      </w:r>
    </w:p>
    <w:p w14:paraId="1001DC9C" w14:textId="3373CC76">
      <w:pPr>
        <w:pStyle w:val="Lista"/>
      </w:pPr>
      <w:r>
        <w:t xml:space="preserve">extant details are encoded as in </w:t>
      </w:r>
      <w:r>
        <w:fldChar w:fldCharType="begin"/>
      </w:r>
      <w:r>
        <w:instrText xml:space="preserve"> REF _Ref239844102 \r \h </w:instrText>
      </w:r>
      <w:r>
        <w:fldChar w:fldCharType="separate"/>
      </w:r>
      <w:r>
        <w:t>Appendix A.2</w:t>
      </w:r>
      <w:r>
        <w:fldChar w:fldCharType="end"/>
      </w:r>
      <w:r>
        <w:t xml:space="preserve"> above</w:t>
      </w:r>
    </w:p>
    <w:p w14:paraId="3278F6C8" w14:textId="77777777"/>
    <w:p w14:paraId="65A033A4" w14:textId="31339EA3">
      <w:pPr>
        <w:pStyle w:val="CodeParagraph"/>
      </w:pPr>
      <w:r>
        <w:rPr>
          <w:rStyle w:val="Code"/>
        </w:rPr>
        <w:t xml:space="preserve">&lt;pb </w:t>
      </w:r>
      <w:r>
        <w:rPr>
          <w:rStyle w:val="Codeattribute"/>
        </w:rPr>
        <w:t>n</w:t>
      </w:r>
      <w:r>
        <w:rPr>
          <w:rStyle w:val="Code"/>
        </w:rPr>
        <w:t>=</w:t>
      </w:r>
      <w:r>
        <w:rPr>
          <w:rStyle w:val="Codevalue"/>
        </w:rPr>
        <w:t>"1r"</w:t>
      </w:r>
      <w:r>
        <w:rPr>
          <w:rStyle w:val="Code"/>
        </w:rPr>
        <w:t>/&gt;</w:t>
      </w:r>
      <w:r>
        <w:rPr>
          <w:rStyle w:val="Codetext"/>
        </w:rPr>
        <w:br/>
      </w:r>
      <w:r>
        <w:rPr>
          <w:rStyle w:val="Code"/>
        </w:rPr>
        <w:t>&lt;ab&gt;</w:t>
      </w:r>
      <w:r>
        <w:rPr>
          <w:rStyle w:val="Codetext"/>
        </w:rPr>
        <w:br/>
        <w:t xml:space="preserve">  </w:t>
      </w:r>
      <w:r>
        <w:rPr>
          <w:rStyle w:val="Code"/>
        </w:rPr>
        <w:t xml:space="preserve">&lt;pb </w:t>
      </w:r>
      <w:r>
        <w:rPr>
          <w:rStyle w:val="Codeattribute"/>
        </w:rPr>
        <w:t>n</w:t>
      </w:r>
      <w:r>
        <w:rPr>
          <w:rStyle w:val="Code"/>
        </w:rPr>
        <w:t>=</w:t>
      </w:r>
      <w:r>
        <w:rPr>
          <w:rStyle w:val="Codevalue"/>
        </w:rPr>
        <w:t>"1v"</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"1v0"</w:t>
      </w:r>
      <w:r>
        <w:rPr>
          <w:rStyle w:val="Code"/>
        </w:rPr>
        <w:t>/&gt;</w:t>
      </w:r>
      <w:r>
        <w:rPr>
          <w:rStyle w:val="Codetext"/>
        </w:rPr>
        <w:t>The Hobbit</w:t>
      </w:r>
      <w:r>
        <w:rPr>
          <w:rStyle w:val="Codetext"/>
        </w:rPr>
        <w:br/>
      </w:r>
      <w:r>
        <w:rPr>
          <w:rStyle w:val="Code"/>
        </w:rPr>
        <w:t>&lt;/ab&gt;</w:t>
      </w:r>
      <w:r>
        <w:rPr>
          <w:rStyle w:val="Codetext"/>
        </w:rPr>
        <w:br/>
      </w:r>
      <w:r>
        <w:rPr>
          <w:rStyle w:val="Codecomment"/>
        </w:rPr>
        <w:t>&lt;!--In this edition, line numbering is restarted on each page, and page numbers are incorporated in line numbers as per §</w:t>
      </w:r>
      <w:r>
        <w:rPr>
          <w:rStyle w:val="Codecomment"/>
        </w:rPr>
        <w:fldChar w:fldCharType="begin"/>
      </w:r>
      <w:r>
        <w:rPr>
          <w:rStyle w:val="Codecomment"/>
        </w:rPr>
        <w:instrText xml:space="preserve"> REF _Ref182228380 \r \h </w:instrText>
      </w:r>
      <w:r>
        <w:rPr>
          <w:rStyle w:val="Codecomment"/>
        </w:rPr>
      </w:r>
      <w:r>
        <w:rPr>
          <w:rStyle w:val="Codecomment"/>
        </w:rPr>
        <w:fldChar w:fldCharType="separate"/>
      </w:r>
      <w:r>
        <w:rPr>
          <w:rStyle w:val="Codecomment"/>
        </w:rPr>
        <w:t>4.5.2.2</w:t>
      </w:r>
      <w:r>
        <w:rPr>
          <w:rStyle w:val="Codecomment"/>
        </w:rPr>
        <w:fldChar w:fldCharType="end"/>
      </w:r>
      <w:r>
        <w:rPr>
          <w:rStyle w:val="Codecomment"/>
        </w:rPr>
        <w:t>. Since the number of lines per page is known, we could also have opted to number lines consecutively, logically continuing line numbers after the lacuna §</w:t>
      </w:r>
      <w:r>
        <w:rPr>
          <w:rStyle w:val="Codecomment"/>
        </w:rPr>
        <w:fldChar w:fldCharType="begin"/>
      </w:r>
      <w:r>
        <w:rPr>
          <w:rStyle w:val="Codecomment"/>
        </w:rPr>
        <w:instrText xml:space="preserve"> REF _Ref149918878 \r \h  \* MERGEFORMAT </w:instrText>
      </w:r>
      <w:r>
        <w:rPr>
          <w:rStyle w:val="Codecomment"/>
        </w:rPr>
      </w:r>
      <w:r>
        <w:rPr>
          <w:rStyle w:val="Codecomment"/>
        </w:rPr>
        <w:fldChar w:fldCharType="separate"/>
      </w:r>
      <w:r>
        <w:rPr>
          <w:rStyle w:val="Codecomment"/>
        </w:rPr>
        <w:t>6.5.5.3</w:t>
      </w:r>
      <w:r>
        <w:rPr>
          <w:rStyle w:val="Codecomment"/>
        </w:rPr>
        <w:fldChar w:fldCharType="end"/>
      </w:r>
      <w:r>
        <w:rPr>
          <w:rStyle w:val="Codecomment"/>
        </w:rPr>
        <w:t>.--&gt;</w:t>
      </w:r>
      <w:r>
        <w:rPr>
          <w:rStyle w:val="Codetext"/>
        </w:rPr>
        <w:br/>
      </w:r>
      <w:r>
        <w:rPr>
          <w:rStyle w:val="Code"/>
        </w:rPr>
        <w:t xml:space="preserve">&lt;p </w:t>
      </w:r>
      <w:r>
        <w:rPr>
          <w:rStyle w:val="Codeattribute"/>
        </w:rPr>
        <w:t>part</w:t>
      </w:r>
      <w:r>
        <w:rPr>
          <w:rStyle w:val="Code"/>
        </w:rPr>
        <w:t>=</w:t>
      </w:r>
      <w:r>
        <w:rPr>
          <w:rStyle w:val="Codevalue"/>
        </w:rPr>
        <w:t>"I"</w:t>
      </w:r>
      <w:r>
        <w:rPr>
          <w:rStyle w:val="Code"/>
        </w:rPr>
        <w:t>&gt;</w:t>
      </w:r>
      <w:r>
        <w:rPr>
          <w:rStyle w:val="Codecomment"/>
        </w:rPr>
        <w:t>&lt;!--The incomplete paragraph is marked as an initial part.--&gt;</w:t>
      </w:r>
      <w:r>
        <w:rPr>
          <w:rStyle w:val="Codetext"/>
        </w:rPr>
        <w:br/>
        <w:t xml:space="preserve">  </w:t>
      </w:r>
      <w:r>
        <w:rPr>
          <w:rStyle w:val="Code"/>
        </w:rPr>
        <w:t xml:space="preserve">&lt;lb </w:t>
      </w:r>
      <w:r>
        <w:rPr>
          <w:rStyle w:val="Codeattribute"/>
        </w:rPr>
        <w:t>n</w:t>
      </w:r>
      <w:r>
        <w:rPr>
          <w:rStyle w:val="Code"/>
        </w:rPr>
        <w:t>=</w:t>
      </w:r>
      <w:r>
        <w:rPr>
          <w:rStyle w:val="Codevalue"/>
        </w:rPr>
        <w:t>"1v1"</w:t>
      </w:r>
      <w:r>
        <w:rPr>
          <w:rStyle w:val="Code"/>
        </w:rPr>
        <w:t>/&gt;</w:t>
      </w:r>
      <w:r>
        <w:rPr>
          <w:rStyle w:val="Codetext"/>
        </w:rPr>
        <w:t>In a hole in the ground there lived a hobbit. Not</w:t>
      </w:r>
      <w:r>
        <w:rPr>
          <w:rStyle w:val="Codetext"/>
        </w:rPr>
        <w:br/>
        <w:t xml:space="preserve">  </w:t>
      </w:r>
      <w:r>
        <w:rPr>
          <w:rStyle w:val="Code"/>
        </w:rPr>
        <w:t xml:space="preserve">&lt;lb </w:t>
      </w:r>
      <w:r>
        <w:rPr>
          <w:rStyle w:val="Codeattribute"/>
        </w:rPr>
        <w:t>n</w:t>
      </w:r>
      <w:r>
        <w:rPr>
          <w:rStyle w:val="Code"/>
        </w:rPr>
        <w:t>=</w:t>
      </w:r>
      <w:r>
        <w:rPr>
          <w:rStyle w:val="Codevalue"/>
        </w:rPr>
        <w:t>"1v2"</w:t>
      </w:r>
      <w:r>
        <w:rPr>
          <w:rStyle w:val="Code"/>
        </w:rPr>
        <w:t>/&gt;</w:t>
      </w:r>
      <w:r>
        <w:rPr>
          <w:rStyle w:val="Codetext"/>
        </w:rPr>
        <w:t>a nasty, dirty, wet hole, filled with the ends of worm</w:t>
      </w:r>
      <w:r>
        <w:rPr>
          <w:rStyle w:val="Codetext"/>
        </w:rPr>
        <w:br/>
        <w:t xml:space="preserve">  </w:t>
      </w:r>
      <w:r>
        <w:rPr>
          <w:rStyle w:val="Code"/>
        </w:rPr>
        <w:t xml:space="preserve">&lt;lb </w:t>
      </w:r>
      <w:r>
        <w:rPr>
          <w:rStyle w:val="Codeattribute"/>
        </w:rPr>
        <w:t>n</w:t>
      </w:r>
      <w:r>
        <w:rPr>
          <w:rStyle w:val="Code"/>
        </w:rPr>
        <w:t>=</w:t>
      </w:r>
      <w:r>
        <w:rPr>
          <w:rStyle w:val="Codevalue"/>
        </w:rPr>
        <w:t>"1v3"</w:t>
      </w:r>
      <w:r>
        <w:rPr>
          <w:rStyle w:val="Code"/>
        </w:rPr>
        <w:t>/&gt;</w:t>
      </w:r>
      <w:r>
        <w:rPr>
          <w:rStyle w:val="Codetext"/>
        </w:rPr>
        <w:t>and an oozy smell, nor yet a dry, bare, sandy hole with</w:t>
      </w:r>
      <w:r>
        <w:rPr>
          <w:rStyle w:val="Codetext"/>
        </w:rPr>
        <w:br/>
      </w:r>
      <w:r>
        <w:rPr>
          <w:rStyle w:val="Code"/>
        </w:rPr>
        <w:t>&lt;/p&gt;</w:t>
      </w:r>
      <w:r>
        <w:rPr>
          <w:rStyle w:val="Codecomment"/>
        </w:rPr>
        <w:t>&lt;!--The open block-level container is closed before the lacuna.--&gt;</w:t>
      </w:r>
      <w:r>
        <w:rPr>
          <w:rStyle w:val="Codetext"/>
        </w:rPr>
        <w:br/>
      </w:r>
      <w:r>
        <w:rPr>
          <w:rStyle w:val="Code"/>
        </w:rPr>
        <w:t xml:space="preserve">&lt;pb </w:t>
      </w:r>
      <w:r>
        <w:rPr>
          <w:rStyle w:val="Codeattribute"/>
        </w:rPr>
        <w:t>n</w:t>
      </w:r>
      <w:r>
        <w:rPr>
          <w:rStyle w:val="Code"/>
        </w:rPr>
        <w:t>=</w:t>
      </w:r>
      <w:r>
        <w:rPr>
          <w:rStyle w:val="Codevalue"/>
        </w:rPr>
        <w:t>"2r"</w:t>
      </w:r>
      <w:r>
        <w:rPr>
          <w:rStyle w:val="Code"/>
        </w:rPr>
        <w:t>/&gt;</w:t>
      </w:r>
      <w:r>
        <w:rPr>
          <w:rStyle w:val="Codecomment"/>
        </w:rPr>
        <w:t>&lt;!--Although a foliation mark was in all probability present on the lost plate, we do not restore one.--&gt;</w:t>
      </w:r>
      <w:r>
        <w:rPr>
          <w:rStyle w:val="Codetext"/>
        </w:rPr>
        <w:br/>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"3"</w:t>
      </w:r>
      <w:r>
        <w:rPr>
          <w:rStyle w:val="Code"/>
        </w:rPr>
        <w:t xml:space="preserve"> </w:t>
      </w:r>
      <w:r>
        <w:rPr>
          <w:rStyle w:val="Codeattribute"/>
        </w:rPr>
        <w:t>unit</w:t>
      </w:r>
      <w:r>
        <w:rPr>
          <w:rStyle w:val="Code"/>
        </w:rPr>
        <w:t>=</w:t>
      </w:r>
      <w:r>
        <w:rPr>
          <w:rStyle w:val="Codevalue"/>
        </w:rPr>
        <w:t>"line"</w:t>
      </w:r>
      <w:r>
        <w:rPr>
          <w:rStyle w:val="Code"/>
        </w:rPr>
        <w:t>/&gt;</w:t>
      </w:r>
      <w:r>
        <w:rPr>
          <w:rStyle w:val="Codetext"/>
        </w:rPr>
        <w:br/>
      </w:r>
      <w:r>
        <w:rPr>
          <w:rStyle w:val="Codecomment"/>
        </w:rPr>
        <w:t>&lt;!--Individual line beginnings are not reconstructed on a lost page, only recorded as a lacuna of known size. --&gt;</w:t>
      </w:r>
      <w:r>
        <w:rPr>
          <w:rStyle w:val="Codetext"/>
        </w:rPr>
        <w:br/>
      </w:r>
      <w:r>
        <w:rPr>
          <w:rStyle w:val="Code"/>
        </w:rPr>
        <w:t xml:space="preserve">&lt;pb </w:t>
      </w:r>
      <w:r>
        <w:rPr>
          <w:rStyle w:val="Codeattribute"/>
        </w:rPr>
        <w:t>n</w:t>
      </w:r>
      <w:r>
        <w:rPr>
          <w:rStyle w:val="Code"/>
        </w:rPr>
        <w:t>=</w:t>
      </w:r>
      <w:r>
        <w:rPr>
          <w:rStyle w:val="Codevalue"/>
        </w:rPr>
        <w:t>"2v"</w:t>
      </w:r>
      <w:r>
        <w:rPr>
          <w:rStyle w:val="Code"/>
        </w:rPr>
        <w:t>/&gt;</w:t>
      </w:r>
      <w:r>
        <w:rPr>
          <w:rStyle w:val="Codetext"/>
        </w:rPr>
        <w:br/>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"3"</w:t>
      </w:r>
      <w:r>
        <w:rPr>
          <w:rStyle w:val="Code"/>
        </w:rPr>
        <w:t xml:space="preserve"> </w:t>
      </w:r>
      <w:r>
        <w:rPr>
          <w:rStyle w:val="Codeattribute"/>
        </w:rPr>
        <w:t>unit</w:t>
      </w:r>
      <w:r>
        <w:rPr>
          <w:rStyle w:val="Code"/>
        </w:rPr>
        <w:t>=</w:t>
      </w:r>
      <w:r>
        <w:rPr>
          <w:rStyle w:val="Codevalue"/>
        </w:rPr>
        <w:t>"line"</w:t>
      </w:r>
      <w:r>
        <w:rPr>
          <w:rStyle w:val="Code"/>
        </w:rPr>
        <w:t>/&gt;</w:t>
      </w:r>
      <w:r>
        <w:rPr>
          <w:rStyle w:val="Codetext"/>
        </w:rPr>
        <w:br/>
      </w:r>
      <w:r>
        <w:rPr>
          <w:rStyle w:val="Code"/>
        </w:rPr>
        <w:t xml:space="preserve">&lt;p </w:t>
      </w:r>
      <w:r>
        <w:rPr>
          <w:rStyle w:val="Codeattribute"/>
        </w:rPr>
        <w:t>part</w:t>
      </w:r>
      <w:r>
        <w:rPr>
          <w:rStyle w:val="Code"/>
        </w:rPr>
        <w:t>=</w:t>
      </w:r>
      <w:r>
        <w:rPr>
          <w:rStyle w:val="Codevalue"/>
        </w:rPr>
        <w:t>"F"</w:t>
      </w:r>
      <w:r>
        <w:rPr>
          <w:rStyle w:val="Code"/>
        </w:rPr>
        <w:t>&gt;</w:t>
      </w:r>
      <w:r>
        <w:rPr>
          <w:rStyle w:val="Codecomment"/>
        </w:rPr>
        <w:t>&lt;!--A new block-level container, marked as a final part, is opened after the lacuna, before the next extant page beginning.--&gt;</w:t>
      </w:r>
      <w:r>
        <w:rPr>
          <w:rStyle w:val="Codetext"/>
        </w:rPr>
        <w:br/>
        <w:t xml:space="preserve">  </w:t>
      </w:r>
      <w:r>
        <w:rPr>
          <w:rStyle w:val="Code"/>
        </w:rPr>
        <w:t xml:space="preserve">&lt;pb </w:t>
      </w:r>
      <w:r>
        <w:rPr>
          <w:rStyle w:val="Codeattribute"/>
        </w:rPr>
        <w:t>n</w:t>
      </w:r>
      <w:r>
        <w:rPr>
          <w:rStyle w:val="Code"/>
        </w:rPr>
        <w:t>=</w:t>
      </w:r>
      <w:r>
        <w:rPr>
          <w:rStyle w:val="Codevalue"/>
        </w:rPr>
        <w:t>"3r"</w:t>
      </w:r>
      <w:r>
        <w:rPr>
          <w:rStyle w:val="Code"/>
        </w:rPr>
        <w:t>/&gt;</w:t>
      </w:r>
      <w:r>
        <w:rPr>
          <w:rStyle w:val="Codetext"/>
        </w:rPr>
        <w:br/>
        <w:t xml:space="preserve">  </w:t>
      </w:r>
      <w:r>
        <w:rPr>
          <w:rStyle w:val="Code"/>
        </w:rPr>
        <w:t xml:space="preserve">&lt;fw </w:t>
      </w:r>
      <w:r>
        <w:rPr>
          <w:rStyle w:val="Codeattribute"/>
        </w:rPr>
        <w:t>place</w:t>
      </w:r>
      <w:r>
        <w:rPr>
          <w:rStyle w:val="Code"/>
        </w:rPr>
        <w:t>=</w:t>
      </w:r>
      <w:r>
        <w:rPr>
          <w:rStyle w:val="Codevalue"/>
        </w:rPr>
        <w:t>"bot-left"</w:t>
      </w:r>
      <w:r>
        <w:rPr>
          <w:rStyle w:val="Code"/>
        </w:rPr>
        <w:t xml:space="preserve"> </w:t>
      </w:r>
      <w:r>
        <w:rPr>
          <w:rStyle w:val="Codeattribute"/>
        </w:rPr>
        <w:t>n</w:t>
      </w:r>
      <w:r>
        <w:rPr>
          <w:rStyle w:val="Code"/>
        </w:rPr>
        <w:t>=</w:t>
      </w:r>
      <w:r>
        <w:rPr>
          <w:rStyle w:val="Codevalue"/>
        </w:rPr>
        <w:t>"3r"</w:t>
      </w:r>
      <w:r>
        <w:rPr>
          <w:rStyle w:val="Code"/>
        </w:rPr>
        <w:t>&gt;</w:t>
      </w:r>
      <w:r>
        <w:rPr>
          <w:rStyle w:val="Codetext"/>
        </w:rPr>
        <w:br/>
        <w:t xml:space="preserve">    </w:t>
      </w:r>
      <w:r>
        <w:rPr>
          <w:rStyle w:val="Code"/>
        </w:rPr>
        <w:t xml:space="preserve">&lt;num </w:t>
      </w:r>
      <w:r>
        <w:rPr>
          <w:rStyle w:val="Codeattribute"/>
        </w:rPr>
        <w:t>value</w:t>
      </w:r>
      <w:r>
        <w:rPr>
          <w:rStyle w:val="Code"/>
        </w:rPr>
        <w:t>=</w:t>
      </w:r>
      <w:r>
        <w:rPr>
          <w:rStyle w:val="Codevalue"/>
        </w:rPr>
        <w:t>"3"</w:t>
      </w:r>
      <w:r>
        <w:rPr>
          <w:rStyle w:val="Code"/>
        </w:rPr>
        <w:t>&gt;</w:t>
      </w:r>
      <w:r>
        <w:rPr>
          <w:rStyle w:val="Codetext"/>
        </w:rPr>
        <w:t>3</w:t>
      </w:r>
      <w:r>
        <w:rPr>
          <w:rStyle w:val="Code"/>
        </w:rPr>
        <w:t>&lt;/num&gt;</w:t>
      </w:r>
      <w:r>
        <w:rPr>
          <w:rStyle w:val="Codetext"/>
        </w:rPr>
        <w:br/>
        <w:t xml:space="preserve">  </w:t>
      </w:r>
      <w:r>
        <w:rPr>
          <w:rStyle w:val="Code"/>
        </w:rPr>
        <w:t>&lt;/fw&gt;</w:t>
      </w:r>
      <w:r>
        <w:rPr>
          <w:rStyle w:val="Codetext"/>
        </w:rPr>
        <w:br/>
        <w:t xml:space="preserve">  </w:t>
      </w:r>
      <w:r>
        <w:rPr>
          <w:rStyle w:val="Code"/>
        </w:rPr>
        <w:t xml:space="preserve">&lt;lb </w:t>
      </w:r>
      <w:r>
        <w:rPr>
          <w:rStyle w:val="Codeattribute"/>
        </w:rPr>
        <w:t>n</w:t>
      </w:r>
      <w:r>
        <w:rPr>
          <w:rStyle w:val="Code"/>
        </w:rPr>
        <w:t>=</w:t>
      </w:r>
      <w:r>
        <w:rPr>
          <w:rStyle w:val="Codevalue"/>
        </w:rPr>
        <w:t>"3r1"</w:t>
      </w:r>
      <w:r>
        <w:rPr>
          <w:rStyle w:val="Code"/>
        </w:rPr>
        <w:t>/&gt;</w:t>
      </w:r>
      <w:r>
        <w:rPr>
          <w:rStyle w:val="Codetext"/>
        </w:rPr>
        <w:t>and floors tiled and carpeted, provided with polished</w:t>
      </w:r>
      <w:r>
        <w:rPr>
          <w:rStyle w:val="Codetext"/>
        </w:rPr>
        <w:br/>
        <w:t xml:space="preserve">  </w:t>
      </w:r>
      <w:r>
        <w:rPr>
          <w:rStyle w:val="Code"/>
        </w:rPr>
        <w:t xml:space="preserve">&lt;lb </w:t>
      </w:r>
      <w:r>
        <w:rPr>
          <w:rStyle w:val="Codeattribute"/>
        </w:rPr>
        <w:t>n</w:t>
      </w:r>
      <w:r>
        <w:rPr>
          <w:rStyle w:val="Code"/>
        </w:rPr>
        <w:t>=</w:t>
      </w:r>
      <w:r>
        <w:rPr>
          <w:rStyle w:val="Codevalue"/>
        </w:rPr>
        <w:t>"3r2"</w:t>
      </w:r>
      <w:r>
        <w:rPr>
          <w:rStyle w:val="Code"/>
        </w:rPr>
        <w:t>/&gt;</w:t>
      </w:r>
      <w:r>
        <w:rPr>
          <w:rStyle w:val="Codetext"/>
        </w:rPr>
        <w:t>chairs, and lots and lots of pegs for hats and coats.</w:t>
      </w:r>
      <w:r>
        <w:rPr>
          <w:rStyle w:val="Codetext"/>
        </w:rPr>
        <w:br/>
      </w:r>
      <w:r>
        <w:rPr>
          <w:rStyle w:val="Code"/>
        </w:rPr>
        <w:t>&lt;/p&gt;</w:t>
      </w:r>
      <w:r>
        <w:rPr>
          <w:rStyle w:val="Codetext"/>
        </w:rPr>
        <w:br/>
      </w:r>
      <w:r>
        <w:rPr>
          <w:rStyle w:val="Code"/>
        </w:rPr>
        <w:t>&lt;ab&gt;</w:t>
      </w:r>
      <w:r>
        <w:rPr>
          <w:rStyle w:val="Codetext"/>
        </w:rPr>
        <w:br/>
        <w:t xml:space="preserve">  </w:t>
      </w:r>
      <w:r>
        <w:rPr>
          <w:rStyle w:val="Code"/>
        </w:rPr>
        <w:t xml:space="preserve">&lt;lb </w:t>
      </w:r>
      <w:r>
        <w:rPr>
          <w:rStyle w:val="Codeattribute"/>
        </w:rPr>
        <w:t>n</w:t>
      </w:r>
      <w:r>
        <w:rPr>
          <w:rStyle w:val="Code"/>
        </w:rPr>
        <w:t>=</w:t>
      </w:r>
      <w:r>
        <w:rPr>
          <w:rStyle w:val="Codevalue"/>
        </w:rPr>
        <w:t>"3r3"</w:t>
      </w:r>
      <w:r>
        <w:rPr>
          <w:rStyle w:val="Code"/>
        </w:rPr>
        <w:t xml:space="preserve"> </w:t>
      </w:r>
      <w:r>
        <w:rPr>
          <w:rStyle w:val="Codeattribute"/>
        </w:rPr>
        <w:t>style</w:t>
      </w:r>
      <w:r>
        <w:rPr>
          <w:rStyle w:val="Code"/>
        </w:rPr>
        <w:t>=</w:t>
      </w:r>
      <w:r>
        <w:rPr>
          <w:rStyle w:val="Codevalue"/>
        </w:rPr>
        <w:t>"text-align: right"</w:t>
      </w:r>
      <w:r>
        <w:rPr>
          <w:rStyle w:val="Code"/>
        </w:rPr>
        <w:t>/&gt;</w:t>
      </w:r>
      <w:r>
        <w:rPr>
          <w:rStyle w:val="Codetext"/>
        </w:rPr>
        <w:br/>
        <w:t xml:space="preserve">  </w:t>
      </w:r>
      <w:r>
        <w:rPr>
          <w:rStyle w:val="Code"/>
        </w:rPr>
        <w:t xml:space="preserve">&lt;num </w:t>
      </w:r>
      <w:r>
        <w:rPr>
          <w:rStyle w:val="Codeattribute"/>
        </w:rPr>
        <w:t>value</w:t>
      </w:r>
      <w:r>
        <w:rPr>
          <w:rStyle w:val="Code"/>
        </w:rPr>
        <w:t>=</w:t>
      </w:r>
      <w:r>
        <w:rPr>
          <w:rStyle w:val="Codevalue"/>
        </w:rPr>
        <w:t>"29"</w:t>
      </w:r>
      <w:r>
        <w:rPr>
          <w:rStyle w:val="Code"/>
        </w:rPr>
        <w:t>&gt;</w:t>
      </w:r>
      <w:r>
        <w:rPr>
          <w:rStyle w:val="Codetext"/>
        </w:rPr>
        <w:t>29</w:t>
      </w:r>
      <w:r>
        <w:rPr>
          <w:rStyle w:val="Code"/>
        </w:rPr>
        <w:t>&lt;/num&gt;</w:t>
      </w:r>
      <w:r>
        <w:rPr>
          <w:rStyle w:val="Codetext"/>
        </w:rPr>
        <w:t xml:space="preserve"> September </w:t>
      </w:r>
      <w:r>
        <w:rPr>
          <w:rStyle w:val="Code"/>
        </w:rPr>
        <w:t xml:space="preserve">&lt;num </w:t>
      </w:r>
      <w:r>
        <w:rPr>
          <w:rStyle w:val="Codeattribute"/>
        </w:rPr>
        <w:t>value</w:t>
      </w:r>
      <w:r>
        <w:rPr>
          <w:rStyle w:val="Code"/>
        </w:rPr>
        <w:t>=</w:t>
      </w:r>
      <w:r>
        <w:rPr>
          <w:rStyle w:val="Codevalue"/>
        </w:rPr>
        <w:t>"2019"</w:t>
      </w:r>
      <w:r>
        <w:rPr>
          <w:rStyle w:val="Code"/>
        </w:rPr>
        <w:t>&gt;</w:t>
      </w:r>
      <w:r>
        <w:rPr>
          <w:rStyle w:val="Codetext"/>
        </w:rPr>
        <w:t>2019</w:t>
      </w:r>
      <w:r>
        <w:rPr>
          <w:rStyle w:val="Code"/>
        </w:rPr>
        <w:t>&lt;/num&gt;</w:t>
      </w:r>
      <w:r>
        <w:rPr>
          <w:rStyle w:val="Codetext"/>
        </w:rPr>
        <w:br/>
      </w:r>
      <w:r>
        <w:rPr>
          <w:rStyle w:val="Code"/>
        </w:rPr>
        <w:t>&lt;/ab&gt;</w:t>
      </w:r>
      <w:r>
        <w:rPr>
          <w:rStyle w:val="Codetext"/>
        </w:rPr>
        <w:br/>
      </w:r>
      <w:r>
        <w:rPr>
          <w:rStyle w:val="Code"/>
        </w:rPr>
        <w:t xml:space="preserve">&lt;pb </w:t>
      </w:r>
      <w:r>
        <w:rPr>
          <w:rStyle w:val="Codeattribute"/>
        </w:rPr>
        <w:t>n</w:t>
      </w:r>
      <w:r>
        <w:rPr>
          <w:rStyle w:val="Code"/>
        </w:rPr>
        <w:t>=</w:t>
      </w:r>
      <w:r>
        <w:rPr>
          <w:rStyle w:val="Codevalue"/>
        </w:rPr>
        <w:t>"3v"</w:t>
      </w:r>
      <w:r>
        <w:rPr>
          <w:rStyle w:val="Code"/>
        </w:rPr>
        <w:t>/&gt;</w:t>
      </w:r>
    </w:p>
    <w:p w14:paraId="4DEA0460" w14:textId="77777777">
      <w:pPr>
        <w:pStyle w:val="Cmsor2"/>
        <w:numPr>
          <w:ilvl w:val="1"/>
          <w:numId w:val="7"/>
        </w:numPr>
      </w:pPr>
      <w:bookmarkStart w:id="1140" w:name="_91l5g3c4663p" w:colFirst="0" w:colLast="0"/>
      <w:bookmarkStart w:id="1141" w:name="_Ref239844430"/>
      <w:bookmarkStart w:id="1142" w:name="_Toc243922837"/>
      <w:bookmarkEnd w:id="1140"/>
      <w:r>
        <w:lastRenderedPageBreak/>
        <w:t>Copperplate charter with a lost plate not reconstructed</w:t>
      </w:r>
      <w:bookmarkEnd w:id="1141"/>
      <w:bookmarkEnd w:id="1142"/>
    </w:p>
    <w:p w14:paraId="25B6C300" w14:textId="77777777">
      <w:pPr>
        <w:pStyle w:val="Image"/>
      </w:pPr>
      <w:r>
        <w:drawing>
          <wp:inline distT="0" distB="0" distL="0" distR="0" wp14:anchorId="5679A129" wp14:editId="13288973">
            <wp:extent cx="5400000" cy="3344400"/>
            <wp:effectExtent l="0" t="0" r="0" b="8890"/>
            <wp:docPr id="1495493284"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00000" cy="3344400"/>
                    </a:xfrm>
                    <a:prstGeom prst="rect">
                      <a:avLst/>
                    </a:prstGeom>
                    <a:noFill/>
                    <a:ln>
                      <a:noFill/>
                    </a:ln>
                  </pic:spPr>
                </pic:pic>
              </a:graphicData>
            </a:graphic>
          </wp:inline>
        </w:drawing>
      </w:r>
    </w:p>
    <w:p w14:paraId="6F638E98" w14:textId="2008BB7C">
      <w:pPr>
        <w:pStyle w:val="Lista"/>
      </w:pPr>
      <w:r>
        <w:t xml:space="preserve">as another variation on </w:t>
      </w:r>
      <w:r>
        <w:fldChar w:fldCharType="begin"/>
      </w:r>
      <w:r>
        <w:instrText xml:space="preserve"> REF _Ref239844102 \r \h </w:instrText>
      </w:r>
      <w:r>
        <w:fldChar w:fldCharType="separate"/>
      </w:r>
      <w:r>
        <w:t>Appendix A.2</w:t>
      </w:r>
      <w:r>
        <w:fldChar w:fldCharType="end"/>
      </w:r>
      <w:r>
        <w:t>, we again have a partial set of plates where the middle plate is missing</w:t>
      </w:r>
    </w:p>
    <w:p w14:paraId="596254E1" w14:textId="77777777">
      <w:pPr>
        <w:pStyle w:val="Lista"/>
      </w:pPr>
      <w:r>
        <w:t>this time, however, the seal is extant and there are no foliation marks, nor are we sufficiently familiar with any other Middle Earth plates, so we cannot confidently reconstruct the structure of the lost section</w:t>
      </w:r>
    </w:p>
    <w:p w14:paraId="2C5F18BA" w14:textId="38BE99DA">
      <w:pPr>
        <w:pStyle w:val="Lista"/>
      </w:pPr>
      <w:r>
        <w:t xml:space="preserve">our edition must therefore be divided into three textparts: one for the seal, one for the initial plate, and one for the final plate </w:t>
      </w:r>
      <w:r>
        <w:rPr>
          <w:noProof/>
        </w:rPr>
        <w:t>(</w:t>
      </w:r>
      <w:r>
        <w:t>§</w:t>
      </w:r>
      <w:r>
        <w:fldChar w:fldCharType="begin"/>
      </w:r>
      <w:r>
        <w:instrText xml:space="preserve"> REF _Ref149918878 \r \h </w:instrText>
      </w:r>
      <w:r>
        <w:fldChar w:fldCharType="separate"/>
      </w:r>
      <w:r>
        <w:t>6.5.5.3</w:t>
      </w:r>
      <w:r>
        <w:fldChar w:fldCharType="end"/>
      </w:r>
      <w:r>
        <w:t>)</w:t>
      </w:r>
    </w:p>
    <w:p w14:paraId="57445B01" w14:textId="268C2CFB">
      <w:pPr>
        <w:pStyle w:val="Lista"/>
      </w:pPr>
      <w:r>
        <w:t xml:space="preserve">extant details are encoded as in </w:t>
      </w:r>
      <w:r>
        <w:fldChar w:fldCharType="begin"/>
      </w:r>
      <w:r>
        <w:instrText xml:space="preserve"> REF _Ref239844102 \r \h </w:instrText>
      </w:r>
      <w:r>
        <w:fldChar w:fldCharType="separate"/>
      </w:r>
      <w:r>
        <w:t>Appendix A.2</w:t>
      </w:r>
      <w:r>
        <w:fldChar w:fldCharType="end"/>
      </w:r>
      <w:r>
        <w:t xml:space="preserve"> above</w:t>
      </w:r>
    </w:p>
    <w:p w14:paraId="7464217B" w14:textId="77777777"/>
    <w:p w14:paraId="40657002" w14:textId="77777777">
      <w:pPr>
        <w:pStyle w:val="CodeParagraph"/>
        <w:rPr>
          <w:rStyle w:val="Code"/>
        </w:rPr>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 xml:space="preserve">&gt;&lt;head </w:t>
      </w:r>
      <w:r>
        <w:rPr>
          <w:rStyle w:val="Codeattribute"/>
        </w:rPr>
        <w:t>xml:lang</w:t>
      </w:r>
      <w:r>
        <w:rPr>
          <w:rStyle w:val="Code"/>
        </w:rPr>
        <w:t>=</w:t>
      </w:r>
      <w:r>
        <w:rPr>
          <w:rStyle w:val="Codevalue"/>
        </w:rPr>
        <w:t>"eng"</w:t>
      </w:r>
      <w:r>
        <w:rPr>
          <w:rStyle w:val="Code"/>
        </w:rPr>
        <w:t>&gt;</w:t>
      </w:r>
      <w:r>
        <w:rPr>
          <w:rStyle w:val="Codetext"/>
        </w:rPr>
        <w:t>Seal</w:t>
      </w:r>
      <w:r>
        <w:rPr>
          <w:rStyle w:val="Code"/>
        </w:rPr>
        <w:t>&lt;/head&gt;</w:t>
      </w:r>
      <w:r>
        <w:rPr>
          <w:rStyle w:val="Codetext"/>
        </w:rPr>
        <w:br/>
        <w:t xml:space="preserve">  </w:t>
      </w:r>
      <w:r>
        <w:rPr>
          <w:rStyle w:val="Code"/>
        </w:rPr>
        <w:t>&lt;ab&gt;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J R R</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Tolkien</w:t>
      </w:r>
      <w:r>
        <w:rPr>
          <w:rStyle w:val="Codetext"/>
        </w:rPr>
        <w:br/>
        <w:t xml:space="preserve">  </w:t>
      </w:r>
      <w:r>
        <w:rPr>
          <w:rStyle w:val="Code"/>
        </w:rPr>
        <w:t>&lt;/ab&gt;</w:t>
      </w:r>
      <w:r>
        <w:rPr>
          <w:rStyle w:val="Codetext"/>
        </w:rPr>
        <w:br/>
      </w:r>
      <w:r>
        <w:rPr>
          <w:rStyle w:val="Code"/>
        </w:rPr>
        <w:t>&lt;/div&gt;</w:t>
      </w:r>
      <w:r>
        <w:rPr>
          <w:rStyle w:val="Codetext"/>
        </w:rPr>
        <w:br/>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"B"</w:t>
      </w:r>
      <w:r>
        <w:rPr>
          <w:rStyle w:val="Code"/>
        </w:rPr>
        <w:t xml:space="preserve">&gt;&lt;head </w:t>
      </w:r>
      <w:r>
        <w:rPr>
          <w:rStyle w:val="Codeattribute"/>
        </w:rPr>
        <w:t>xml:lang</w:t>
      </w:r>
      <w:r>
        <w:rPr>
          <w:rStyle w:val="Code"/>
        </w:rPr>
        <w:t>=</w:t>
      </w:r>
      <w:r>
        <w:rPr>
          <w:rStyle w:val="Codevalue"/>
        </w:rPr>
        <w:t>"eng"</w:t>
      </w:r>
      <w:r>
        <w:rPr>
          <w:rStyle w:val="Code"/>
        </w:rPr>
        <w:t>&gt;</w:t>
      </w:r>
      <w:r>
        <w:rPr>
          <w:rStyle w:val="Codetext"/>
        </w:rPr>
        <w:t>Initial plate</w:t>
      </w:r>
      <w:r>
        <w:rPr>
          <w:rStyle w:val="Code"/>
        </w:rPr>
        <w:t>&lt;/head&gt;</w:t>
      </w:r>
      <w:r>
        <w:rPr>
          <w:rStyle w:val="Codetext"/>
        </w:rPr>
        <w:br/>
        <w:t xml:space="preserve">  </w:t>
      </w:r>
      <w:r>
        <w:rPr>
          <w:rStyle w:val="Code"/>
        </w:rPr>
        <w:t xml:space="preserve">&lt;pb </w:t>
      </w:r>
      <w:r>
        <w:rPr>
          <w:rStyle w:val="Codeattribute"/>
        </w:rPr>
        <w:t>n</w:t>
      </w:r>
      <w:r>
        <w:rPr>
          <w:rStyle w:val="Code"/>
        </w:rPr>
        <w:t>=</w:t>
      </w:r>
      <w:r>
        <w:rPr>
          <w:rStyle w:val="Codevalue"/>
        </w:rPr>
        <w:t>"1r"</w:t>
      </w:r>
      <w:r>
        <w:rPr>
          <w:rStyle w:val="Code"/>
        </w:rPr>
        <w:t>/&gt;</w:t>
      </w:r>
      <w:r>
        <w:rPr>
          <w:rStyle w:val="Codetext"/>
        </w:rPr>
        <w:br/>
        <w:t xml:space="preserve">  </w:t>
      </w:r>
      <w:r>
        <w:rPr>
          <w:rStyle w:val="Code"/>
        </w:rPr>
        <w:t>&lt;ab&gt;</w:t>
      </w:r>
    </w:p>
    <w:p w14:paraId="0E86CE2D" w14:textId="77777777">
      <w:pPr>
        <w:pStyle w:val="CodeParagraph"/>
        <w:rPr>
          <w:rStyle w:val="Codetext"/>
        </w:rPr>
      </w:pPr>
      <w:r>
        <w:rPr>
          <w:rStyle w:val="Codetext"/>
        </w:rPr>
        <w:t xml:space="preserve">    </w:t>
      </w:r>
      <w:r>
        <w:rPr>
          <w:rStyle w:val="Code"/>
        </w:rPr>
        <w:t xml:space="preserve">&lt;pb </w:t>
      </w:r>
      <w:r>
        <w:rPr>
          <w:rStyle w:val="Codeattribute"/>
        </w:rPr>
        <w:t>n</w:t>
      </w:r>
      <w:r>
        <w:rPr>
          <w:rStyle w:val="Code"/>
        </w:rPr>
        <w:t>=</w:t>
      </w:r>
      <w:r>
        <w:rPr>
          <w:rStyle w:val="Codevalue"/>
        </w:rPr>
        <w:t>"1v"</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"01"</w:t>
      </w:r>
      <w:r>
        <w:rPr>
          <w:rStyle w:val="Code"/>
        </w:rPr>
        <w:t>/&gt;</w:t>
      </w:r>
      <w:r>
        <w:rPr>
          <w:rStyle w:val="Codetext"/>
        </w:rPr>
        <w:t>The Hobbit</w:t>
      </w:r>
      <w:r>
        <w:rPr>
          <w:rStyle w:val="Codetext"/>
        </w:rPr>
        <w:br/>
        <w:t xml:space="preserve">  </w:t>
      </w:r>
      <w:r>
        <w:rPr>
          <w:rStyle w:val="Code"/>
        </w:rPr>
        <w:t>&lt;/ab&gt;</w:t>
      </w:r>
      <w:r>
        <w:rPr>
          <w:rStyle w:val="Codetext"/>
        </w:rPr>
        <w:br/>
        <w:t xml:space="preserve">  </w:t>
      </w:r>
      <w:r>
        <w:rPr>
          <w:rStyle w:val="Code"/>
        </w:rPr>
        <w:t xml:space="preserve">&lt;p </w:t>
      </w:r>
      <w:r>
        <w:rPr>
          <w:rStyle w:val="Codeattribute"/>
        </w:rPr>
        <w:t>part</w:t>
      </w:r>
      <w:r>
        <w:rPr>
          <w:rStyle w:val="Code"/>
        </w:rPr>
        <w:t>=</w:t>
      </w:r>
      <w:r>
        <w:rPr>
          <w:rStyle w:val="Codevalue"/>
        </w:rPr>
        <w:t>"I"</w:t>
      </w:r>
      <w:r>
        <w:rPr>
          <w:rStyle w:val="Code"/>
        </w:rPr>
        <w:t>&gt;</w:t>
      </w:r>
      <w:r>
        <w:rPr>
          <w:rStyle w:val="Codecomment"/>
        </w:rPr>
        <w:t>&lt;!--Incomplete paragraph marked as an initial part. --&gt;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 there lived a hobbit. Not</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a nasty, dirty, wet hole, filled with the ends of worm</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/&gt;</w:t>
      </w:r>
      <w:r>
        <w:rPr>
          <w:rStyle w:val="Codetext"/>
        </w:rPr>
        <w:t>and an oozy smell, nor yet a dry, bare, sandy hole with</w:t>
      </w:r>
    </w:p>
    <w:p w14:paraId="64A058D5" w14:textId="77777777">
      <w:pPr>
        <w:pStyle w:val="CodeParagraph"/>
        <w:rPr>
          <w:rStyle w:val="Code"/>
        </w:rPr>
      </w:pPr>
      <w:r>
        <w:rPr>
          <w:rStyle w:val="Codetext"/>
        </w:rPr>
        <w:t xml:space="preserve">  </w:t>
      </w:r>
      <w:r>
        <w:rPr>
          <w:rStyle w:val="Code"/>
        </w:rPr>
        <w:t>&lt;/p&gt;</w:t>
      </w:r>
    </w:p>
    <w:p w14:paraId="767CBDF7" w14:textId="77777777">
      <w:pPr>
        <w:pStyle w:val="CodeParagraph"/>
        <w:rPr>
          <w:rStyle w:val="Code"/>
        </w:rPr>
      </w:pPr>
      <w:r>
        <w:rPr>
          <w:rStyle w:val="Code"/>
        </w:rPr>
        <w:t>&lt;/div&gt;</w:t>
      </w:r>
      <w:r>
        <w:rPr>
          <w:rStyle w:val="Codetext"/>
        </w:rPr>
        <w:br/>
      </w:r>
      <w:r>
        <w:rPr>
          <w:rStyle w:val="Codecomment"/>
        </w:rPr>
        <w:t>&lt;!--Nothing is encoded for the lacuna itself, since the use of textparts makes it clear that text is lost between the two; details go in the layout description and the commentary. --&gt;</w:t>
      </w:r>
      <w:r>
        <w:rPr>
          <w:rStyle w:val="Codetext"/>
        </w:rPr>
        <w:br/>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"C"</w:t>
      </w:r>
      <w:r>
        <w:rPr>
          <w:rStyle w:val="Code"/>
        </w:rPr>
        <w:t xml:space="preserve">&gt;&lt;head </w:t>
      </w:r>
      <w:r>
        <w:rPr>
          <w:rStyle w:val="Codeattribute"/>
        </w:rPr>
        <w:t>xml:lang</w:t>
      </w:r>
      <w:r>
        <w:rPr>
          <w:rStyle w:val="Code"/>
        </w:rPr>
        <w:t>=</w:t>
      </w:r>
      <w:r>
        <w:rPr>
          <w:rStyle w:val="Codevalue"/>
        </w:rPr>
        <w:t>"eng"</w:t>
      </w:r>
      <w:r>
        <w:rPr>
          <w:rStyle w:val="Code"/>
        </w:rPr>
        <w:t>&gt;</w:t>
      </w:r>
      <w:r>
        <w:rPr>
          <w:rStyle w:val="Codetext"/>
        </w:rPr>
        <w:t>Final plate</w:t>
      </w:r>
      <w:r>
        <w:rPr>
          <w:rStyle w:val="Code"/>
        </w:rPr>
        <w:t>&lt;/head&gt;</w:t>
      </w:r>
      <w:r>
        <w:rPr>
          <w:rStyle w:val="Codetext"/>
        </w:rPr>
        <w:br/>
        <w:t xml:space="preserve">  </w:t>
      </w:r>
      <w:r>
        <w:rPr>
          <w:rStyle w:val="Code"/>
        </w:rPr>
        <w:t xml:space="preserve">&lt;p </w:t>
      </w:r>
      <w:r>
        <w:rPr>
          <w:rStyle w:val="Codeattribute"/>
        </w:rPr>
        <w:t>part</w:t>
      </w:r>
      <w:r>
        <w:rPr>
          <w:rStyle w:val="Code"/>
        </w:rPr>
        <w:t>=</w:t>
      </w:r>
      <w:r>
        <w:rPr>
          <w:rStyle w:val="Codevalue"/>
        </w:rPr>
        <w:t>"F"</w:t>
      </w:r>
      <w:r>
        <w:rPr>
          <w:rStyle w:val="Code"/>
        </w:rPr>
        <w:t>&gt;</w:t>
      </w:r>
      <w:r>
        <w:rPr>
          <w:rStyle w:val="Codecomment"/>
        </w:rPr>
        <w:t>&lt;!--Incomplete paragraph marked as a final part. --&gt;</w:t>
      </w:r>
      <w:r>
        <w:rPr>
          <w:rStyle w:val="Codetext"/>
        </w:rPr>
        <w:br/>
        <w:t xml:space="preserve">  </w:t>
      </w:r>
      <w:r>
        <w:rPr>
          <w:rStyle w:val="Code"/>
        </w:rPr>
        <w:t xml:space="preserve">&lt;pb </w:t>
      </w:r>
      <w:r>
        <w:rPr>
          <w:rStyle w:val="Codeattribute"/>
        </w:rPr>
        <w:t>n</w:t>
      </w:r>
      <w:r>
        <w:rPr>
          <w:rStyle w:val="Code"/>
        </w:rPr>
        <w:t>=</w:t>
      </w:r>
      <w:r>
        <w:rPr>
          <w:rStyle w:val="Codevalue"/>
        </w:rPr>
        <w:t>"1r"</w:t>
      </w:r>
      <w:r>
        <w:rPr>
          <w:rStyle w:val="Code"/>
        </w:rPr>
        <w:t>/&gt;</w:t>
      </w:r>
    </w:p>
    <w:p w14:paraId="2A909DB9" w14:textId="0A9E03A4">
      <w:pPr>
        <w:pStyle w:val="CodeParagraph"/>
      </w:pPr>
      <w:r>
        <w:rPr>
          <w:rStyle w:val="Codetext"/>
        </w:rPr>
        <w:t xml:space="preserve">  </w:t>
      </w:r>
      <w:r>
        <w:rPr>
          <w:rStyle w:val="Codecomment"/>
        </w:rPr>
        <w:t>&lt;!--Page and line numbering are reset to 1 in the second textpart §</w:t>
      </w:r>
      <w:r>
        <w:rPr>
          <w:rStyle w:val="Codecomment"/>
          <w:rFonts w:eastAsia="Arial Unicode MS"/>
        </w:rPr>
        <w:fldChar w:fldCharType="begin"/>
      </w:r>
      <w:r>
        <w:rPr>
          <w:rStyle w:val="Codecomment"/>
          <w:rFonts w:eastAsia="Arial Unicode MS"/>
        </w:rPr>
        <w:instrText xml:space="preserve"> REF _Ref43986747 \w \h  \* MERGEFORMAT </w:instrText>
      </w:r>
      <w:r>
        <w:rPr>
          <w:rStyle w:val="Codecomment"/>
          <w:rFonts w:eastAsia="Arial Unicode MS"/>
        </w:rPr>
      </w:r>
      <w:r>
        <w:rPr>
          <w:rStyle w:val="Codecomment"/>
          <w:rFonts w:eastAsia="Arial Unicode MS"/>
        </w:rPr>
        <w:fldChar w:fldCharType="separate"/>
      </w:r>
      <w:r>
        <w:rPr>
          <w:rStyle w:val="Codecomment"/>
          <w:rFonts w:eastAsia="Arial Unicode MS"/>
        </w:rPr>
        <w:t>4.2.1.4</w:t>
      </w:r>
      <w:r>
        <w:rPr>
          <w:rStyle w:val="Codecomment"/>
          <w:rFonts w:eastAsia="Arial Unicode MS"/>
        </w:rPr>
        <w:fldChar w:fldCharType="end"/>
      </w:r>
      <w:r>
        <w:rPr>
          <w:rStyle w:val="Codecomment"/>
        </w:rPr>
        <w:t>. --&gt;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and floors tiled and carpeted, provided with polished</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chairs, and lots and lots of pegs for hats and coats.</w:t>
      </w:r>
      <w:r>
        <w:rPr>
          <w:rStyle w:val="Codetext"/>
        </w:rPr>
        <w:br/>
        <w:t xml:space="preserve">  </w:t>
      </w:r>
      <w:r>
        <w:rPr>
          <w:rStyle w:val="Code"/>
        </w:rPr>
        <w:t>&lt;/p&gt;</w:t>
      </w:r>
      <w:r>
        <w:rPr>
          <w:rStyle w:val="Codetext"/>
        </w:rPr>
        <w:br/>
        <w:t xml:space="preserve">  </w:t>
      </w:r>
      <w:r>
        <w:rPr>
          <w:rStyle w:val="Code"/>
        </w:rPr>
        <w:t>&lt;ab&gt;</w:t>
      </w:r>
      <w:r>
        <w:rPr>
          <w:rStyle w:val="Codetext"/>
        </w:rPr>
        <w:br/>
      </w:r>
      <w:r>
        <w:rPr>
          <w:rStyle w:val="Codetext"/>
        </w:rPr>
        <w:lastRenderedPageBreak/>
        <w:t xml:space="preserve">  </w:t>
      </w:r>
      <w:r>
        <w:rPr>
          <w:rStyle w:val="Code"/>
        </w:rPr>
        <w:t xml:space="preserve">&lt;lb </w:t>
      </w:r>
      <w:r>
        <w:rPr>
          <w:rStyle w:val="Codeattribute"/>
        </w:rPr>
        <w:t>n</w:t>
      </w:r>
      <w:r>
        <w:rPr>
          <w:rStyle w:val="Code"/>
        </w:rPr>
        <w:t>=</w:t>
      </w:r>
      <w:r>
        <w:rPr>
          <w:rStyle w:val="Codevalue"/>
        </w:rPr>
        <w:t>"3"</w:t>
      </w:r>
      <w:r>
        <w:rPr>
          <w:rStyle w:val="Code"/>
        </w:rPr>
        <w:t xml:space="preserve"> </w:t>
      </w:r>
      <w:r>
        <w:rPr>
          <w:rStyle w:val="Codeattribute"/>
        </w:rPr>
        <w:t>style</w:t>
      </w:r>
      <w:r>
        <w:rPr>
          <w:rStyle w:val="Code"/>
        </w:rPr>
        <w:t>=</w:t>
      </w:r>
      <w:r>
        <w:rPr>
          <w:rStyle w:val="Codevalue"/>
        </w:rPr>
        <w:t>"text-align: right"</w:t>
      </w:r>
      <w:r>
        <w:rPr>
          <w:rStyle w:val="Code"/>
        </w:rPr>
        <w:t>/&gt;</w:t>
      </w:r>
      <w:r>
        <w:rPr>
          <w:rStyle w:val="Codetext"/>
        </w:rPr>
        <w:br/>
        <w:t xml:space="preserve">  </w:t>
      </w:r>
      <w:r>
        <w:rPr>
          <w:rStyle w:val="Code"/>
        </w:rPr>
        <w:t xml:space="preserve">&lt;num </w:t>
      </w:r>
      <w:r>
        <w:rPr>
          <w:rStyle w:val="Codeattribute"/>
        </w:rPr>
        <w:t>value</w:t>
      </w:r>
      <w:r>
        <w:rPr>
          <w:rStyle w:val="Code"/>
        </w:rPr>
        <w:t>=</w:t>
      </w:r>
      <w:r>
        <w:rPr>
          <w:rStyle w:val="Codevalue"/>
        </w:rPr>
        <w:t>"29"</w:t>
      </w:r>
      <w:r>
        <w:rPr>
          <w:rStyle w:val="Code"/>
        </w:rPr>
        <w:t>&gt;</w:t>
      </w:r>
      <w:r>
        <w:rPr>
          <w:rStyle w:val="Codetext"/>
        </w:rPr>
        <w:t>29</w:t>
      </w:r>
      <w:r>
        <w:rPr>
          <w:rStyle w:val="Code"/>
        </w:rPr>
        <w:t>&lt;/num&gt;</w:t>
      </w:r>
      <w:r>
        <w:rPr>
          <w:rStyle w:val="Codetext"/>
        </w:rPr>
        <w:t xml:space="preserve"> September </w:t>
      </w:r>
      <w:r>
        <w:rPr>
          <w:rStyle w:val="Code"/>
        </w:rPr>
        <w:t xml:space="preserve">&lt;num </w:t>
      </w:r>
      <w:r>
        <w:rPr>
          <w:rStyle w:val="Codeattribute"/>
        </w:rPr>
        <w:t>value</w:t>
      </w:r>
      <w:r>
        <w:rPr>
          <w:rStyle w:val="Code"/>
        </w:rPr>
        <w:t>=</w:t>
      </w:r>
      <w:r>
        <w:rPr>
          <w:rStyle w:val="Codevalue"/>
        </w:rPr>
        <w:t>"2019"</w:t>
      </w:r>
      <w:r>
        <w:rPr>
          <w:rStyle w:val="Code"/>
        </w:rPr>
        <w:t>&gt;</w:t>
      </w:r>
      <w:r>
        <w:rPr>
          <w:rStyle w:val="Codetext"/>
        </w:rPr>
        <w:t>2019</w:t>
      </w:r>
      <w:r>
        <w:rPr>
          <w:rStyle w:val="Code"/>
        </w:rPr>
        <w:t>&lt;/num&gt;</w:t>
      </w:r>
      <w:r>
        <w:rPr>
          <w:rStyle w:val="Codetext"/>
        </w:rPr>
        <w:br/>
        <w:t xml:space="preserve">  </w:t>
      </w:r>
      <w:r>
        <w:rPr>
          <w:rStyle w:val="Code"/>
        </w:rPr>
        <w:t>&lt;/ab&gt;</w:t>
      </w:r>
      <w:r>
        <w:rPr>
          <w:rStyle w:val="Codetext"/>
        </w:rPr>
        <w:br/>
        <w:t xml:space="preserve">  </w:t>
      </w:r>
      <w:r>
        <w:rPr>
          <w:rStyle w:val="Code"/>
        </w:rPr>
        <w:t xml:space="preserve">&lt;pb </w:t>
      </w:r>
      <w:r>
        <w:rPr>
          <w:rStyle w:val="Codeattribute"/>
        </w:rPr>
        <w:t>n</w:t>
      </w:r>
      <w:r>
        <w:rPr>
          <w:rStyle w:val="Code"/>
        </w:rPr>
        <w:t>=</w:t>
      </w:r>
      <w:r>
        <w:rPr>
          <w:rStyle w:val="Codevalue"/>
        </w:rPr>
        <w:t>"1v"</w:t>
      </w:r>
      <w:r>
        <w:rPr>
          <w:rStyle w:val="Code"/>
        </w:rPr>
        <w:t>/&gt;</w:t>
      </w:r>
      <w:r>
        <w:rPr>
          <w:rStyle w:val="Codetext"/>
        </w:rPr>
        <w:br/>
      </w:r>
      <w:r>
        <w:rPr>
          <w:rStyle w:val="Code"/>
        </w:rPr>
        <w:t>&lt;/div&gt;</w:t>
      </w:r>
    </w:p>
    <w:p w14:paraId="08FF98C1" w14:textId="77777777">
      <w:pPr>
        <w:pStyle w:val="Cmsor2"/>
        <w:numPr>
          <w:ilvl w:val="1"/>
          <w:numId w:val="7"/>
        </w:numPr>
      </w:pPr>
      <w:bookmarkStart w:id="1143" w:name="_1h8zsds4qdsf" w:colFirst="0" w:colLast="0"/>
      <w:bookmarkStart w:id="1144" w:name="_Ref239844040"/>
      <w:bookmarkStart w:id="1145" w:name="_Ref239844153"/>
      <w:bookmarkStart w:id="1146" w:name="_Ref239844198"/>
      <w:bookmarkStart w:id="1147" w:name="_Ref239844313"/>
      <w:bookmarkStart w:id="1148" w:name="_Ref239844333"/>
      <w:bookmarkStart w:id="1149" w:name="_Ref239844348"/>
      <w:bookmarkStart w:id="1150" w:name="_Ref239844365"/>
      <w:bookmarkStart w:id="1151" w:name="_Ref43989726"/>
      <w:bookmarkStart w:id="1152" w:name="_Toc243922838"/>
      <w:bookmarkEnd w:id="1143"/>
      <w:r>
        <w:t>Four-faced stele</w:t>
      </w:r>
      <w:bookmarkEnd w:id="1144"/>
      <w:bookmarkEnd w:id="1145"/>
      <w:bookmarkEnd w:id="1146"/>
      <w:bookmarkEnd w:id="1147"/>
      <w:bookmarkEnd w:id="1148"/>
      <w:bookmarkEnd w:id="1149"/>
      <w:bookmarkEnd w:id="1150"/>
      <w:bookmarkEnd w:id="1152"/>
    </w:p>
    <w:p w14:paraId="5093CFB9" w14:textId="77777777">
      <w:pPr>
        <w:pStyle w:val="Image"/>
        <w:rPr>
          <w:lang w:eastAsia="en-US" w:bidi="ar-SA"/>
        </w:rPr>
      </w:pPr>
      <w:r>
        <w:rPr>
          <w:lang w:eastAsia="en-US" w:bidi="ar-SA"/>
        </w:rPr>
        <w:drawing>
          <wp:inline distT="0" distB="0" distL="0" distR="0" wp14:anchorId="152DB54E" wp14:editId="1591317A">
            <wp:extent cx="5738400" cy="2973600"/>
            <wp:effectExtent l="0" t="0" r="0" b="0"/>
            <wp:docPr id="1766984639"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84639" name="Kép 4"/>
                    <pic:cNvPicPr>
                      <a:picLocks noChangeAspect="1" noChangeArrowheads="1"/>
                    </pic:cNvPicPr>
                  </pic:nvPicPr>
                  <pic:blipFill>
                    <a:blip r:embed="rId85"/>
                    <a:stretch>
                      <a:fillRect/>
                    </a:stretch>
                  </pic:blipFill>
                  <pic:spPr bwMode="auto">
                    <a:xfrm>
                      <a:off x="0" y="0"/>
                      <a:ext cx="5738400" cy="2973600"/>
                    </a:xfrm>
                    <a:prstGeom prst="rect">
                      <a:avLst/>
                    </a:prstGeom>
                    <a:noFill/>
                    <a:ln>
                      <a:noFill/>
                    </a:ln>
                  </pic:spPr>
                </pic:pic>
              </a:graphicData>
            </a:graphic>
          </wp:inline>
        </w:drawing>
      </w:r>
    </w:p>
    <w:p w14:paraId="5194BB1B" w14:textId="77777777">
      <w:pPr>
        <w:pStyle w:val="Lista"/>
      </w:pPr>
      <w:r>
        <w:t>this imaginary stele is an oblong quadrangle in cross-section</w:t>
      </w:r>
    </w:p>
    <w:p w14:paraId="51DADEE9" w14:textId="77777777">
      <w:pPr>
        <w:pStyle w:val="Lista"/>
      </w:pPr>
      <w:r>
        <w:t>all four sides are inscribed, with text starting on one of the broad faces</w:t>
      </w:r>
    </w:p>
    <w:p w14:paraId="54A68442" w14:textId="77777777">
      <w:pPr>
        <w:pStyle w:val="Lista2"/>
      </w:pPr>
      <w:r>
        <w:t>each line of the text runs across one edge, onto the adjacent narrow face</w:t>
      </w:r>
    </w:p>
    <w:p w14:paraId="132CBC3C" w14:textId="77777777">
      <w:pPr>
        <w:pStyle w:val="Lista2"/>
      </w:pPr>
      <w:r>
        <w:t>subsequent lines fill up the inscribed field of this pair of faces</w:t>
      </w:r>
    </w:p>
    <w:p w14:paraId="363DFE9F" w14:textId="77777777">
      <w:pPr>
        <w:pStyle w:val="Lista2"/>
      </w:pPr>
      <w:r>
        <w:t>the text then flows on to the top of the next broad face and proceeds to fill up that face and the adjacent narrow face in the same way as the first pair of faces</w:t>
      </w:r>
    </w:p>
    <w:p w14:paraId="035DF5C7" w14:textId="5F7D7AD4">
      <w:pPr>
        <w:pStyle w:val="Lista"/>
      </w:pPr>
      <w:r>
        <w:t xml:space="preserve">thus, the partition between the two face pairs is pagelike </w:t>
      </w:r>
      <w:r>
        <w:rPr>
          <w:noProof/>
        </w:rPr>
        <w:t>(</w:t>
      </w:r>
      <w:r>
        <w:t>§</w:t>
      </w:r>
      <w:r>
        <w:fldChar w:fldCharType="begin"/>
      </w:r>
      <w:r>
        <w:instrText xml:space="preserve"> REF _Ref233982406 \r \h </w:instrText>
      </w:r>
      <w:r>
        <w:fldChar w:fldCharType="separate"/>
      </w:r>
      <w:r>
        <w:t>4.4</w:t>
      </w:r>
      <w:r>
        <w:fldChar w:fldCharType="end"/>
      </w:r>
      <w:r>
        <w:t xml:space="preserve">), therefore the virtual zones must be marked up using pagelike milestone elements </w:t>
      </w:r>
      <w:r>
        <w:rPr>
          <w:noProof/>
        </w:rPr>
        <w:t>(</w:t>
      </w:r>
      <w:r>
        <w:t>§</w:t>
      </w:r>
      <w:r>
        <w:fldChar w:fldCharType="begin"/>
      </w:r>
      <w:r>
        <w:instrText xml:space="preserve"> REF _Ref43986679 \w \h  \* MERGEFORMAT </w:instrText>
      </w:r>
      <w:r>
        <w:fldChar w:fldCharType="separate"/>
      </w:r>
      <w:r>
        <w:t>4.4.2.1</w:t>
      </w:r>
      <w:r>
        <w:fldChar w:fldCharType="end"/>
      </w:r>
      <w:r>
        <w:t>)</w:t>
      </w:r>
    </w:p>
    <w:p w14:paraId="46AA88DE" w14:textId="77777777">
      <w:pPr>
        <w:pStyle w:val="Lista"/>
      </w:pPr>
      <w:r>
        <w:t>the boundary between a wide face and the adjacent narrow face comprises a gridlike partition, since the text disregards the physical transition to a new surface</w:t>
      </w:r>
    </w:p>
    <w:p w14:paraId="1751819F" w14:textId="419817BE">
      <w:pPr>
        <w:pStyle w:val="Lista2"/>
      </w:pPr>
      <w:r>
        <w:t xml:space="preserve">such a pair of faces thus constitutes a single virtual zone, whose partition into two physical surfaces may be ignored in the markup or may be encoded by means of a gridlike milestone element </w:t>
      </w:r>
      <w:r>
        <w:rPr>
          <w:noProof/>
        </w:rPr>
        <w:t>(</w:t>
      </w:r>
      <w:r>
        <w:t>§</w:t>
      </w:r>
      <w:r>
        <w:fldChar w:fldCharType="begin"/>
      </w:r>
      <w:r>
        <w:instrText xml:space="preserve"> REF _Ref43984651 \w \h  \* MERGEFORMAT </w:instrText>
      </w:r>
      <w:r>
        <w:fldChar w:fldCharType="separate"/>
      </w:r>
      <w:r>
        <w:t>4.6</w:t>
      </w:r>
      <w:r>
        <w:fldChar w:fldCharType="end"/>
      </w:r>
      <w:r>
        <w:t>)</w:t>
      </w:r>
    </w:p>
    <w:p w14:paraId="2CE6637D" w14:textId="77777777"/>
    <w:p w14:paraId="1D838B21" w14:textId="24E7B41D">
      <w:pPr>
        <w:pStyle w:val="CodeParagraph"/>
        <w:rPr>
          <w:rStyle w:val="Codecomment"/>
        </w:rPr>
      </w:pPr>
      <w:r>
        <w:rPr>
          <w:rStyle w:val="Code"/>
        </w:rPr>
        <w:t>&lt;p&gt;</w:t>
      </w:r>
      <w:r>
        <w:rPr>
          <w:rStyle w:val="Codecomment"/>
        </w:rPr>
        <w:t>&lt;!--All milestones come within paragraphs.--&gt;</w:t>
      </w:r>
      <w:r>
        <w:rPr>
          <w:rStyle w:val="Codetext"/>
        </w:rPr>
        <w:br/>
      </w: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"faces"</w:t>
      </w:r>
      <w:r>
        <w:rPr>
          <w:rStyle w:val="Code"/>
        </w:rPr>
        <w:t xml:space="preserve"> </w:t>
      </w:r>
      <w:r>
        <w:rPr>
          <w:rStyle w:val="Codeattribute"/>
        </w:rPr>
        <w:t>n</w:t>
      </w:r>
      <w:r>
        <w:rPr>
          <w:rStyle w:val="Code"/>
        </w:rPr>
        <w:t>=</w:t>
      </w:r>
      <w:r>
        <w:rPr>
          <w:rStyle w:val="Codevalue"/>
        </w:rPr>
        <w:t>"Ab"</w:t>
      </w:r>
      <w:r>
        <w:rPr>
          <w:rStyle w:val="Code"/>
        </w:rPr>
        <w:t>/&gt;</w:t>
      </w:r>
      <w:r>
        <w:rPr>
          <w:rStyle w:val="Codecomment"/>
        </w:rPr>
        <w:t>&lt;!--An optional &lt;label&gt; could have been added at this point and for the second facepair, as per §</w:t>
      </w:r>
      <w:r>
        <w:rPr>
          <w:rStyle w:val="Codecomment"/>
        </w:rPr>
        <w:fldChar w:fldCharType="begin"/>
      </w:r>
      <w:r>
        <w:rPr>
          <w:rStyle w:val="Codecomment"/>
        </w:rPr>
        <w:instrText xml:space="preserve"> REF _Ref182299869 \r \h </w:instrText>
      </w:r>
      <w:r>
        <w:rPr>
          <w:rStyle w:val="Codecomment"/>
        </w:rPr>
      </w:r>
      <w:r>
        <w:rPr>
          <w:rStyle w:val="Codecomment"/>
        </w:rPr>
        <w:fldChar w:fldCharType="separate"/>
      </w:r>
      <w:r>
        <w:rPr>
          <w:rStyle w:val="Codecomment"/>
        </w:rPr>
        <w:t>4.4.3.2</w:t>
      </w:r>
      <w:r>
        <w:rPr>
          <w:rStyle w:val="Codecomment"/>
        </w:rPr>
        <w:fldChar w:fldCharType="end"/>
      </w:r>
      <w:r>
        <w:rPr>
          <w:rStyle w:val="Codecomment"/>
        </w:rPr>
        <w:t>. --&gt;</w:t>
      </w:r>
      <w:r>
        <w:rPr>
          <w:rStyle w:val="Codetext"/>
        </w:rPr>
        <w:br/>
      </w:r>
      <w:r>
        <w:rPr>
          <w:rStyle w:val="Codecomment"/>
        </w:rPr>
        <w:t>&lt;!-- This encoding example uses the repetitive scheme of line numbering §</w:t>
      </w:r>
      <w:r>
        <w:rPr>
          <w:rStyle w:val="Codecomment"/>
        </w:rPr>
        <w:fldChar w:fldCharType="begin"/>
      </w:r>
      <w:r>
        <w:rPr>
          <w:rStyle w:val="Codecomment"/>
        </w:rPr>
        <w:instrText xml:space="preserve"> REF _Ref182228380 \r \h </w:instrText>
      </w:r>
      <w:r>
        <w:rPr>
          <w:rStyle w:val="Codecomment"/>
        </w:rPr>
      </w:r>
      <w:r>
        <w:rPr>
          <w:rStyle w:val="Codecomment"/>
        </w:rPr>
        <w:fldChar w:fldCharType="separate"/>
      </w:r>
      <w:r>
        <w:rPr>
          <w:rStyle w:val="Codecomment"/>
        </w:rPr>
        <w:t>4.5.2.2</w:t>
      </w:r>
      <w:r>
        <w:rPr>
          <w:rStyle w:val="Codecomment"/>
        </w:rPr>
        <w:fldChar w:fldCharType="end"/>
      </w:r>
      <w:r>
        <w:rPr>
          <w:rStyle w:val="Codecomment"/>
        </w:rPr>
        <w:t>, in accordance with SE Asian epigraphic conventions. Alternatively, lines could have been numbered starting from 1 and continuing from 8 on face Cd.--&gt;</w:t>
      </w:r>
    </w:p>
    <w:p w14:paraId="5A7D26DC" w14:textId="77777777">
      <w:pPr>
        <w:pStyle w:val="CodeParagraph"/>
        <w:rPr>
          <w:rStyle w:val="Code"/>
        </w:rPr>
      </w:pPr>
      <w:r>
        <w:rPr>
          <w:rStyle w:val="Code"/>
        </w:rPr>
        <w:t xml:space="preserve">&lt;lb </w:t>
      </w:r>
      <w:r>
        <w:rPr>
          <w:rStyle w:val="Codeattribute"/>
        </w:rPr>
        <w:t>n</w:t>
      </w:r>
      <w:r>
        <w:rPr>
          <w:rStyle w:val="Code"/>
        </w:rPr>
        <w:t>=</w:t>
      </w:r>
      <w:r>
        <w:rPr>
          <w:rStyle w:val="Codevalue"/>
        </w:rPr>
        <w:t>"Ab1"</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In a hole in the ground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there lived</w:t>
      </w:r>
      <w:r>
        <w:rPr>
          <w:rStyle w:val="Codetext"/>
        </w:rPr>
        <w:br/>
      </w:r>
      <w:r>
        <w:rPr>
          <w:rStyle w:val="Code"/>
        </w:rPr>
        <w:t xml:space="preserve">&lt;lb </w:t>
      </w:r>
      <w:r>
        <w:rPr>
          <w:rStyle w:val="Codeattribute"/>
        </w:rPr>
        <w:t>n</w:t>
      </w:r>
      <w:r>
        <w:rPr>
          <w:rStyle w:val="Code"/>
        </w:rPr>
        <w:t>=</w:t>
      </w:r>
      <w:r>
        <w:rPr>
          <w:rStyle w:val="Codevalue"/>
        </w:rPr>
        <w:t>"Ab2"</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a hobbit. Not a nasty, dirty,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wet hole,</w:t>
      </w:r>
      <w:r>
        <w:rPr>
          <w:rStyle w:val="Codetext"/>
        </w:rPr>
        <w:br/>
      </w:r>
      <w:r>
        <w:rPr>
          <w:rStyle w:val="Code"/>
        </w:rPr>
        <w:t xml:space="preserve">&lt;lb </w:t>
      </w:r>
      <w:r>
        <w:rPr>
          <w:rStyle w:val="Codeattribute"/>
        </w:rPr>
        <w:t>n</w:t>
      </w:r>
      <w:r>
        <w:rPr>
          <w:rStyle w:val="Code"/>
        </w:rPr>
        <w:t>=</w:t>
      </w:r>
      <w:r>
        <w:rPr>
          <w:rStyle w:val="Codevalue"/>
        </w:rPr>
        <w:t>"Ab3"</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filled with the ends of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worms and</w:t>
      </w:r>
      <w:r>
        <w:rPr>
          <w:rStyle w:val="Codetext"/>
        </w:rPr>
        <w:br/>
      </w:r>
      <w:r>
        <w:rPr>
          <w:rStyle w:val="Code"/>
        </w:rPr>
        <w:t xml:space="preserve">&lt;lb </w:t>
      </w:r>
      <w:r>
        <w:rPr>
          <w:rStyle w:val="Codeattribute"/>
        </w:rPr>
        <w:t>n</w:t>
      </w:r>
      <w:r>
        <w:rPr>
          <w:rStyle w:val="Code"/>
        </w:rPr>
        <w:t>=</w:t>
      </w:r>
      <w:r>
        <w:rPr>
          <w:rStyle w:val="Codevalue"/>
        </w:rPr>
        <w:t>"Ab4"</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an oozy smell, nor yet a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dry, bare,</w:t>
      </w:r>
      <w:r>
        <w:rPr>
          <w:rStyle w:val="Codetext"/>
        </w:rPr>
        <w:br/>
      </w:r>
      <w:r>
        <w:rPr>
          <w:rStyle w:val="Code"/>
        </w:rPr>
        <w:t xml:space="preserve">&lt;lb </w:t>
      </w:r>
      <w:r>
        <w:rPr>
          <w:rStyle w:val="Codeattribute"/>
        </w:rPr>
        <w:t>n</w:t>
      </w:r>
      <w:r>
        <w:rPr>
          <w:rStyle w:val="Code"/>
        </w:rPr>
        <w:t>=</w:t>
      </w:r>
      <w:r>
        <w:rPr>
          <w:rStyle w:val="Codevalue"/>
        </w:rPr>
        <w:t>"Ab5"</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sandy hole with nothing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in it to</w:t>
      </w:r>
      <w:r>
        <w:rPr>
          <w:rStyle w:val="Codetext"/>
        </w:rPr>
        <w:br/>
      </w:r>
      <w:r>
        <w:rPr>
          <w:rStyle w:val="Code"/>
        </w:rPr>
        <w:t xml:space="preserve">&lt;lb </w:t>
      </w:r>
      <w:r>
        <w:rPr>
          <w:rStyle w:val="Codeattribute"/>
        </w:rPr>
        <w:t>n</w:t>
      </w:r>
      <w:r>
        <w:rPr>
          <w:rStyle w:val="Code"/>
        </w:rPr>
        <w:t>=</w:t>
      </w:r>
      <w:r>
        <w:rPr>
          <w:rStyle w:val="Codevalue"/>
        </w:rPr>
        <w:t>"Ab6"</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sit down on or to eat: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it was a</w:t>
      </w:r>
      <w:r>
        <w:rPr>
          <w:rStyle w:val="Codetext"/>
        </w:rPr>
        <w:br/>
      </w:r>
      <w:r>
        <w:rPr>
          <w:rStyle w:val="Code"/>
        </w:rPr>
        <w:lastRenderedPageBreak/>
        <w:t xml:space="preserve">&lt;lb </w:t>
      </w:r>
      <w:r>
        <w:rPr>
          <w:rStyle w:val="Codeattribute"/>
        </w:rPr>
        <w:t>n</w:t>
      </w:r>
      <w:r>
        <w:rPr>
          <w:rStyle w:val="Code"/>
        </w:rPr>
        <w:t>=</w:t>
      </w:r>
      <w:r>
        <w:rPr>
          <w:rStyle w:val="Codevalue"/>
        </w:rPr>
        <w:t>"Ab7"</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hobbit-hole, and that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means</w:t>
      </w:r>
      <w:r>
        <w:rPr>
          <w:rStyle w:val="Codetext"/>
        </w:rPr>
        <w:br/>
      </w: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"faces"</w:t>
      </w:r>
      <w:r>
        <w:rPr>
          <w:rStyle w:val="Code"/>
        </w:rPr>
        <w:t xml:space="preserve"> </w:t>
      </w:r>
      <w:r>
        <w:rPr>
          <w:rStyle w:val="Codeattribute"/>
        </w:rPr>
        <w:t>n</w:t>
      </w:r>
      <w:r>
        <w:rPr>
          <w:rStyle w:val="Code"/>
        </w:rPr>
        <w:t>=</w:t>
      </w:r>
      <w:r>
        <w:rPr>
          <w:rStyle w:val="Codevalue"/>
        </w:rPr>
        <w:t>"Cd"</w:t>
      </w:r>
      <w:r>
        <w:rPr>
          <w:rStyle w:val="Code"/>
        </w:rPr>
        <w:t>/&gt;</w:t>
      </w:r>
    </w:p>
    <w:p w14:paraId="0E48B6C4" w14:textId="77777777">
      <w:pPr>
        <w:pStyle w:val="CodeParagraph"/>
        <w:rPr>
          <w:rStyle w:val="Codetext"/>
        </w:rPr>
      </w:pPr>
      <w:r>
        <w:rPr>
          <w:rStyle w:val="Code"/>
        </w:rPr>
        <w:t xml:space="preserve">&lt;lb </w:t>
      </w:r>
      <w:r>
        <w:rPr>
          <w:rStyle w:val="Codeattribute"/>
        </w:rPr>
        <w:t>n</w:t>
      </w:r>
      <w:r>
        <w:rPr>
          <w:rStyle w:val="Code"/>
        </w:rPr>
        <w:t>=</w:t>
      </w:r>
      <w:r>
        <w:rPr>
          <w:rStyle w:val="Codevalue"/>
        </w:rPr>
        <w:t>"Cd1"</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comfort.</w:t>
      </w:r>
    </w:p>
    <w:p w14:paraId="169845D0" w14:textId="5296DE0E">
      <w:pPr>
        <w:pStyle w:val="CodeParagraph"/>
        <w:rPr>
          <w:rStyle w:val="Code"/>
        </w:rPr>
      </w:pPr>
      <w:r>
        <w:rPr>
          <w:rStyle w:val="Code"/>
        </w:rPr>
        <w:t>&lt;/p&gt;</w:t>
      </w:r>
      <w:r>
        <w:rPr>
          <w:rStyle w:val="Codecomment"/>
        </w:rPr>
        <w:t>&lt;!-- The text has been broken up into two semantic paragraphs, §</w:t>
      </w:r>
      <w:r>
        <w:rPr>
          <w:rStyle w:val="Codecomment"/>
          <w:rFonts w:eastAsia="Arial Unicode MS"/>
        </w:rPr>
        <w:fldChar w:fldCharType="begin"/>
      </w:r>
      <w:r>
        <w:rPr>
          <w:rStyle w:val="Codecomment"/>
          <w:rFonts w:eastAsia="Arial Unicode MS"/>
        </w:rPr>
        <w:instrText xml:space="preserve"> REF _Ref43991413 \r \h  \* MERGEFORMAT </w:instrText>
      </w:r>
      <w:r>
        <w:rPr>
          <w:rStyle w:val="Codecomment"/>
          <w:rFonts w:eastAsia="Arial Unicode MS"/>
        </w:rPr>
      </w:r>
      <w:r>
        <w:rPr>
          <w:rStyle w:val="Codecomment"/>
          <w:rFonts w:eastAsia="Arial Unicode MS"/>
        </w:rPr>
        <w:fldChar w:fldCharType="separate"/>
      </w:r>
      <w:r>
        <w:rPr>
          <w:rStyle w:val="Codecomment"/>
          <w:rFonts w:eastAsia="Arial Unicode MS"/>
        </w:rPr>
        <w:t>3.2.1.1</w:t>
      </w:r>
      <w:r>
        <w:rPr>
          <w:rStyle w:val="Codecomment"/>
          <w:rFonts w:eastAsia="Arial Unicode MS"/>
        </w:rPr>
        <w:fldChar w:fldCharType="end"/>
      </w:r>
      <w:r>
        <w:rPr>
          <w:rStyle w:val="Codecomment"/>
        </w:rPr>
        <w:t>.--&gt;</w:t>
      </w:r>
    </w:p>
    <w:p w14:paraId="6ABAF069" w14:textId="77777777">
      <w:pPr>
        <w:pStyle w:val="CodeParagraph"/>
      </w:pPr>
      <w:r>
        <w:rPr>
          <w:rStyle w:val="Code"/>
        </w:rPr>
        <w:t>&lt;p&gt;</w:t>
      </w:r>
      <w:r>
        <w:rPr>
          <w:rStyle w:val="Codetext"/>
        </w:rPr>
        <w:t xml:space="preserve">It had a perfectly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"d"</w:t>
      </w:r>
      <w:r>
        <w:rPr>
          <w:rStyle w:val="Code"/>
        </w:rPr>
        <w:t>/&gt;</w:t>
      </w:r>
      <w:r>
        <w:rPr>
          <w:rStyle w:val="Codetext"/>
        </w:rPr>
        <w:t>round door</w:t>
      </w:r>
      <w:r>
        <w:rPr>
          <w:rStyle w:val="Codetext"/>
        </w:rPr>
        <w:br/>
      </w:r>
      <w:r>
        <w:rPr>
          <w:rStyle w:val="Code"/>
        </w:rPr>
        <w:t xml:space="preserve">&lt;lb </w:t>
      </w:r>
      <w:r>
        <w:rPr>
          <w:rStyle w:val="Codeattribute"/>
        </w:rPr>
        <w:t>n</w:t>
      </w:r>
      <w:r>
        <w:rPr>
          <w:rStyle w:val="Code"/>
        </w:rPr>
        <w:t>=</w:t>
      </w:r>
      <w:r>
        <w:rPr>
          <w:rStyle w:val="Codevalue"/>
        </w:rPr>
        <w:t>"Cd2"</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 xml:space="preserve">like a porthole, painted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"d"</w:t>
      </w:r>
      <w:r>
        <w:rPr>
          <w:rStyle w:val="Code"/>
        </w:rPr>
        <w:t>/&gt;</w:t>
      </w:r>
      <w:r>
        <w:rPr>
          <w:rStyle w:val="Codetext"/>
        </w:rPr>
        <w:t>green, with</w:t>
      </w:r>
      <w:r>
        <w:rPr>
          <w:rStyle w:val="Codetext"/>
        </w:rPr>
        <w:br/>
      </w:r>
      <w:r>
        <w:rPr>
          <w:rStyle w:val="Code"/>
        </w:rPr>
        <w:t xml:space="preserve">&lt;lb </w:t>
      </w:r>
      <w:r>
        <w:rPr>
          <w:rStyle w:val="Codeattribute"/>
        </w:rPr>
        <w:t>n</w:t>
      </w:r>
      <w:r>
        <w:rPr>
          <w:rStyle w:val="Code"/>
        </w:rPr>
        <w:t>=</w:t>
      </w:r>
      <w:r>
        <w:rPr>
          <w:rStyle w:val="Codevalue"/>
        </w:rPr>
        <w:t>"Cd3"</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 xml:space="preserve">a shiny yellow brass knob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"d"</w:t>
      </w:r>
      <w:r>
        <w:rPr>
          <w:rStyle w:val="Code"/>
        </w:rPr>
        <w:t>/&gt;</w:t>
      </w:r>
      <w:r>
        <w:rPr>
          <w:rStyle w:val="Codetext"/>
        </w:rPr>
        <w:t>in the exact</w:t>
      </w:r>
      <w:r>
        <w:rPr>
          <w:rStyle w:val="Codetext"/>
        </w:rPr>
        <w:br/>
      </w:r>
      <w:r>
        <w:rPr>
          <w:rStyle w:val="Code"/>
        </w:rPr>
        <w:t xml:space="preserve">&lt;lb </w:t>
      </w:r>
      <w:r>
        <w:rPr>
          <w:rStyle w:val="Codeattribute"/>
        </w:rPr>
        <w:t>n</w:t>
      </w:r>
      <w:r>
        <w:rPr>
          <w:rStyle w:val="Code"/>
        </w:rPr>
        <w:t>=</w:t>
      </w:r>
      <w:r>
        <w:rPr>
          <w:rStyle w:val="Codevalue"/>
        </w:rPr>
        <w:t>"Cd4"</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 xml:space="preserve">middle. The door opened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"d"</w:t>
      </w:r>
      <w:r>
        <w:rPr>
          <w:rStyle w:val="Code"/>
        </w:rPr>
        <w:t>/&gt;</w:t>
      </w:r>
      <w:r>
        <w:rPr>
          <w:rStyle w:val="Codetext"/>
        </w:rPr>
        <w:t>on to a</w:t>
      </w:r>
      <w:r>
        <w:rPr>
          <w:rStyle w:val="Codetext"/>
        </w:rPr>
        <w:br/>
      </w:r>
      <w:r>
        <w:rPr>
          <w:rStyle w:val="Code"/>
        </w:rPr>
        <w:t xml:space="preserve">&lt;lb </w:t>
      </w:r>
      <w:r>
        <w:rPr>
          <w:rStyle w:val="Codeattribute"/>
        </w:rPr>
        <w:t>n</w:t>
      </w:r>
      <w:r>
        <w:rPr>
          <w:rStyle w:val="Code"/>
        </w:rPr>
        <w:t>=</w:t>
      </w:r>
      <w:r>
        <w:rPr>
          <w:rStyle w:val="Codevalue"/>
        </w:rPr>
        <w:t>"Cd5"</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 xml:space="preserve">tube-shaped hall like a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"d"</w:t>
      </w:r>
      <w:r>
        <w:rPr>
          <w:rStyle w:val="Code"/>
        </w:rPr>
        <w:t>/&gt;</w:t>
      </w:r>
      <w:r>
        <w:rPr>
          <w:rStyle w:val="Codetext"/>
        </w:rPr>
        <w:t>tunnel: a</w:t>
      </w:r>
      <w:r>
        <w:rPr>
          <w:rStyle w:val="Codetext"/>
        </w:rPr>
        <w:br/>
      </w:r>
      <w:r>
        <w:rPr>
          <w:rStyle w:val="Code"/>
        </w:rPr>
        <w:t xml:space="preserve">&lt;lb </w:t>
      </w:r>
      <w:r>
        <w:rPr>
          <w:rStyle w:val="Codeattribute"/>
        </w:rPr>
        <w:t>n</w:t>
      </w:r>
      <w:r>
        <w:rPr>
          <w:rStyle w:val="Code"/>
        </w:rPr>
        <w:t>=</w:t>
      </w:r>
      <w:r>
        <w:rPr>
          <w:rStyle w:val="Codevalue"/>
        </w:rPr>
        <w:t>"Cd6"</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 xml:space="preserve">very comfortable tunnel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"d"</w:t>
      </w:r>
      <w:r>
        <w:rPr>
          <w:rStyle w:val="Code"/>
        </w:rPr>
        <w:t>/&gt;</w:t>
      </w:r>
      <w:r>
        <w:rPr>
          <w:rStyle w:val="Codetext"/>
        </w:rPr>
        <w:t>without</w:t>
      </w:r>
      <w:r>
        <w:rPr>
          <w:rStyle w:val="Codetext"/>
        </w:rPr>
        <w:br/>
      </w:r>
      <w:r>
        <w:rPr>
          <w:rStyle w:val="Code"/>
        </w:rPr>
        <w:t xml:space="preserve">&lt;lb </w:t>
      </w:r>
      <w:r>
        <w:rPr>
          <w:rStyle w:val="Codeattribute"/>
        </w:rPr>
        <w:t>n</w:t>
      </w:r>
      <w:r>
        <w:rPr>
          <w:rStyle w:val="Code"/>
        </w:rPr>
        <w:t>=</w:t>
      </w:r>
      <w:r>
        <w:rPr>
          <w:rStyle w:val="Codevalue"/>
        </w:rPr>
        <w:t>"Cd7"</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smoke.</w:t>
      </w:r>
      <w:r>
        <w:rPr>
          <w:rStyle w:val="Codetext"/>
        </w:rPr>
        <w:br/>
      </w:r>
      <w:r>
        <w:rPr>
          <w:rStyle w:val="Code"/>
        </w:rPr>
        <w:t>&lt;/p&gt;</w:t>
      </w:r>
    </w:p>
    <w:p w14:paraId="20A5E0A9" w14:textId="77777777">
      <w:pPr>
        <w:pStyle w:val="Cmsor2"/>
        <w:numPr>
          <w:ilvl w:val="1"/>
          <w:numId w:val="7"/>
        </w:numPr>
      </w:pPr>
      <w:bookmarkStart w:id="1153" w:name="_Ref239843991"/>
      <w:bookmarkStart w:id="1154" w:name="_Ref239844156"/>
      <w:bookmarkStart w:id="1155" w:name="_Ref239844200"/>
      <w:bookmarkStart w:id="1156" w:name="_Ref239844234"/>
      <w:bookmarkStart w:id="1157" w:name="_Ref239844315"/>
      <w:bookmarkStart w:id="1158" w:name="_Toc243922839"/>
      <w:r>
        <w:t>Stele with two inscribed faces, an incipit and quasi-columns</w:t>
      </w:r>
      <w:bookmarkEnd w:id="1153"/>
      <w:bookmarkEnd w:id="1154"/>
      <w:bookmarkEnd w:id="1155"/>
      <w:bookmarkEnd w:id="1156"/>
      <w:bookmarkEnd w:id="1157"/>
      <w:bookmarkEnd w:id="1158"/>
    </w:p>
    <w:p w14:paraId="16A8782E" w14:textId="77777777">
      <w:pPr>
        <w:pStyle w:val="Image"/>
      </w:pPr>
      <w:r>
        <w:drawing>
          <wp:inline distT="0" distB="0" distL="0" distR="0" wp14:anchorId="7E23DB60" wp14:editId="40A3EBB5">
            <wp:extent cx="6107430" cy="4326255"/>
            <wp:effectExtent l="0" t="0" r="7620" b="0"/>
            <wp:docPr id="1318861579"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6107430" cy="4326255"/>
                    </a:xfrm>
                    <a:prstGeom prst="rect">
                      <a:avLst/>
                    </a:prstGeom>
                    <a:noFill/>
                    <a:ln>
                      <a:noFill/>
                    </a:ln>
                  </pic:spPr>
                </pic:pic>
              </a:graphicData>
            </a:graphic>
          </wp:inline>
        </w:drawing>
      </w:r>
    </w:p>
    <w:p w14:paraId="58174CCF" w14:textId="77777777">
      <w:pPr>
        <w:pStyle w:val="Lista"/>
      </w:pPr>
      <w:r>
        <w:t>this is the inscription DHARMA_INSCIK00191, the Phnom Sandak inscription, Preah Vihear province (K. 191, 1032 Śaka), a stele inscribed on two faces</w:t>
      </w:r>
    </w:p>
    <w:p w14:paraId="10EA81B6" w14:textId="77777777">
      <w:pPr>
        <w:pStyle w:val="Lista2"/>
      </w:pPr>
      <w:r>
        <w:t>the image above shows only the upper portion of each face</w:t>
      </w:r>
    </w:p>
    <w:p w14:paraId="0F7ED4CC" w14:textId="77777777">
      <w:pPr>
        <w:pStyle w:val="Lista2"/>
      </w:pPr>
      <w:r>
        <w:t>each face begins with an invocatory syllable offset from the main body of text</w:t>
      </w:r>
    </w:p>
    <w:p w14:paraId="0FB659FF" w14:textId="77777777">
      <w:pPr>
        <w:pStyle w:val="Lista2"/>
      </w:pPr>
      <w:r>
        <w:t>the text is in verse, laid out in quasi-columns where each line must be read all the way from left to right across both columns</w:t>
      </w:r>
    </w:p>
    <w:p w14:paraId="61A754D7" w14:textId="77777777">
      <w:pPr>
        <w:pStyle w:val="Lista2"/>
      </w:pPr>
      <w:r>
        <w:t>after reading all of face A, the reader is expected to continue on face B</w:t>
      </w:r>
    </w:p>
    <w:p w14:paraId="6B6EA7B3" w14:textId="77777777">
      <w:pPr>
        <w:pStyle w:val="Lista2"/>
      </w:pPr>
      <w:r>
        <w:t>a fly in the soup is the invocatory syllable at the top of face B, which does not truly belong in the sequence of text between the two faces</w:t>
      </w:r>
    </w:p>
    <w:p w14:paraId="0F2477F0" w14:textId="77777777">
      <w:pPr>
        <w:pStyle w:val="Lista"/>
      </w:pPr>
      <w:r>
        <w:lastRenderedPageBreak/>
        <w:t>encoding the physical and logical arrangement with complete accuracy would be very complex without any tangible gain, so it has been decided that</w:t>
      </w:r>
    </w:p>
    <w:p w14:paraId="0519FA0C" w14:textId="070C496F">
      <w:pPr>
        <w:pStyle w:val="Lista2"/>
      </w:pPr>
      <w:r>
        <w:t>the two faces will be encoded as a pagelike partition (§</w:t>
      </w:r>
      <w:r>
        <w:fldChar w:fldCharType="begin"/>
      </w:r>
      <w:r>
        <w:instrText xml:space="preserve"> REF _Ref233982406 \r \h </w:instrText>
      </w:r>
      <w:r>
        <w:fldChar w:fldCharType="separate"/>
      </w:r>
      <w:r>
        <w:t>4.4</w:t>
      </w:r>
      <w:r>
        <w:fldChar w:fldCharType="end"/>
      </w:r>
      <w:r>
        <w:t>), as for similar stelae without an incipit on the second face</w:t>
      </w:r>
    </w:p>
    <w:p w14:paraId="509A5941" w14:textId="5FD974B5">
      <w:pPr>
        <w:pStyle w:val="Lista2"/>
      </w:pPr>
      <w:r>
        <w:t>the incipits will be handled as usual, i.e. as visually offset opening lines (§</w:t>
      </w:r>
      <w:r>
        <w:fldChar w:fldCharType="begin"/>
      </w:r>
      <w:r>
        <w:instrText xml:space="preserve"> REF _Ref43978135 \r \h </w:instrText>
      </w:r>
      <w:r>
        <w:fldChar w:fldCharType="separate"/>
      </w:r>
      <w:r>
        <w:t>4.7.1.1</w:t>
      </w:r>
      <w:r>
        <w:fldChar w:fldCharType="end"/>
      </w:r>
      <w:r>
        <w:t>), without regard for the fact that the second incipit is not part of the logical flow</w:t>
      </w:r>
    </w:p>
    <w:p w14:paraId="4C5EE39C" w14:textId="276B46B0">
      <w:pPr>
        <w:pStyle w:val="Lista2"/>
      </w:pPr>
      <w:r>
        <w:t>the lines will, as a matter of course, be encoded as a gridlike partition (§</w:t>
      </w:r>
      <w:r>
        <w:fldChar w:fldCharType="begin"/>
      </w:r>
      <w:r>
        <w:instrText xml:space="preserve"> REF _Ref43984651 \r \h </w:instrText>
      </w:r>
      <w:r>
        <w:fldChar w:fldCharType="separate"/>
      </w:r>
      <w:r>
        <w:t>4.6</w:t>
      </w:r>
      <w:r>
        <w:fldChar w:fldCharType="end"/>
      </w:r>
      <w:r>
        <w:t>), as recommended for text laid out in this fashion (§</w:t>
      </w:r>
      <w:r>
        <w:fldChar w:fldCharType="begin"/>
      </w:r>
      <w:r>
        <w:instrText xml:space="preserve"> REF _Ref225865506 \r \h </w:instrText>
      </w:r>
      <w:r>
        <w:fldChar w:fldCharType="separate"/>
      </w:r>
      <w:r>
        <w:t>4.7.5.3</w:t>
      </w:r>
      <w:r>
        <w:fldChar w:fldCharType="end"/>
      </w:r>
      <w:r>
        <w:t>)</w:t>
      </w:r>
    </w:p>
    <w:p w14:paraId="6F4EBF12" w14:textId="77777777">
      <w:r>
        <w:br w:type="page"/>
      </w:r>
    </w:p>
    <w:p w14:paraId="3B0508DB" w14:textId="77777777">
      <w:pPr>
        <w:pStyle w:val="CodeParagraph"/>
        <w:rPr>
          <w:rStyle w:val="Code"/>
        </w:rPr>
      </w:pPr>
      <w:r>
        <w:rPr>
          <w:rStyle w:val="Code"/>
        </w:rPr>
        <w:lastRenderedPageBreak/>
        <w:t xml:space="preserve">&lt;div </w:t>
      </w:r>
      <w:r>
        <w:rPr>
          <w:rStyle w:val="Codeattribute"/>
        </w:rPr>
        <w:t>type</w:t>
      </w:r>
      <w:r>
        <w:rPr>
          <w:rStyle w:val="Code"/>
        </w:rPr>
        <w:t>=</w:t>
      </w:r>
      <w:r>
        <w:rPr>
          <w:rStyle w:val="Codevalue"/>
        </w:rPr>
        <w:t>"edition"</w:t>
      </w:r>
      <w:r>
        <w:rPr>
          <w:rStyle w:val="Code"/>
        </w:rPr>
        <w:t xml:space="preserve"> </w:t>
      </w:r>
      <w:r>
        <w:rPr>
          <w:rStyle w:val="Codeattribute"/>
        </w:rPr>
        <w:t>xml:lang</w:t>
      </w:r>
      <w:r>
        <w:rPr>
          <w:rStyle w:val="Code"/>
        </w:rPr>
        <w:t>=</w:t>
      </w:r>
      <w:r>
        <w:rPr>
          <w:rStyle w:val="Codevalue"/>
        </w:rPr>
        <w:t>"san-Latn"</w:t>
      </w:r>
      <w:r>
        <w:rPr>
          <w:rStyle w:val="Code"/>
        </w:rPr>
        <w:t>&gt;</w:t>
      </w:r>
      <w:r>
        <w:rPr>
          <w:rStyle w:val="Codetext"/>
        </w:rPr>
        <w:br/>
      </w:r>
      <w:r>
        <w:rPr>
          <w:rStyle w:val="Code"/>
        </w:rPr>
        <w:t>&lt;ab&gt;</w:t>
      </w:r>
    </w:p>
    <w:p w14:paraId="4B318204" w14:textId="77777777">
      <w:pPr>
        <w:pStyle w:val="CodeParagraph"/>
        <w:rPr>
          <w:rStyle w:val="Code"/>
        </w:rPr>
      </w:pPr>
      <w:r>
        <w:rPr>
          <w:rStyle w:val="Code"/>
        </w:rPr>
        <w:t xml:space="preserve">  &lt;milestone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 xml:space="preserve">/&gt;&lt;label </w:t>
      </w:r>
      <w:r>
        <w:rPr>
          <w:rStyle w:val="Codeattribute"/>
        </w:rPr>
        <w:t>xml:lang</w:t>
      </w:r>
      <w:r>
        <w:rPr>
          <w:rStyle w:val="Code"/>
        </w:rPr>
        <w:t>=</w:t>
      </w:r>
      <w:r>
        <w:rPr>
          <w:rStyle w:val="Codevalue"/>
        </w:rPr>
        <w:t>"eng"</w:t>
      </w:r>
      <w:r>
        <w:rPr>
          <w:rStyle w:val="Code"/>
        </w:rPr>
        <w:t>&gt;</w:t>
      </w:r>
      <w:r>
        <w:rPr>
          <w:rStyle w:val="Codetext"/>
        </w:rPr>
        <w:t>Face A</w:t>
      </w:r>
      <w:r>
        <w:rPr>
          <w:rStyle w:val="Code"/>
        </w:rPr>
        <w:t>&lt;/label&gt;</w:t>
      </w:r>
    </w:p>
    <w:p w14:paraId="45559FBB" w14:textId="77777777">
      <w:pPr>
        <w:pStyle w:val="CodeParagraph"/>
        <w:rPr>
          <w:rStyle w:val="Codetext"/>
        </w:rPr>
      </w:pPr>
      <w:r>
        <w:rPr>
          <w:rStyle w:val="Code"/>
        </w:rPr>
        <w:t xml:space="preserve">  &lt;lb </w:t>
      </w:r>
      <w:r>
        <w:rPr>
          <w:rStyle w:val="Codeattribute"/>
        </w:rPr>
        <w:t>n</w:t>
      </w:r>
      <w:r>
        <w:rPr>
          <w:rStyle w:val="Code"/>
        </w:rPr>
        <w:t>=</w:t>
      </w:r>
      <w:r>
        <w:rPr>
          <w:rStyle w:val="Codevalue"/>
        </w:rPr>
        <w:t>"A0"</w:t>
      </w:r>
      <w:r>
        <w:rPr>
          <w:rStyle w:val="Code"/>
        </w:rPr>
        <w:t xml:space="preserve"> </w:t>
      </w:r>
      <w:r>
        <w:rPr>
          <w:rStyle w:val="Codeattribute"/>
        </w:rPr>
        <w:t>style</w:t>
      </w:r>
      <w:r>
        <w:rPr>
          <w:rStyle w:val="Code"/>
        </w:rPr>
        <w:t>=</w:t>
      </w:r>
      <w:r>
        <w:rPr>
          <w:rStyle w:val="Codevalue"/>
        </w:rPr>
        <w:t>"text-align: center"</w:t>
      </w:r>
      <w:r>
        <w:rPr>
          <w:rStyle w:val="Code"/>
        </w:rPr>
        <w:t>/&gt;</w:t>
      </w:r>
      <w:r>
        <w:rPr>
          <w:rStyle w:val="Codetext"/>
        </w:rPr>
        <w:t>Oṁ</w:t>
      </w:r>
    </w:p>
    <w:p w14:paraId="00DD9F55" w14:textId="77777777">
      <w:pPr>
        <w:pStyle w:val="CodeParagraph"/>
        <w:rPr>
          <w:rStyle w:val="Codetext"/>
        </w:rPr>
      </w:pPr>
      <w:r>
        <w:rPr>
          <w:rStyle w:val="Code"/>
        </w:rPr>
        <w:t>&lt;/ab&gt;</w:t>
      </w:r>
    </w:p>
    <w:p w14:paraId="51361D8D" w14:textId="77777777">
      <w:pPr>
        <w:pStyle w:val="CodeParagraph"/>
        <w:rPr>
          <w:rStyle w:val="Code"/>
        </w:rPr>
      </w:pPr>
      <w:r>
        <w:rPr>
          <w:rStyle w:val="Code"/>
        </w:rPr>
        <w:t xml:space="preserve">&lt;lg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"upajāti"</w:t>
      </w:r>
      <w:r>
        <w:rPr>
          <w:rStyle w:val="Code"/>
        </w:rPr>
        <w:t>&gt;</w:t>
      </w:r>
      <w:r>
        <w:rPr>
          <w:rStyle w:val="Codetext"/>
        </w:rPr>
        <w:br/>
      </w:r>
      <w:r>
        <w:rPr>
          <w:rStyle w:val="Code"/>
        </w:rPr>
        <w:t xml:space="preserve">  &lt;l </w:t>
      </w:r>
      <w:r>
        <w:rPr>
          <w:rStyle w:val="Codeattribute"/>
        </w:rPr>
        <w:t>n</w:t>
      </w:r>
      <w:r>
        <w:rPr>
          <w:rStyle w:val="Code"/>
        </w:rPr>
        <w:t>=</w:t>
      </w:r>
      <w:r>
        <w:rPr>
          <w:rStyle w:val="Codevalue"/>
        </w:rPr>
        <w:t>"a"</w:t>
      </w:r>
      <w:r>
        <w:rPr>
          <w:rStyle w:val="Code"/>
        </w:rPr>
        <w:t xml:space="preserve">&gt;&lt;lb </w:t>
      </w:r>
      <w:r>
        <w:rPr>
          <w:rStyle w:val="Codeattribute"/>
        </w:rPr>
        <w:t>n</w:t>
      </w:r>
      <w:r>
        <w:rPr>
          <w:rStyle w:val="Code"/>
        </w:rPr>
        <w:t>=</w:t>
      </w:r>
      <w:r>
        <w:rPr>
          <w:rStyle w:val="Codevalue"/>
        </w:rPr>
        <w:t>"A1"</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 xml:space="preserve">/&gt;&lt;g </w:t>
      </w:r>
      <w:r>
        <w:rPr>
          <w:rStyle w:val="Codeattribute"/>
        </w:rPr>
        <w:t>ref</w:t>
      </w:r>
      <w:r>
        <w:rPr>
          <w:rStyle w:val="Code"/>
        </w:rPr>
        <w:t>=</w:t>
      </w:r>
      <w:r>
        <w:rPr>
          <w:rStyle w:val="Codevalue"/>
        </w:rPr>
        <w:t>"sym:flourish-taperOut"</w:t>
      </w:r>
      <w:r>
        <w:rPr>
          <w:rStyle w:val="Code"/>
        </w:rPr>
        <w:t>&gt;</w:t>
      </w:r>
      <w:r>
        <w:rPr>
          <w:rStyle w:val="Codetext"/>
        </w:rPr>
        <w:t>*</w:t>
      </w:r>
      <w:r>
        <w:rPr>
          <w:rStyle w:val="Code"/>
        </w:rPr>
        <w:t>&lt;/g&gt;</w:t>
      </w:r>
      <w:r>
        <w:rPr>
          <w:rStyle w:val="Codetext"/>
        </w:rPr>
        <w:t xml:space="preserve"> namaś śivāyāstu ya Eka Eva</w:t>
      </w:r>
      <w:r>
        <w:rPr>
          <w:rStyle w:val="Code"/>
        </w:rPr>
        <w:t>&lt;/l&gt;</w:t>
      </w:r>
      <w:r>
        <w:rPr>
          <w:rStyle w:val="Codetext"/>
        </w:rPr>
        <w:br/>
      </w:r>
      <w:r>
        <w:rPr>
          <w:rStyle w:val="Code"/>
        </w:rPr>
        <w:t xml:space="preserve">  &lt;l </w:t>
      </w:r>
      <w:r>
        <w:rPr>
          <w:rStyle w:val="Codeattribute"/>
        </w:rPr>
        <w:t>n</w:t>
      </w:r>
      <w:r>
        <w:rPr>
          <w:rStyle w:val="Code"/>
        </w:rPr>
        <w:t>=</w:t>
      </w:r>
      <w:r>
        <w:rPr>
          <w:rStyle w:val="Codevalue"/>
        </w:rPr>
        <w:t>"b"</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jñānakriyārūpatayā dvibhedaḥ</w:t>
      </w:r>
      <w:r>
        <w:rPr>
          <w:rStyle w:val="Code"/>
        </w:rPr>
        <w:t>&lt;/l&gt;</w:t>
      </w:r>
      <w:r>
        <w:rPr>
          <w:rStyle w:val="Codetext"/>
        </w:rPr>
        <w:br/>
      </w:r>
      <w:r>
        <w:rPr>
          <w:rStyle w:val="Code"/>
        </w:rPr>
        <w:t xml:space="preserve">  &lt;l </w:t>
      </w:r>
      <w:r>
        <w:rPr>
          <w:rStyle w:val="Codeattribute"/>
        </w:rPr>
        <w:t>n</w:t>
      </w:r>
      <w:r>
        <w:rPr>
          <w:rStyle w:val="Code"/>
        </w:rPr>
        <w:t>=</w:t>
      </w:r>
      <w:r>
        <w:rPr>
          <w:rStyle w:val="Codevalue"/>
        </w:rPr>
        <w:t>"c"</w:t>
      </w:r>
      <w:r>
        <w:rPr>
          <w:rStyle w:val="Code"/>
        </w:rPr>
        <w:t xml:space="preserve">&gt;&lt;lb </w:t>
      </w:r>
      <w:r>
        <w:rPr>
          <w:rStyle w:val="Codeattribute"/>
        </w:rPr>
        <w:t>n</w:t>
      </w:r>
      <w:r>
        <w:rPr>
          <w:rStyle w:val="Code"/>
        </w:rPr>
        <w:t>=</w:t>
      </w:r>
      <w:r>
        <w:rPr>
          <w:rStyle w:val="Codevalue"/>
        </w:rPr>
        <w:t>"A2"</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bhūyo py anugrāhitayāṇuvr̥ṇde</w:t>
      </w:r>
      <w:r>
        <w:rPr>
          <w:rStyle w:val="Code"/>
        </w:rPr>
        <w:t>&lt;/l&gt;</w:t>
      </w:r>
      <w:r>
        <w:rPr>
          <w:rStyle w:val="Codetext"/>
        </w:rPr>
        <w:br/>
      </w:r>
      <w:r>
        <w:rPr>
          <w:rStyle w:val="Code"/>
        </w:rPr>
        <w:t xml:space="preserve">  &lt;l </w:t>
      </w:r>
      <w:r>
        <w:rPr>
          <w:rStyle w:val="Codeattribute"/>
        </w:rPr>
        <w:t>n</w:t>
      </w:r>
      <w:r>
        <w:rPr>
          <w:rStyle w:val="Code"/>
        </w:rPr>
        <w:t>=</w:t>
      </w:r>
      <w:r>
        <w:rPr>
          <w:rStyle w:val="Codevalue"/>
        </w:rPr>
        <w:t>"d"</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 xml:space="preserve">vāmādibhedād vahudhā </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 xml:space="preserve"> vikīrṇaḥ</w:t>
      </w:r>
      <w:r>
        <w:rPr>
          <w:rStyle w:val="Code"/>
        </w:rPr>
        <w:t>&lt;/l&gt;</w:t>
      </w:r>
      <w:r>
        <w:rPr>
          <w:rStyle w:val="Codetext"/>
        </w:rPr>
        <w:br/>
      </w:r>
      <w:r>
        <w:rPr>
          <w:rStyle w:val="Code"/>
        </w:rPr>
        <w:t>&lt;/lg&gt;</w:t>
      </w:r>
      <w:r>
        <w:rPr>
          <w:rStyle w:val="Codetext"/>
        </w:rPr>
        <w:br/>
      </w:r>
      <w:r>
        <w:rPr>
          <w:rStyle w:val="Code"/>
        </w:rPr>
        <w:t xml:space="preserve">&lt;lg </w:t>
      </w:r>
      <w:r>
        <w:rPr>
          <w:rStyle w:val="Codeattribute"/>
        </w:rPr>
        <w:t>n</w:t>
      </w:r>
      <w:r>
        <w:rPr>
          <w:rStyle w:val="Code"/>
        </w:rPr>
        <w:t>=</w:t>
      </w:r>
      <w:r>
        <w:rPr>
          <w:rStyle w:val="Codevalue"/>
        </w:rPr>
        <w:t>"2"</w:t>
      </w:r>
      <w:r>
        <w:rPr>
          <w:rStyle w:val="Code"/>
        </w:rPr>
        <w:t xml:space="preserve"> </w:t>
      </w:r>
      <w:r>
        <w:rPr>
          <w:rStyle w:val="Codeattribute"/>
        </w:rPr>
        <w:t>met</w:t>
      </w:r>
      <w:r>
        <w:rPr>
          <w:rStyle w:val="Code"/>
        </w:rPr>
        <w:t>=</w:t>
      </w:r>
      <w:r>
        <w:rPr>
          <w:rStyle w:val="Codevalue"/>
        </w:rPr>
        <w:t>"upajāti"</w:t>
      </w:r>
      <w:r>
        <w:rPr>
          <w:rStyle w:val="Code"/>
        </w:rPr>
        <w:t>&gt;</w:t>
      </w:r>
      <w:r>
        <w:rPr>
          <w:rStyle w:val="Codetext"/>
        </w:rPr>
        <w:br/>
      </w:r>
      <w:r>
        <w:rPr>
          <w:rStyle w:val="Code"/>
        </w:rPr>
        <w:t xml:space="preserve">  &lt;l </w:t>
      </w:r>
      <w:r>
        <w:rPr>
          <w:rStyle w:val="Codeattribute"/>
        </w:rPr>
        <w:t>n</w:t>
      </w:r>
      <w:r>
        <w:rPr>
          <w:rStyle w:val="Code"/>
        </w:rPr>
        <w:t>=</w:t>
      </w:r>
      <w:r>
        <w:rPr>
          <w:rStyle w:val="Codevalue"/>
        </w:rPr>
        <w:t>"a"</w:t>
      </w:r>
      <w:r>
        <w:rPr>
          <w:rStyle w:val="Code"/>
        </w:rPr>
        <w:t xml:space="preserve">&gt;&lt;lb </w:t>
      </w:r>
      <w:r>
        <w:rPr>
          <w:rStyle w:val="Codeattribute"/>
        </w:rPr>
        <w:t>n</w:t>
      </w:r>
      <w:r>
        <w:rPr>
          <w:rStyle w:val="Code"/>
        </w:rPr>
        <w:t>=</w:t>
      </w:r>
      <w:r>
        <w:rPr>
          <w:rStyle w:val="Codevalue"/>
        </w:rPr>
        <w:t>"A3"</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yasyāḥ prasāde jagatāṁ vimuktir</w:t>
      </w:r>
      <w:r>
        <w:rPr>
          <w:rStyle w:val="Code"/>
        </w:rPr>
        <w:t>&lt;/l&gt;</w:t>
      </w:r>
      <w:r>
        <w:rPr>
          <w:rStyle w:val="Codetext"/>
        </w:rPr>
        <w:br/>
      </w:r>
      <w:r>
        <w:rPr>
          <w:rStyle w:val="Code"/>
        </w:rPr>
        <w:t xml:space="preserve">  &lt;l </w:t>
      </w:r>
      <w:r>
        <w:rPr>
          <w:rStyle w:val="Codeattribute"/>
        </w:rPr>
        <w:t>n</w:t>
      </w:r>
      <w:r>
        <w:rPr>
          <w:rStyle w:val="Code"/>
        </w:rPr>
        <w:t>=</w:t>
      </w:r>
      <w:r>
        <w:rPr>
          <w:rStyle w:val="Codevalue"/>
        </w:rPr>
        <w:t>"b"</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vāllabhyataḥ patyur anādivandhāt·</w:t>
      </w:r>
      <w:r>
        <w:rPr>
          <w:rStyle w:val="Code"/>
        </w:rPr>
        <w:t>&lt;/l&gt;</w:t>
      </w:r>
      <w:r>
        <w:rPr>
          <w:rStyle w:val="Codetext"/>
        </w:rPr>
        <w:br/>
      </w:r>
      <w:r>
        <w:rPr>
          <w:rStyle w:val="Code"/>
        </w:rPr>
        <w:t xml:space="preserve">  &lt;l </w:t>
      </w:r>
      <w:r>
        <w:rPr>
          <w:rStyle w:val="Codeattribute"/>
        </w:rPr>
        <w:t>n</w:t>
      </w:r>
      <w:r>
        <w:rPr>
          <w:rStyle w:val="Code"/>
        </w:rPr>
        <w:t>=</w:t>
      </w:r>
      <w:r>
        <w:rPr>
          <w:rStyle w:val="Codevalue"/>
        </w:rPr>
        <w:t>"c"</w:t>
      </w:r>
      <w:r>
        <w:rPr>
          <w:rStyle w:val="Code"/>
        </w:rPr>
        <w:t xml:space="preserve">&gt;&lt;lb </w:t>
      </w:r>
      <w:r>
        <w:rPr>
          <w:rStyle w:val="Codeattribute"/>
        </w:rPr>
        <w:t>n</w:t>
      </w:r>
      <w:r>
        <w:rPr>
          <w:rStyle w:val="Code"/>
        </w:rPr>
        <w:t>=</w:t>
      </w:r>
      <w:r>
        <w:rPr>
          <w:rStyle w:val="Codevalue"/>
        </w:rPr>
        <w:t>"A4"</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bhāvānyatāyām api vandhavr̥</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ddhir·</w:t>
      </w:r>
      <w:r>
        <w:rPr>
          <w:rStyle w:val="Code"/>
        </w:rPr>
        <w:t>&lt;/l&gt;</w:t>
      </w:r>
      <w:r>
        <w:rPr>
          <w:rStyle w:val="Codetext"/>
        </w:rPr>
        <w:br/>
      </w:r>
      <w:r>
        <w:rPr>
          <w:rStyle w:val="Code"/>
        </w:rPr>
        <w:t xml:space="preserve">  &lt;l </w:t>
      </w:r>
      <w:r>
        <w:rPr>
          <w:rStyle w:val="Codeattribute"/>
        </w:rPr>
        <w:t>n</w:t>
      </w:r>
      <w:r>
        <w:rPr>
          <w:rStyle w:val="Code"/>
        </w:rPr>
        <w:t>=</w:t>
      </w:r>
      <w:r>
        <w:rPr>
          <w:rStyle w:val="Codevalue"/>
        </w:rPr>
        <w:t>"d"</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vi</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 xml:space="preserve">dyaiva </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 xml:space="preserve"> sā vo </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 xml:space="preserve"> vatu viśvarūpā</w:t>
      </w:r>
      <w:r>
        <w:rPr>
          <w:rStyle w:val="Code"/>
        </w:rPr>
        <w:t>&lt;/l&gt;</w:t>
      </w:r>
      <w:r>
        <w:rPr>
          <w:rStyle w:val="Codetext"/>
        </w:rPr>
        <w:br/>
      </w:r>
      <w:r>
        <w:rPr>
          <w:rStyle w:val="Code"/>
        </w:rPr>
        <w:t>&lt;/lg&gt;</w:t>
      </w:r>
      <w:r>
        <w:rPr>
          <w:rStyle w:val="Codetext"/>
        </w:rPr>
        <w:br/>
        <w:t>...</w:t>
      </w:r>
      <w:r>
        <w:rPr>
          <w:rStyle w:val="Codetext"/>
        </w:rPr>
        <w:br/>
      </w:r>
      <w:r>
        <w:rPr>
          <w:rStyle w:val="Code"/>
        </w:rPr>
        <w:t>&lt;ab&gt;</w:t>
      </w:r>
    </w:p>
    <w:p w14:paraId="2418815E" w14:textId="77777777">
      <w:pPr>
        <w:pStyle w:val="CodeParagraph"/>
        <w:rPr>
          <w:rStyle w:val="Code"/>
        </w:rPr>
      </w:pPr>
      <w:r>
        <w:rPr>
          <w:rStyle w:val="Code"/>
        </w:rPr>
        <w:t xml:space="preserve">  &lt;milestone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 xml:space="preserve">/&gt;&lt;label </w:t>
      </w:r>
      <w:r>
        <w:rPr>
          <w:rStyle w:val="Codeattribute"/>
        </w:rPr>
        <w:t>xml:lang</w:t>
      </w:r>
      <w:r>
        <w:rPr>
          <w:rStyle w:val="Code"/>
        </w:rPr>
        <w:t>=</w:t>
      </w:r>
      <w:r>
        <w:rPr>
          <w:rStyle w:val="Codevalue"/>
        </w:rPr>
        <w:t>"eng"</w:t>
      </w:r>
      <w:r>
        <w:rPr>
          <w:rStyle w:val="Code"/>
        </w:rPr>
        <w:t>&gt;</w:t>
      </w:r>
      <w:r>
        <w:rPr>
          <w:rStyle w:val="Codetext"/>
        </w:rPr>
        <w:t>Face B</w:t>
      </w:r>
      <w:r>
        <w:rPr>
          <w:rStyle w:val="Code"/>
        </w:rPr>
        <w:t>&lt;/label&gt;</w:t>
      </w:r>
    </w:p>
    <w:p w14:paraId="5B27BB9A" w14:textId="77777777">
      <w:pPr>
        <w:pStyle w:val="CodeParagraph"/>
        <w:rPr>
          <w:rStyle w:val="Codetext"/>
        </w:rPr>
      </w:pPr>
      <w:r>
        <w:rPr>
          <w:rStyle w:val="Code"/>
        </w:rPr>
        <w:t xml:space="preserve">  &lt;lb </w:t>
      </w:r>
      <w:r>
        <w:rPr>
          <w:rStyle w:val="Codeattribute"/>
        </w:rPr>
        <w:t>n</w:t>
      </w:r>
      <w:r>
        <w:rPr>
          <w:rStyle w:val="Code"/>
        </w:rPr>
        <w:t>=</w:t>
      </w:r>
      <w:r>
        <w:rPr>
          <w:rStyle w:val="Codevalue"/>
        </w:rPr>
        <w:t>"B0"</w:t>
      </w:r>
      <w:r>
        <w:rPr>
          <w:rStyle w:val="Code"/>
        </w:rPr>
        <w:t xml:space="preserve"> </w:t>
      </w:r>
      <w:r>
        <w:rPr>
          <w:rStyle w:val="Codeattribute"/>
        </w:rPr>
        <w:t>style</w:t>
      </w:r>
      <w:r>
        <w:rPr>
          <w:rStyle w:val="Code"/>
        </w:rPr>
        <w:t>=</w:t>
      </w:r>
      <w:r>
        <w:rPr>
          <w:rStyle w:val="Codevalue"/>
        </w:rPr>
        <w:t>"text-align: center"</w:t>
      </w:r>
      <w:r>
        <w:rPr>
          <w:rStyle w:val="Code"/>
        </w:rPr>
        <w:t>/&gt;</w:t>
      </w:r>
      <w:r>
        <w:rPr>
          <w:rStyle w:val="Codetext"/>
        </w:rPr>
        <w:t>hūṁ</w:t>
      </w:r>
    </w:p>
    <w:p w14:paraId="1E54F597" w14:textId="77777777">
      <w:pPr>
        <w:pStyle w:val="CodeParagraph"/>
        <w:rPr>
          <w:rStyle w:val="Code"/>
        </w:rPr>
      </w:pPr>
      <w:r>
        <w:rPr>
          <w:rStyle w:val="Code"/>
        </w:rPr>
        <w:t>&lt;/ab&gt;</w:t>
      </w:r>
    </w:p>
    <w:p w14:paraId="3C5E51E3" w14:textId="77777777">
      <w:pPr>
        <w:pStyle w:val="CodeParagraph"/>
        <w:rPr>
          <w:rStyle w:val="Code"/>
        </w:rPr>
      </w:pPr>
      <w:r>
        <w:rPr>
          <w:rStyle w:val="Code"/>
        </w:rPr>
        <w:t xml:space="preserve">&lt;lg </w:t>
      </w:r>
      <w:r>
        <w:rPr>
          <w:rStyle w:val="Codeattribute"/>
        </w:rPr>
        <w:t>n</w:t>
      </w:r>
      <w:r>
        <w:rPr>
          <w:rStyle w:val="Code"/>
        </w:rPr>
        <w:t>=</w:t>
      </w:r>
      <w:r>
        <w:rPr>
          <w:rStyle w:val="Codevalue"/>
        </w:rPr>
        <w:t>"25"</w:t>
      </w:r>
      <w:r>
        <w:rPr>
          <w:rStyle w:val="Code"/>
        </w:rPr>
        <w:t xml:space="preserve"> </w:t>
      </w:r>
      <w:r>
        <w:rPr>
          <w:rStyle w:val="Codeattribute"/>
        </w:rPr>
        <w:t>met</w:t>
      </w:r>
      <w:r>
        <w:rPr>
          <w:rStyle w:val="Code"/>
        </w:rPr>
        <w:t>=</w:t>
      </w:r>
      <w:r>
        <w:rPr>
          <w:rStyle w:val="Codevalue"/>
        </w:rPr>
        <w:t>"vasantatilakā"</w:t>
      </w:r>
      <w:r>
        <w:rPr>
          <w:rStyle w:val="Code"/>
        </w:rPr>
        <w:t>&gt;</w:t>
      </w:r>
      <w:r>
        <w:rPr>
          <w:rStyle w:val="Codetext"/>
        </w:rPr>
        <w:br/>
      </w:r>
      <w:r>
        <w:rPr>
          <w:rStyle w:val="Code"/>
        </w:rPr>
        <w:t xml:space="preserve">  &lt;l </w:t>
      </w:r>
      <w:r>
        <w:rPr>
          <w:rStyle w:val="Codeattribute"/>
        </w:rPr>
        <w:t>n</w:t>
      </w:r>
      <w:r>
        <w:rPr>
          <w:rStyle w:val="Code"/>
        </w:rPr>
        <w:t>=</w:t>
      </w:r>
      <w:r>
        <w:rPr>
          <w:rStyle w:val="Codevalue"/>
        </w:rPr>
        <w:t>"a"</w:t>
      </w:r>
      <w:r>
        <w:rPr>
          <w:rStyle w:val="Code"/>
        </w:rPr>
        <w:t xml:space="preserve">&gt;&lt;lb </w:t>
      </w:r>
      <w:r>
        <w:rPr>
          <w:rStyle w:val="Codeattribute"/>
        </w:rPr>
        <w:t>n</w:t>
      </w:r>
      <w:r>
        <w:rPr>
          <w:rStyle w:val="Code"/>
        </w:rPr>
        <w:t>=</w:t>
      </w:r>
      <w:r>
        <w:rPr>
          <w:rStyle w:val="Codevalue"/>
        </w:rPr>
        <w:t>"B1"</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hr</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ī</w:t>
      </w:r>
      <w:r>
        <w:rPr>
          <w:rStyle w:val="Code"/>
        </w:rPr>
        <w:t>&lt;/supplied&gt;</w:t>
      </w:r>
      <w:r>
        <w:rPr>
          <w:rStyle w:val="Codetext"/>
        </w:rPr>
        <w:t>kāntikīrttikamalābhir ajasrayuktas</w:t>
      </w:r>
      <w:r>
        <w:rPr>
          <w:rStyle w:val="Code"/>
        </w:rPr>
        <w:t>&lt;/l&gt;</w:t>
      </w:r>
      <w:r>
        <w:rPr>
          <w:rStyle w:val="Codetext"/>
        </w:rPr>
        <w:br/>
      </w:r>
      <w:r>
        <w:rPr>
          <w:rStyle w:val="Code"/>
        </w:rPr>
        <w:t xml:space="preserve">  &lt;l </w:t>
      </w:r>
      <w:r>
        <w:rPr>
          <w:rStyle w:val="Codeattribute"/>
        </w:rPr>
        <w:t>n</w:t>
      </w:r>
      <w:r>
        <w:rPr>
          <w:rStyle w:val="Code"/>
        </w:rPr>
        <w:t>=</w:t>
      </w:r>
      <w:r>
        <w:rPr>
          <w:rStyle w:val="Codevalue"/>
        </w:rPr>
        <w:t>"b"</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sastrīkatām adhigato pi tapasvivr̥ttiḥ</w:t>
      </w:r>
      <w:r>
        <w:rPr>
          <w:rStyle w:val="Code"/>
        </w:rPr>
        <w:t>&lt;/l&gt;</w:t>
      </w:r>
      <w:r>
        <w:rPr>
          <w:rStyle w:val="Codetext"/>
        </w:rPr>
        <w:br/>
      </w:r>
      <w:r>
        <w:rPr>
          <w:rStyle w:val="Code"/>
        </w:rPr>
        <w:t xml:space="preserve">  &lt;l </w:t>
      </w:r>
      <w:r>
        <w:rPr>
          <w:rStyle w:val="Codeattribute"/>
        </w:rPr>
        <w:t>n</w:t>
      </w:r>
      <w:r>
        <w:rPr>
          <w:rStyle w:val="Code"/>
        </w:rPr>
        <w:t>=</w:t>
      </w:r>
      <w:r>
        <w:rPr>
          <w:rStyle w:val="Codevalue"/>
        </w:rPr>
        <w:t>"c"</w:t>
      </w:r>
      <w:r>
        <w:rPr>
          <w:rStyle w:val="Code"/>
        </w:rPr>
        <w:t xml:space="preserve"> </w:t>
      </w:r>
      <w:r>
        <w:rPr>
          <w:rStyle w:val="Codeattribute"/>
        </w:rPr>
        <w:t>enjamb</w:t>
      </w:r>
      <w:r>
        <w:rPr>
          <w:rStyle w:val="Code"/>
        </w:rPr>
        <w:t>=</w:t>
      </w:r>
      <w:r>
        <w:rPr>
          <w:rStyle w:val="Codevalue"/>
        </w:rPr>
        <w:t>"yes"</w:t>
      </w:r>
      <w:r>
        <w:rPr>
          <w:rStyle w:val="Code"/>
        </w:rPr>
        <w:t xml:space="preserve">&gt;&lt;lb </w:t>
      </w:r>
      <w:r>
        <w:rPr>
          <w:rStyle w:val="Codeattribute"/>
        </w:rPr>
        <w:t>n</w:t>
      </w:r>
      <w:r>
        <w:rPr>
          <w:rStyle w:val="Code"/>
        </w:rPr>
        <w:t>=</w:t>
      </w:r>
      <w:r>
        <w:rPr>
          <w:rStyle w:val="Codevalue"/>
        </w:rPr>
        <w:t>"B2"</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bhūbhr̥cchironi</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hitapādatalo dyugāmi</w:t>
      </w:r>
      <w:r>
        <w:rPr>
          <w:rStyle w:val="Code"/>
        </w:rPr>
        <w:t>&lt;/l&gt;</w:t>
      </w:r>
      <w:r>
        <w:rPr>
          <w:rStyle w:val="Codetext"/>
        </w:rPr>
        <w:br/>
      </w:r>
      <w:r>
        <w:rPr>
          <w:rStyle w:val="Code"/>
        </w:rPr>
        <w:t xml:space="preserve">  &lt;l </w:t>
      </w:r>
      <w:r>
        <w:rPr>
          <w:rStyle w:val="Codeattribute"/>
        </w:rPr>
        <w:t>n</w:t>
      </w:r>
      <w:r>
        <w:rPr>
          <w:rStyle w:val="Code"/>
        </w:rPr>
        <w:t>=</w:t>
      </w:r>
      <w:r>
        <w:rPr>
          <w:rStyle w:val="Codevalue"/>
        </w:rPr>
        <w:t>"d"</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dr̥ṣṭi</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r vvisandhir apareṇa karodyato yaḥ</w:t>
      </w:r>
      <w:r>
        <w:rPr>
          <w:rStyle w:val="Code"/>
        </w:rPr>
        <w:t>&lt;/l&gt;</w:t>
      </w:r>
      <w:r>
        <w:rPr>
          <w:rStyle w:val="Codetext"/>
        </w:rPr>
        <w:br/>
      </w:r>
      <w:r>
        <w:rPr>
          <w:rStyle w:val="Code"/>
        </w:rPr>
        <w:t>&lt;/lg&gt;</w:t>
      </w:r>
      <w:r>
        <w:rPr>
          <w:rStyle w:val="Codetext"/>
        </w:rPr>
        <w:br/>
      </w:r>
      <w:r>
        <w:rPr>
          <w:rStyle w:val="Code"/>
        </w:rPr>
        <w:t xml:space="preserve">&lt;lg </w:t>
      </w:r>
      <w:r>
        <w:rPr>
          <w:rStyle w:val="Codeattribute"/>
        </w:rPr>
        <w:t>n</w:t>
      </w:r>
      <w:r>
        <w:rPr>
          <w:rStyle w:val="Code"/>
        </w:rPr>
        <w:t>=</w:t>
      </w:r>
      <w:r>
        <w:rPr>
          <w:rStyle w:val="Codevalue"/>
        </w:rPr>
        <w:t>"26"</w:t>
      </w:r>
      <w:r>
        <w:rPr>
          <w:rStyle w:val="Code"/>
        </w:rPr>
        <w:t xml:space="preserve"> </w:t>
      </w:r>
      <w:r>
        <w:rPr>
          <w:rStyle w:val="Codeattribute"/>
        </w:rPr>
        <w:t>met</w:t>
      </w:r>
      <w:r>
        <w:rPr>
          <w:rStyle w:val="Code"/>
        </w:rPr>
        <w:t>=</w:t>
      </w:r>
      <w:r>
        <w:rPr>
          <w:rStyle w:val="Codevalue"/>
        </w:rPr>
        <w:t>"vasantatilakā"</w:t>
      </w:r>
      <w:r>
        <w:rPr>
          <w:rStyle w:val="Code"/>
        </w:rPr>
        <w:t>&gt;</w:t>
      </w:r>
      <w:r>
        <w:rPr>
          <w:rStyle w:val="Codetext"/>
        </w:rPr>
        <w:br/>
      </w:r>
      <w:r>
        <w:rPr>
          <w:rStyle w:val="Code"/>
        </w:rPr>
        <w:t xml:space="preserve">  &lt;l </w:t>
      </w:r>
      <w:r>
        <w:rPr>
          <w:rStyle w:val="Codeattribute"/>
        </w:rPr>
        <w:t>n</w:t>
      </w:r>
      <w:r>
        <w:rPr>
          <w:rStyle w:val="Code"/>
        </w:rPr>
        <w:t>=</w:t>
      </w:r>
      <w:r>
        <w:rPr>
          <w:rStyle w:val="Codevalue"/>
        </w:rPr>
        <w:t>"a"</w:t>
      </w:r>
      <w:r>
        <w:rPr>
          <w:rStyle w:val="Code"/>
        </w:rPr>
        <w:t xml:space="preserve">&gt;&lt;lb </w:t>
      </w:r>
      <w:r>
        <w:rPr>
          <w:rStyle w:val="Codeattribute"/>
        </w:rPr>
        <w:t>n</w:t>
      </w:r>
      <w:r>
        <w:rPr>
          <w:rStyle w:val="Code"/>
        </w:rPr>
        <w:t>=</w:t>
      </w:r>
      <w:r>
        <w:rPr>
          <w:rStyle w:val="Codevalue"/>
        </w:rPr>
        <w:t>"B3"</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Aurvvānalo janitatāpatayā nu yasya</w:t>
      </w:r>
      <w:r>
        <w:rPr>
          <w:rStyle w:val="Code"/>
        </w:rPr>
        <w:t>&lt;/l&gt;</w:t>
      </w:r>
      <w:r>
        <w:rPr>
          <w:rStyle w:val="Codetext"/>
        </w:rPr>
        <w:br/>
      </w:r>
      <w:r>
        <w:rPr>
          <w:rStyle w:val="Code"/>
        </w:rPr>
        <w:t xml:space="preserve">  &lt;l </w:t>
      </w:r>
      <w:r>
        <w:rPr>
          <w:rStyle w:val="Codeattribute"/>
        </w:rPr>
        <w:t>n</w:t>
      </w:r>
      <w:r>
        <w:rPr>
          <w:rStyle w:val="Code"/>
        </w:rPr>
        <w:t>=</w:t>
      </w:r>
      <w:r>
        <w:rPr>
          <w:rStyle w:val="Codevalue"/>
        </w:rPr>
        <w:t>"b"</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tejonalena hr̥daye ripumāninīnām·</w:t>
      </w:r>
      <w:r>
        <w:rPr>
          <w:rStyle w:val="Code"/>
        </w:rPr>
        <w:t>&lt;/l&gt;</w:t>
      </w:r>
      <w:r>
        <w:rPr>
          <w:rStyle w:val="Codetext"/>
        </w:rPr>
        <w:br/>
      </w:r>
      <w:r>
        <w:rPr>
          <w:rStyle w:val="Code"/>
        </w:rPr>
        <w:t xml:space="preserve">  &lt;l </w:t>
      </w:r>
      <w:r>
        <w:rPr>
          <w:rStyle w:val="Codeattribute"/>
        </w:rPr>
        <w:t>n</w:t>
      </w:r>
      <w:r>
        <w:rPr>
          <w:rStyle w:val="Code"/>
        </w:rPr>
        <w:t>=</w:t>
      </w:r>
      <w:r>
        <w:rPr>
          <w:rStyle w:val="Codevalue"/>
        </w:rPr>
        <w:t>"c"</w:t>
      </w:r>
      <w:r>
        <w:rPr>
          <w:rStyle w:val="Code"/>
        </w:rPr>
        <w:t xml:space="preserve">&gt;&lt;lb </w:t>
      </w:r>
      <w:r>
        <w:rPr>
          <w:rStyle w:val="Codeattribute"/>
        </w:rPr>
        <w:t>n</w:t>
      </w:r>
      <w:r>
        <w:rPr>
          <w:rStyle w:val="Code"/>
        </w:rPr>
        <w:t>=</w:t>
      </w:r>
      <w:r>
        <w:rPr>
          <w:rStyle w:val="Codevalue"/>
        </w:rPr>
        <w:t>"B4"</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śokātigāḍhajaladhau nitarān nimajjya</w:t>
      </w:r>
      <w:r>
        <w:rPr>
          <w:rStyle w:val="Code"/>
        </w:rPr>
        <w:t>&lt;/l&gt;</w:t>
      </w:r>
      <w:r>
        <w:rPr>
          <w:rStyle w:val="Codetext"/>
        </w:rPr>
        <w:br/>
      </w:r>
      <w:r>
        <w:rPr>
          <w:rStyle w:val="Code"/>
        </w:rPr>
        <w:t xml:space="preserve">  &lt;l </w:t>
      </w:r>
      <w:r>
        <w:rPr>
          <w:rStyle w:val="Codeattribute"/>
        </w:rPr>
        <w:t>n</w:t>
      </w:r>
      <w:r>
        <w:rPr>
          <w:rStyle w:val="Code"/>
        </w:rPr>
        <w:t>=</w:t>
      </w:r>
      <w:r>
        <w:rPr>
          <w:rStyle w:val="Codevalue"/>
        </w:rPr>
        <w:t>"d"</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netrair amocayad anantaraphenilāmbhaḥ</w:t>
      </w:r>
      <w:r>
        <w:rPr>
          <w:rStyle w:val="Code"/>
        </w:rPr>
        <w:t>&lt;/l&gt;</w:t>
      </w:r>
      <w:r>
        <w:rPr>
          <w:rStyle w:val="Codetext"/>
        </w:rPr>
        <w:br/>
      </w:r>
      <w:r>
        <w:rPr>
          <w:rStyle w:val="Code"/>
        </w:rPr>
        <w:t>&lt;/lg&gt;</w:t>
      </w:r>
    </w:p>
    <w:p w14:paraId="09783581" w14:textId="77777777">
      <w:pPr>
        <w:pStyle w:val="Cmsor1"/>
        <w:numPr>
          <w:ilvl w:val="0"/>
          <w:numId w:val="7"/>
        </w:numPr>
      </w:pPr>
      <w:bookmarkStart w:id="1159" w:name="_jalh6cgsei8" w:colFirst="0" w:colLast="0"/>
      <w:bookmarkStart w:id="1160" w:name="_Ref43990834"/>
      <w:bookmarkStart w:id="1161" w:name="_Toc243922840"/>
      <w:bookmarkEnd w:id="1151"/>
      <w:bookmarkEnd w:id="1159"/>
      <w:r>
        <w:lastRenderedPageBreak/>
        <w:t>Titling conventions</w:t>
      </w:r>
      <w:bookmarkEnd w:id="1160"/>
      <w:bookmarkEnd w:id="1161"/>
    </w:p>
    <w:p w14:paraId="63A946A4" w14:textId="25FFC60F">
      <w:r>
        <w:t>When assigning a title to the inscription you are encoding, it is in general recommended that you try to remain faithful to established names for inscriptions that have been edited before. In cases where established names in a corpus follow significantly varying models, so that the need for some harmonisation is felt, the team member</w:t>
      </w:r>
      <w:r>
        <w:rPr>
          <w:noProof/>
        </w:rPr>
        <w:t>(</w:t>
      </w:r>
      <w:r>
        <w:t>s) responsible for the corpus in question has/have the option to design a new system and apply it rigorously to all members of the corpus in question. New inscriptions should, as a rule, be named on the analogy of established names within the same corpus. In all cases, variant names applied to the inscription in question in previous publications shall be recorded as per §</w:t>
      </w:r>
      <w:r>
        <w:fldChar w:fldCharType="begin"/>
      </w:r>
      <w:r>
        <w:instrText xml:space="preserve"> REF _Ref233986980 \r \h </w:instrText>
      </w:r>
      <w:r>
        <w:fldChar w:fldCharType="separate"/>
      </w:r>
      <w:r>
        <w:t>15.1.1.1</w:t>
      </w:r>
      <w:r>
        <w:fldChar w:fldCharType="end"/>
      </w:r>
      <w:r>
        <w:t>.</w:t>
      </w:r>
    </w:p>
    <w:p w14:paraId="7007E4EE" w14:textId="77777777">
      <w:pPr>
        <w:pStyle w:val="Normlbehzs"/>
      </w:pPr>
      <w:r>
        <w:t xml:space="preserve">When creating new titles, it is recommended </w:t>
      </w:r>
      <w:r>
        <w:rPr>
          <w:noProof/>
        </w:rPr>
        <w:t>(</w:t>
      </w:r>
      <w:r>
        <w:t>but not mandatory) that you compose your title by combining the following elements, in this order.</w:t>
      </w:r>
    </w:p>
    <w:p w14:paraId="79E6791E" w14:textId="77777777">
      <w:pPr>
        <w:numPr>
          <w:ilvl w:val="0"/>
          <w:numId w:val="5"/>
        </w:numPr>
        <w:ind w:left="284" w:hanging="284"/>
      </w:pPr>
      <w:r>
        <w:rPr>
          <w:b/>
          <w:bCs/>
        </w:rPr>
        <w:t>place</w:t>
      </w:r>
      <w:r>
        <w:t xml:space="preserve">: start your title with a place name, using </w:t>
      </w:r>
      <w:r>
        <w:rPr>
          <w:noProof/>
        </w:rPr>
        <w:t>(</w:t>
      </w:r>
      <w:r>
        <w:t>if possible) one of the following options</w:t>
      </w:r>
    </w:p>
    <w:p w14:paraId="19C15B14" w14:textId="77777777">
      <w:pPr>
        <w:numPr>
          <w:ilvl w:val="1"/>
          <w:numId w:val="6"/>
        </w:numPr>
        <w:ind w:left="567" w:hanging="283"/>
      </w:pPr>
      <w:r>
        <w:t>internal: attempt to identify the name of the place</w:t>
      </w:r>
      <w:r>
        <w:rPr>
          <w:noProof/>
        </w:rPr>
        <w:t>(</w:t>
      </w:r>
      <w:r>
        <w:t xml:space="preserve">s) that is </w:t>
      </w:r>
      <w:r>
        <w:rPr>
          <w:noProof/>
        </w:rPr>
        <w:t>(</w:t>
      </w:r>
      <w:r>
        <w:t>or are) most fundamentally concerned by the transaction recorded in the inscription</w:t>
      </w:r>
    </w:p>
    <w:p w14:paraId="29CFC663" w14:textId="77777777">
      <w:pPr>
        <w:pStyle w:val="Lista4"/>
      </w:pPr>
      <w:r>
        <w:t>resort to a less important but more distinctive internal toponym if the toponym resulting from the above test is insufficiently distinctive</w:t>
      </w:r>
    </w:p>
    <w:p w14:paraId="22FA9FAE" w14:textId="77777777">
      <w:pPr>
        <w:pStyle w:val="Lista4"/>
      </w:pPr>
      <w:r>
        <w:t xml:space="preserve">if you are dealing with Indonesian inscriptions, represent the internal toponym free of diacritics, in EYD spelling </w:t>
      </w:r>
      <w:r>
        <w:rPr>
          <w:noProof/>
        </w:rPr>
        <w:t>(</w:t>
      </w:r>
      <w:r>
        <w:t xml:space="preserve">e.g., </w:t>
      </w:r>
      <w:r>
        <w:rPr>
          <w:noProof/>
        </w:rPr>
        <w:t>Sobhamerta</w:t>
      </w:r>
      <w:r>
        <w:t xml:space="preserve"> for </w:t>
      </w:r>
      <w:r>
        <w:rPr>
          <w:rStyle w:val="Foreign"/>
        </w:rPr>
        <w:t>śobhāmr̥ta</w:t>
      </w:r>
      <w:r>
        <w:t xml:space="preserve">), and for further guidance, see </w:t>
      </w:r>
      <w:r>
        <w:rPr>
          <w:noProof/>
        </w:rPr>
        <w:t>Damais</w:t>
      </w:r>
      <w:r>
        <w:t xml:space="preserve"> 1952: 6-9</w:t>
      </w:r>
    </w:p>
    <w:p w14:paraId="03CC9647" w14:textId="77777777">
      <w:pPr>
        <w:numPr>
          <w:ilvl w:val="1"/>
          <w:numId w:val="6"/>
        </w:numPr>
        <w:ind w:left="567" w:hanging="283"/>
      </w:pPr>
      <w:r>
        <w:t>based on provenance: use the name of the findspot, e.g. “Nalanda”</w:t>
      </w:r>
    </w:p>
    <w:p w14:paraId="5AADE0E2" w14:textId="77777777">
      <w:pPr>
        <w:pStyle w:val="Lista4"/>
      </w:pPr>
      <w:r>
        <w:t xml:space="preserve">provenance-based places may, if necessary, be complemented with the specification of a topographic feature or a monument, e.g. “rock”, “cliff”, “victory pillar”, “Cave 16”, </w:t>
      </w:r>
      <w:r>
        <w:rPr>
          <w:noProof/>
        </w:rPr>
        <w:t>“Vedānteśvara</w:t>
      </w:r>
      <w:r>
        <w:t xml:space="preserve"> temple pillars”, etc.</w:t>
      </w:r>
    </w:p>
    <w:p w14:paraId="5B9915B1" w14:textId="77777777">
      <w:pPr>
        <w:numPr>
          <w:ilvl w:val="1"/>
          <w:numId w:val="6"/>
        </w:numPr>
        <w:ind w:left="567" w:hanging="283"/>
      </w:pPr>
      <w:r>
        <w:t>based on custody: a reference to the place or institution where the support is currently kept, e.g. “BBRAS”</w:t>
      </w:r>
    </w:p>
    <w:p w14:paraId="1AE20E1B" w14:textId="77777777">
      <w:pPr>
        <w:pStyle w:val="Lista4"/>
      </w:pPr>
      <w:r>
        <w:t>place names based on custody should only be employed if neither a provenance-based, nor an internal place name is available</w:t>
      </w:r>
    </w:p>
    <w:p w14:paraId="6D43DD60" w14:textId="77777777">
      <w:pPr>
        <w:numPr>
          <w:ilvl w:val="0"/>
          <w:numId w:val="5"/>
        </w:numPr>
        <w:ind w:left="284" w:hanging="284"/>
      </w:pPr>
      <w:r>
        <w:rPr>
          <w:b/>
          <w:bCs/>
        </w:rPr>
        <w:t>artifact type or document type</w:t>
      </w:r>
      <w:r>
        <w:t>: add a word or two describing the nature of the support or the text, using the cover term “inscription” only if no more satisfactory term can be found.</w:t>
      </w:r>
    </w:p>
    <w:p w14:paraId="5F909539" w14:textId="77777777">
      <w:pPr>
        <w:pStyle w:val="Lista3"/>
      </w:pPr>
      <w:r>
        <w:t xml:space="preserve">use document type </w:t>
      </w:r>
      <w:r>
        <w:rPr>
          <w:noProof/>
        </w:rPr>
        <w:t>(</w:t>
      </w:r>
      <w:r>
        <w:t>e.g., “grant”, “dedication” or “dedicatory inscription”, “foundation”, “label”, “graffito”, “eulogy”) if the place name used in the title is an internal toponym</w:t>
      </w:r>
    </w:p>
    <w:p w14:paraId="48B99488" w14:textId="77777777">
      <w:pPr>
        <w:pStyle w:val="Lista4"/>
      </w:pPr>
      <w:r>
        <w:t xml:space="preserve">e.g. </w:t>
      </w:r>
      <w:r>
        <w:rPr>
          <w:noProof/>
        </w:rPr>
        <w:t>“Raktamālā</w:t>
      </w:r>
      <w:r>
        <w:t xml:space="preserve"> grant”</w:t>
      </w:r>
    </w:p>
    <w:p w14:paraId="128403AB" w14:textId="77777777">
      <w:pPr>
        <w:pStyle w:val="Lista3"/>
      </w:pPr>
      <w:r>
        <w:t xml:space="preserve">use artifact type </w:t>
      </w:r>
      <w:r>
        <w:rPr>
          <w:noProof/>
        </w:rPr>
        <w:t>(</w:t>
      </w:r>
      <w:r>
        <w:t>e.g., “plate”, “stele”, “slab”, “pillar”, etc.) if the place name used in the title is based on provenance or custody</w:t>
      </w:r>
    </w:p>
    <w:p w14:paraId="6D8D7DED" w14:textId="77777777">
      <w:pPr>
        <w:pStyle w:val="Lista4"/>
      </w:pPr>
      <w:r>
        <w:t>e.g. “Nalanda plates”, “British Museum pillar”</w:t>
      </w:r>
    </w:p>
    <w:p w14:paraId="6824DFE3" w14:textId="77777777">
      <w:pPr>
        <w:numPr>
          <w:ilvl w:val="0"/>
          <w:numId w:val="5"/>
        </w:numPr>
        <w:ind w:left="284" w:hanging="284"/>
      </w:pPr>
      <w:r>
        <w:rPr>
          <w:b/>
          <w:bCs/>
        </w:rPr>
        <w:t>the principal protagonist</w:t>
      </w:r>
      <w:r>
        <w:t xml:space="preserve"> of the inscription, if named in the text</w:t>
      </w:r>
    </w:p>
    <w:p w14:paraId="69ADEBCB" w14:textId="77777777">
      <w:pPr>
        <w:pStyle w:val="Lista3"/>
      </w:pPr>
      <w:r>
        <w:t>this is usually the person who issued/commissioned the inscription and/or the work commemorated in it, but may be another named person, such as the reigning ruler if the commissioner is another person who is not named</w:t>
      </w:r>
    </w:p>
    <w:p w14:paraId="503BACE7" w14:textId="77777777">
      <w:pPr>
        <w:pStyle w:val="Lista3"/>
      </w:pPr>
      <w:r>
        <w:t>preferably, use “of” before the name of the issuer</w:t>
      </w:r>
    </w:p>
    <w:p w14:paraId="1C64F1D0" w14:textId="77777777">
      <w:pPr>
        <w:pStyle w:val="Lista3"/>
      </w:pPr>
      <w:r>
        <w:t>preferably, use “of the time of” before the name of a reigning ruler who is not the protagonist</w:t>
      </w:r>
    </w:p>
    <w:p w14:paraId="679D6E82" w14:textId="77777777">
      <w:pPr>
        <w:numPr>
          <w:ilvl w:val="0"/>
          <w:numId w:val="5"/>
        </w:numPr>
        <w:ind w:left="284" w:hanging="284"/>
      </w:pPr>
      <w:r>
        <w:rPr>
          <w:b/>
          <w:bCs/>
        </w:rPr>
        <w:t>supplementary details</w:t>
      </w:r>
      <w:r>
        <w:t>: after the above elements, add further information whenever necessary for disambiguation, potentially including:</w:t>
      </w:r>
    </w:p>
    <w:p w14:paraId="1DA5690A" w14:textId="77777777">
      <w:pPr>
        <w:pStyle w:val="Lista3"/>
      </w:pPr>
      <w:r>
        <w:t>calendrical or regnal year, if mentioned within the text</w:t>
      </w:r>
    </w:p>
    <w:p w14:paraId="6DBB691D" w14:textId="77777777">
      <w:pPr>
        <w:pStyle w:val="Lista4"/>
      </w:pPr>
      <w:r>
        <w:t>optionally including further dating specifics noted in the text, if necessary for disambiguation, e.g. month and day in the case of several charters of the same provenance, same king, same year, and where a title based on the content does not work</w:t>
      </w:r>
    </w:p>
    <w:p w14:paraId="49BC7E7D" w14:textId="77777777">
      <w:pPr>
        <w:pStyle w:val="Lista4"/>
      </w:pPr>
      <w:r>
        <w:t>optionally using “undetermined year” if a year is mentioned in the text, but is lost or illegible</w:t>
      </w:r>
    </w:p>
    <w:p w14:paraId="5F4D4C1D" w14:textId="77777777">
      <w:pPr>
        <w:pStyle w:val="Lista3"/>
      </w:pPr>
      <w:r>
        <w:t>any additional distinction, e.g.</w:t>
      </w:r>
    </w:p>
    <w:p w14:paraId="336DD20C" w14:textId="77777777">
      <w:pPr>
        <w:pStyle w:val="Lista4"/>
      </w:pPr>
      <w:r>
        <w:t>“Set 1” and “Set 2” to distinguish two sets of copper plates with the same provenance, issued by the same ruler on the same date</w:t>
      </w:r>
    </w:p>
    <w:p w14:paraId="171FE436" w14:textId="77777777">
      <w:pPr>
        <w:pStyle w:val="Lista4"/>
      </w:pPr>
      <w:r>
        <w:lastRenderedPageBreak/>
        <w:t>“north column” and “south column” to distinguish two copies of an inscription engraved in duplicate</w:t>
      </w:r>
    </w:p>
    <w:p w14:paraId="3D82BAE4" w14:textId="77777777">
      <w:pPr>
        <w:pStyle w:val="Lista"/>
      </w:pPr>
      <w:r>
        <w:t>the above items may be listed with commas or connected to one another by short English phrases as seems most suitable</w:t>
      </w:r>
    </w:p>
    <w:p w14:paraId="5B489D69" w14:textId="77777777">
      <w:pPr>
        <w:pStyle w:val="Lista"/>
      </w:pPr>
      <w:r>
        <w:t>some examples of titles composed or elaborated along the above lines:</w:t>
      </w:r>
    </w:p>
    <w:p w14:paraId="0BCBA428" w14:textId="77777777">
      <w:pPr>
        <w:pStyle w:val="Lista2"/>
      </w:pPr>
      <w:r>
        <w:t xml:space="preserve">Nalanda plate of Samudragupta </w:t>
      </w:r>
      <w:r>
        <w:rPr>
          <w:noProof/>
        </w:rPr>
        <w:t>(</w:t>
      </w:r>
      <w:r>
        <w:t>provenance, type and issuing ruler)</w:t>
      </w:r>
    </w:p>
    <w:p w14:paraId="1E65524C" w14:textId="77777777">
      <w:pPr>
        <w:pStyle w:val="Lista2"/>
      </w:pPr>
      <w:r>
        <w:rPr>
          <w:noProof/>
        </w:rPr>
        <w:t>Raktamālā</w:t>
      </w:r>
      <w:r>
        <w:t xml:space="preserve"> grant of the time of </w:t>
      </w:r>
      <w:r>
        <w:rPr>
          <w:noProof/>
        </w:rPr>
        <w:t>Budhagupta</w:t>
      </w:r>
      <w:r>
        <w:t xml:space="preserve">, year 159 </w:t>
      </w:r>
      <w:r>
        <w:rPr>
          <w:noProof/>
        </w:rPr>
        <w:t>(</w:t>
      </w:r>
      <w:r>
        <w:t>internal place, type, reigning ruler, date)</w:t>
      </w:r>
    </w:p>
    <w:p w14:paraId="3012F731" w14:textId="77777777">
      <w:pPr>
        <w:pStyle w:val="Lista2"/>
      </w:pPr>
      <w:r>
        <w:rPr>
          <w:noProof/>
        </w:rPr>
        <w:t>Vallam</w:t>
      </w:r>
      <w:r>
        <w:t xml:space="preserve">, </w:t>
      </w:r>
      <w:r>
        <w:rPr>
          <w:noProof/>
        </w:rPr>
        <w:t>Vedānteśvara</w:t>
      </w:r>
      <w:r>
        <w:t xml:space="preserve"> temple pillars, foundation by </w:t>
      </w:r>
      <w:r>
        <w:rPr>
          <w:noProof/>
        </w:rPr>
        <w:t>Kantacēṉaṉ</w:t>
      </w:r>
      <w:r>
        <w:t xml:space="preserve"> of the time of </w:t>
      </w:r>
      <w:r>
        <w:rPr>
          <w:noProof/>
        </w:rPr>
        <w:t>Mahendravarman</w:t>
      </w:r>
      <w:r>
        <w:t xml:space="preserve"> I </w:t>
      </w:r>
      <w:r>
        <w:rPr>
          <w:noProof/>
        </w:rPr>
        <w:t>(</w:t>
      </w:r>
      <w:r>
        <w:t>provenance with monument details, type of inscription, issuing person, reigning ruler)</w:t>
      </w:r>
    </w:p>
    <w:p w14:paraId="62A1D483" w14:textId="77777777">
      <w:pPr>
        <w:pStyle w:val="Lista2"/>
      </w:pPr>
      <w:r>
        <w:rPr>
          <w:noProof/>
        </w:rPr>
        <w:t>Uttiramērūr</w:t>
      </w:r>
      <w:r>
        <w:t xml:space="preserve">, </w:t>
      </w:r>
      <w:r>
        <w:rPr>
          <w:noProof/>
        </w:rPr>
        <w:t>Sundaravaradaperumāḷ</w:t>
      </w:r>
      <w:r>
        <w:t xml:space="preserve"> temple, southern wall of </w:t>
      </w:r>
      <w:r>
        <w:rPr>
          <w:rStyle w:val="Foreign"/>
        </w:rPr>
        <w:t>vimāna</w:t>
      </w:r>
      <w:r>
        <w:t xml:space="preserve">, donation of the time of Nandivarman II, year 16 </w:t>
      </w:r>
      <w:r>
        <w:rPr>
          <w:noProof/>
        </w:rPr>
        <w:t>(</w:t>
      </w:r>
      <w:r>
        <w:t>provenance with monument details, additional specification of location, type, reigning ruler, regnal year)</w:t>
      </w:r>
    </w:p>
    <w:p w14:paraId="75628AE4" w14:textId="77777777">
      <w:pPr>
        <w:pStyle w:val="Lista2"/>
      </w:pPr>
      <w:r>
        <w:rPr>
          <w:noProof/>
        </w:rPr>
        <w:t>Uttiramērūr</w:t>
      </w:r>
      <w:r>
        <w:t xml:space="preserve">, </w:t>
      </w:r>
      <w:r>
        <w:rPr>
          <w:noProof/>
        </w:rPr>
        <w:t>Vaikuṇṭhaperumāḷ</w:t>
      </w:r>
      <w:r>
        <w:t xml:space="preserve"> temple, larger platform, southern base, inscription of the time of </w:t>
      </w:r>
      <w:r>
        <w:rPr>
          <w:noProof/>
        </w:rPr>
        <w:t>Dantivarman</w:t>
      </w:r>
      <w:r>
        <w:t xml:space="preserve">, year 8, larger platform, southern base </w:t>
      </w:r>
      <w:r>
        <w:rPr>
          <w:noProof/>
        </w:rPr>
        <w:t>(</w:t>
      </w:r>
      <w:r>
        <w:t>provenance with monument details, additional specification of location, no clear text type, reigning ruler, regnal year)</w:t>
      </w:r>
    </w:p>
    <w:p w14:paraId="60773CD8" w14:textId="77777777">
      <w:pPr>
        <w:pStyle w:val="Lista2"/>
      </w:pPr>
      <w:r>
        <w:rPr>
          <w:noProof/>
        </w:rPr>
        <w:t>Gunung Wukir</w:t>
      </w:r>
      <w:r>
        <w:t xml:space="preserve"> stele of </w:t>
      </w:r>
      <w:r>
        <w:rPr>
          <w:noProof/>
        </w:rPr>
        <w:t>Sañjaya</w:t>
      </w:r>
    </w:p>
    <w:p w14:paraId="59661996" w14:textId="77777777">
      <w:pPr>
        <w:pStyle w:val="Lista2"/>
      </w:pPr>
      <w:r>
        <w:rPr>
          <w:noProof/>
        </w:rPr>
        <w:t>Hampran</w:t>
      </w:r>
      <w:r>
        <w:t xml:space="preserve"> dedication of </w:t>
      </w:r>
      <w:r>
        <w:rPr>
          <w:noProof/>
        </w:rPr>
        <w:t>Bhānu</w:t>
      </w:r>
    </w:p>
    <w:p w14:paraId="3CF077A5" w14:textId="77777777">
      <w:pPr>
        <w:pStyle w:val="Cmsor1"/>
        <w:numPr>
          <w:ilvl w:val="0"/>
          <w:numId w:val="7"/>
        </w:numPr>
      </w:pPr>
      <w:bookmarkStart w:id="1162" w:name="_fkfiw4gv3nvf" w:colFirst="0" w:colLast="0"/>
      <w:bookmarkStart w:id="1163" w:name="_Toc243922841"/>
      <w:bookmarkEnd w:id="1162"/>
      <w:r>
        <w:lastRenderedPageBreak/>
        <w:t>Creating DHARMA editions from other editions</w:t>
      </w:r>
      <w:bookmarkEnd w:id="1163"/>
    </w:p>
    <w:p w14:paraId="702ABAD9" w14:textId="77777777">
      <w:pPr>
        <w:pStyle w:val="Cmsor2"/>
        <w:numPr>
          <w:ilvl w:val="1"/>
          <w:numId w:val="7"/>
        </w:numPr>
      </w:pPr>
      <w:bookmarkStart w:id="1164" w:name="_Toc243922842"/>
      <w:r>
        <w:t>Converting CII/EI markup conventions to EpiDoc</w:t>
      </w:r>
      <w:bookmarkEnd w:id="1164"/>
    </w:p>
    <w:p w14:paraId="324F02BB" w14:textId="10DA841D">
      <w:pPr>
        <w:rPr>
          <w:lang w:eastAsia="en-US" w:bidi="ar-SA"/>
        </w:rPr>
      </w:pPr>
      <w:r>
        <w:rPr>
          <w:lang w:eastAsia="en-US" w:bidi="ar-SA"/>
        </w:rPr>
        <w:t>The instructions in this Appendix explain how the character-based markup used in most printed epigraphic editions of Indic texts correspond to our encoding scheme. Guidelines for adopting previously published translations are given in §</w:t>
      </w:r>
      <w:r>
        <w:rPr>
          <w:lang w:eastAsia="en-US" w:bidi="ar-SA"/>
        </w:rPr>
        <w:fldChar w:fldCharType="begin"/>
      </w:r>
      <w:r>
        <w:rPr>
          <w:lang w:eastAsia="en-US" w:bidi="ar-SA"/>
        </w:rPr>
        <w:instrText xml:space="preserve"> REF _Ref43990725 \r \h </w:instrText>
      </w:r>
      <w:r>
        <w:rPr>
          <w:lang w:eastAsia="en-US" w:bidi="ar-SA"/>
        </w:rPr>
      </w:r>
      <w:r>
        <w:rPr>
          <w:lang w:eastAsia="en-US" w:bidi="ar-SA"/>
        </w:rPr>
        <w:fldChar w:fldCharType="separate"/>
      </w:r>
      <w:r>
        <w:rPr>
          <w:lang w:eastAsia="en-US" w:bidi="ar-SA"/>
        </w:rPr>
        <w:t>11.5</w:t>
      </w:r>
      <w:r>
        <w:rPr>
          <w:lang w:eastAsia="en-US" w:bidi="ar-SA"/>
        </w:rPr>
        <w:fldChar w:fldCharType="end"/>
      </w:r>
      <w:r>
        <w:rPr>
          <w:lang w:eastAsia="en-US" w:bidi="ar-SA"/>
        </w:rPr>
        <w:t>.</w:t>
      </w:r>
    </w:p>
    <w:p w14:paraId="1C2888FE" w14:textId="77777777">
      <w:pPr>
        <w:pStyle w:val="Lista"/>
      </w:pPr>
      <w:r>
        <w:t>word segmentation</w:t>
      </w:r>
    </w:p>
    <w:p w14:paraId="5A1C2F92" w14:textId="77777777">
      <w:pPr>
        <w:pStyle w:val="Lista2"/>
      </w:pPr>
      <w:r>
        <w:rPr>
          <w:b/>
          <w:bCs/>
        </w:rPr>
        <w:t>spaces</w:t>
      </w:r>
      <w:r>
        <w:t xml:space="preserve"> </w:t>
      </w:r>
      <w:r>
        <w:rPr>
          <w:noProof/>
        </w:rPr>
        <w:t>(</w:t>
      </w:r>
      <w:r>
        <w:t>indicating non-compound word separation) remain spaces</w:t>
      </w:r>
    </w:p>
    <w:p w14:paraId="0659CFD4" w14:textId="77777777">
      <w:pPr>
        <w:pStyle w:val="Lista2"/>
      </w:pPr>
      <w:r>
        <w:rPr>
          <w:b/>
          <w:bCs/>
        </w:rPr>
        <w:t>hyphens</w:t>
      </w:r>
    </w:p>
    <w:p w14:paraId="3E86BF0C" w14:textId="77777777">
      <w:pPr>
        <w:pStyle w:val="Lista3"/>
      </w:pPr>
      <w:r>
        <w:t xml:space="preserve">used for compound segmentation between words fused in vowel sandhi </w:t>
      </w:r>
      <w:r>
        <w:rPr>
          <w:noProof/>
        </w:rPr>
        <w:t>(</w:t>
      </w:r>
      <w:r>
        <w:t xml:space="preserve">e.g. </w:t>
      </w:r>
      <w:r>
        <w:rPr>
          <w:rStyle w:val="Foreign"/>
        </w:rPr>
        <w:t>parākkram-āṅka</w:t>
      </w:r>
      <w:r>
        <w:t xml:space="preserve"> = </w:t>
      </w:r>
      <w:r>
        <w:rPr>
          <w:rStyle w:val="Foreign"/>
        </w:rPr>
        <w:t>parākkrama</w:t>
      </w:r>
      <w:r>
        <w:rPr>
          <w:noProof/>
        </w:rPr>
        <w:t>+</w:t>
      </w:r>
      <w:r>
        <w:rPr>
          <w:rStyle w:val="Foreign"/>
        </w:rPr>
        <w:t>aṅka</w:t>
      </w:r>
      <w:r>
        <w:t xml:space="preserve">) are discarded </w:t>
      </w:r>
      <w:r>
        <w:rPr>
          <w:noProof/>
        </w:rPr>
        <w:t>(</w:t>
      </w:r>
      <w:r>
        <w:rPr>
          <w:rStyle w:val="Foreign"/>
        </w:rPr>
        <w:t>parākkramāṅka</w:t>
      </w:r>
      <w:r>
        <w:t>)</w:t>
      </w:r>
    </w:p>
    <w:p w14:paraId="525C10B1" w14:textId="77777777">
      <w:pPr>
        <w:pStyle w:val="Lista3"/>
      </w:pPr>
      <w:r>
        <w:t>used for compound segmentation and not affected by sandhi fusion are optionally retained as per TG §7.3.5</w:t>
      </w:r>
    </w:p>
    <w:p w14:paraId="30F92E45" w14:textId="77777777">
      <w:pPr>
        <w:pStyle w:val="Lista3"/>
      </w:pPr>
      <w:r>
        <w:t xml:space="preserve">inserted at the ends of printed lines </w:t>
      </w:r>
      <w:r>
        <w:rPr>
          <w:noProof/>
        </w:rPr>
        <w:t>(</w:t>
      </w:r>
      <w:r>
        <w:t>when an epigraphic line is too long to fit in one printed line) are normally discarded</w:t>
      </w:r>
    </w:p>
    <w:p w14:paraId="6270C9FB" w14:textId="77777777">
      <w:pPr>
        <w:pStyle w:val="Lista4"/>
      </w:pPr>
      <w:r>
        <w:t>if they also serve for compound segmentation, they may be optionally retained as above</w:t>
      </w:r>
    </w:p>
    <w:p w14:paraId="1C0195E0" w14:textId="77777777">
      <w:pPr>
        <w:pStyle w:val="Lista3"/>
      </w:pPr>
      <w:r>
        <w:t xml:space="preserve">inserted at the ends of epigraphic lines </w:t>
      </w:r>
      <w:r>
        <w:rPr>
          <w:noProof/>
        </w:rPr>
        <w:t>(</w:t>
      </w:r>
      <w:r>
        <w:t xml:space="preserve">when a line end is not the end of a word) are to be converted into markup by adding </w:t>
      </w:r>
      <w:r>
        <w:rPr>
          <w:rStyle w:val="Codeattribute"/>
        </w:rPr>
        <w:t>@break</w:t>
      </w:r>
      <w:r>
        <w:rPr>
          <w:rStyle w:val="Code"/>
        </w:rPr>
        <w:t>=</w:t>
      </w:r>
      <w:r>
        <w:rPr>
          <w:rStyle w:val="Codevalue"/>
        </w:rPr>
        <w:t>"no"</w:t>
      </w:r>
      <w:r>
        <w:t xml:space="preserve"> to the following </w:t>
      </w:r>
      <w:r>
        <w:rPr>
          <w:rStyle w:val="Code"/>
        </w:rPr>
        <w:t>&lt;lb&gt;</w:t>
      </w:r>
      <w:r>
        <w:t xml:space="preserve"> element</w:t>
      </w:r>
    </w:p>
    <w:p w14:paraId="03DF773D" w14:textId="77777777">
      <w:pPr>
        <w:pStyle w:val="Lista4"/>
      </w:pPr>
      <w:r>
        <w:t>if such a hyphen also serves for compound segmentation, optionally retain the hyphen, but move it after the line beginning tag</w:t>
      </w:r>
    </w:p>
    <w:p w14:paraId="2EEE0FDD" w14:textId="77777777">
      <w:pPr>
        <w:pStyle w:val="Lista2"/>
      </w:pPr>
      <w:r>
        <w:rPr>
          <w:b/>
          <w:bCs/>
        </w:rPr>
        <w:t>double hyphens</w:t>
      </w:r>
      <w:r>
        <w:t xml:space="preserve"> </w:t>
      </w:r>
      <w:r>
        <w:rPr>
          <w:noProof/>
        </w:rPr>
        <w:t>(</w:t>
      </w:r>
      <w:r>
        <w:t>or equals signs)</w:t>
      </w:r>
      <w:r>
        <w:rPr>
          <w:rStyle w:val="Lbjegyzet-hivatkozs"/>
        </w:rPr>
        <w:footnoteReference w:id="45"/>
      </w:r>
      <w:r>
        <w:t xml:space="preserve"> normally become spaces</w:t>
      </w:r>
    </w:p>
    <w:p w14:paraId="7DE36DAB" w14:textId="77777777">
      <w:pPr>
        <w:pStyle w:val="Lista3"/>
      </w:pPr>
      <w:r>
        <w:t xml:space="preserve">but when used between words fused in vowel </w:t>
      </w:r>
      <w:r>
        <w:rPr>
          <w:rStyle w:val="Foreign"/>
        </w:rPr>
        <w:t>saṁdhi</w:t>
      </w:r>
      <w:r>
        <w:t xml:space="preserve"> </w:t>
      </w:r>
      <w:r>
        <w:rPr>
          <w:noProof/>
        </w:rPr>
        <w:t>(</w:t>
      </w:r>
      <w:r>
        <w:t xml:space="preserve">e.g. </w:t>
      </w:r>
      <w:r>
        <w:rPr>
          <w:rStyle w:val="Foreign"/>
        </w:rPr>
        <w:t>c=āpi</w:t>
      </w:r>
      <w:r>
        <w:t>), they are discarded</w:t>
      </w:r>
    </w:p>
    <w:p w14:paraId="18F337E7" w14:textId="77777777">
      <w:pPr>
        <w:pStyle w:val="Lista"/>
      </w:pPr>
      <w:r>
        <w:rPr>
          <w:b/>
          <w:bCs/>
        </w:rPr>
        <w:t xml:space="preserve">round parentheses </w:t>
      </w:r>
      <w:r>
        <w:rPr>
          <w:b/>
          <w:bCs/>
          <w:noProof/>
        </w:rPr>
        <w:t>(</w:t>
      </w:r>
      <w:r>
        <w:rPr>
          <w:b/>
          <w:bCs/>
        </w:rPr>
        <w:t>)</w:t>
      </w:r>
    </w:p>
    <w:p w14:paraId="45B45948" w14:textId="77777777">
      <w:pPr>
        <w:pStyle w:val="Lista2"/>
      </w:pPr>
      <w:r>
        <w:t>with only text inside, to mark an editorial correction of the text preceding the parenthetical text</w:t>
      </w:r>
    </w:p>
    <w:p w14:paraId="32D1FA1F" w14:textId="018B1618">
      <w:pPr>
        <w:pStyle w:val="Lista3"/>
      </w:pPr>
      <w:r>
        <w:t xml:space="preserve">the corresponding markup in EpiDoc is correction or normalisation by substitution </w:t>
      </w:r>
      <w:r>
        <w:rPr>
          <w:noProof/>
        </w:rPr>
        <w:t>(</w:t>
      </w:r>
      <w:r>
        <w:t>§</w:t>
      </w:r>
      <w:r>
        <w:fldChar w:fldCharType="begin"/>
      </w:r>
      <w:r>
        <w:instrText xml:space="preserve"> REF _Ref228885848 \r \h </w:instrText>
      </w:r>
      <w:r>
        <w:fldChar w:fldCharType="separate"/>
      </w:r>
      <w:r>
        <w:t>7.5.1.2</w:t>
      </w:r>
      <w:r>
        <w:fldChar w:fldCharType="end"/>
      </w:r>
      <w:r>
        <w:t>)</w:t>
      </w:r>
    </w:p>
    <w:p w14:paraId="3C753E5F" w14:textId="77777777">
      <w:pPr>
        <w:pStyle w:val="Lista3"/>
      </w:pPr>
      <w:r>
        <w:t xml:space="preserve">the scope of the correction is normally the same number of </w:t>
      </w:r>
      <w:r>
        <w:rPr>
          <w:rStyle w:val="Foreign"/>
        </w:rPr>
        <w:t>akṣara</w:t>
      </w:r>
      <w:r>
        <w:t xml:space="preserve">s as there are within the parentheses </w:t>
      </w:r>
      <w:r>
        <w:rPr>
          <w:noProof/>
        </w:rPr>
        <w:t>(</w:t>
      </w:r>
      <w:r>
        <w:t xml:space="preserve">in most cases, exactly one </w:t>
      </w:r>
      <w:r>
        <w:rPr>
          <w:rStyle w:val="Foreign"/>
        </w:rPr>
        <w:t>akṣara</w:t>
      </w:r>
      <w:r>
        <w:t>)</w:t>
      </w:r>
    </w:p>
    <w:p w14:paraId="78E68472" w14:textId="77777777">
      <w:pPr>
        <w:pStyle w:val="Lista4"/>
      </w:pPr>
      <w:r>
        <w:t xml:space="preserve">but if only part of an </w:t>
      </w:r>
      <w:r>
        <w:rPr>
          <w:rStyle w:val="Foreign"/>
        </w:rPr>
        <w:t>akṣara</w:t>
      </w:r>
      <w:r>
        <w:t xml:space="preserve"> is actually corrected, encode substitution only for the relevant graphemes</w:t>
      </w:r>
    </w:p>
    <w:p w14:paraId="3E74039F" w14:textId="77777777">
      <w:pPr>
        <w:pStyle w:val="Lista2"/>
      </w:pPr>
      <w:r>
        <w:t xml:space="preserve">with a question mark inside, </w:t>
      </w:r>
      <w:r>
        <w:rPr>
          <w:noProof/>
        </w:rPr>
        <w:t>(</w:t>
      </w:r>
      <w:r>
        <w:t xml:space="preserve">?) to flag the preceding text </w:t>
      </w:r>
      <w:r>
        <w:rPr>
          <w:noProof/>
        </w:rPr>
        <w:t>(</w:t>
      </w:r>
      <w:r>
        <w:t xml:space="preserve">usually one </w:t>
      </w:r>
      <w:r>
        <w:rPr>
          <w:rStyle w:val="Foreign"/>
        </w:rPr>
        <w:t>akṣara</w:t>
      </w:r>
      <w:r>
        <w:t>) as very uncertainly read</w:t>
      </w:r>
    </w:p>
    <w:p w14:paraId="03BBCE7F" w14:textId="2CED987E">
      <w:pPr>
        <w:pStyle w:val="Lista3"/>
      </w:pPr>
      <w:r>
        <w:t xml:space="preserve">in our terms, this is unclear with low certainty </w:t>
      </w:r>
      <w:r>
        <w:rPr>
          <w:noProof/>
        </w:rPr>
        <w:t>(</w:t>
      </w:r>
      <w:r>
        <w:t>§</w:t>
      </w:r>
      <w:r>
        <w:fldChar w:fldCharType="begin"/>
      </w:r>
      <w:r>
        <w:instrText xml:space="preserve"> REF _Ref43987867 \w \h  \* MERGEFORMAT </w:instrText>
      </w:r>
      <w:r>
        <w:fldChar w:fldCharType="separate"/>
      </w:r>
      <w:r>
        <w:t>6.3.1.3</w:t>
      </w:r>
      <w:r>
        <w:fldChar w:fldCharType="end"/>
      </w:r>
      <w:r>
        <w:t>)</w:t>
      </w:r>
    </w:p>
    <w:p w14:paraId="56ED888C" w14:textId="77777777">
      <w:pPr>
        <w:pStyle w:val="Lista2"/>
      </w:pPr>
      <w:r>
        <w:t>with text and a question mark inside, used in some publications as follows:</w:t>
      </w:r>
    </w:p>
    <w:p w14:paraId="719C355A" w14:textId="3EC7F288">
      <w:pPr>
        <w:pStyle w:val="Lista3"/>
      </w:pPr>
      <w:r>
        <w:rPr>
          <w:noProof/>
        </w:rPr>
        <w:t>(?abc)</w:t>
      </w:r>
      <w:r>
        <w:t xml:space="preserve">, with the question mark before the text, to indicate a possible alternative reading </w:t>
      </w:r>
      <w:r>
        <w:rPr>
          <w:noProof/>
        </w:rPr>
        <w:t>(</w:t>
      </w:r>
      <w:r>
        <w:t>§</w:t>
      </w:r>
      <w:r>
        <w:fldChar w:fldCharType="begin"/>
      </w:r>
      <w:r>
        <w:instrText xml:space="preserve"> REF _Ref43987339 \w \h  \* MERGEFORMAT </w:instrText>
      </w:r>
      <w:r>
        <w:fldChar w:fldCharType="separate"/>
      </w:r>
      <w:r>
        <w:t>6.3.2</w:t>
      </w:r>
      <w:r>
        <w:fldChar w:fldCharType="end"/>
      </w:r>
      <w:r>
        <w:t>)</w:t>
      </w:r>
    </w:p>
    <w:p w14:paraId="10B7BD60" w14:textId="5CBF85FA">
      <w:pPr>
        <w:pStyle w:val="Lista3"/>
      </w:pPr>
      <w:r>
        <w:rPr>
          <w:noProof/>
        </w:rPr>
        <w:t>(abc?)</w:t>
      </w:r>
      <w:r>
        <w:t xml:space="preserve">, with the question mark after the text, to indicate a tentative emendation </w:t>
      </w:r>
      <w:r>
        <w:rPr>
          <w:noProof/>
        </w:rPr>
        <w:t>(</w:t>
      </w:r>
      <w:r>
        <w:t>which we do not encode as such; the tentativeness of an emendation encoded as per §</w:t>
      </w:r>
      <w:r>
        <w:fldChar w:fldCharType="begin"/>
      </w:r>
      <w:r>
        <w:instrText xml:space="preserve"> REF _Ref228872858 \r \h </w:instrText>
      </w:r>
      <w:r>
        <w:fldChar w:fldCharType="separate"/>
      </w:r>
      <w:r>
        <w:t>7.5</w:t>
      </w:r>
      <w:r>
        <w:fldChar w:fldCharType="end"/>
      </w:r>
      <w:r>
        <w:t xml:space="preserve"> may be indicated in an apparatus note)</w:t>
      </w:r>
    </w:p>
    <w:p w14:paraId="73E8D321" w14:textId="77777777">
      <w:pPr>
        <w:pStyle w:val="Lista"/>
      </w:pPr>
      <w:r>
        <w:rPr>
          <w:b/>
          <w:bCs/>
        </w:rPr>
        <w:t>square brackets []</w:t>
      </w:r>
    </w:p>
    <w:p w14:paraId="45F88F3A" w14:textId="77777777">
      <w:pPr>
        <w:pStyle w:val="Lista2"/>
      </w:pPr>
      <w:r>
        <w:t>1. wrapping “letters which are much damaged and nearly illegible in the original”</w:t>
      </w:r>
    </w:p>
    <w:p w14:paraId="6B9B6FD2" w14:textId="6AF1131E">
      <w:pPr>
        <w:pStyle w:val="Lista3"/>
      </w:pPr>
      <w:r>
        <w:t xml:space="preserve">this normally corresponds to our “unclear” category </w:t>
      </w:r>
      <w:r>
        <w:rPr>
          <w:noProof/>
        </w:rPr>
        <w:t>(</w:t>
      </w:r>
      <w:r>
        <w:t>§</w:t>
      </w:r>
      <w:r>
        <w:fldChar w:fldCharType="begin"/>
      </w:r>
      <w:r>
        <w:instrText xml:space="preserve"> REF _Ref232089485 \r \h </w:instrText>
      </w:r>
      <w:r>
        <w:fldChar w:fldCharType="separate"/>
      </w:r>
      <w:r>
        <w:t>6.3.1</w:t>
      </w:r>
      <w:r>
        <w:fldChar w:fldCharType="end"/>
      </w:r>
      <w:r>
        <w:t>), in some cases with low certainty</w:t>
      </w:r>
    </w:p>
    <w:p w14:paraId="451DBDA1" w14:textId="77777777">
      <w:pPr>
        <w:pStyle w:val="Lista2"/>
      </w:pPr>
      <w:r>
        <w:t>2. wrapping “letters … which, being wholly illegible, can be supplied with certainty”</w:t>
      </w:r>
    </w:p>
    <w:p w14:paraId="2100AA86" w14:textId="288C2582">
      <w:pPr>
        <w:pStyle w:val="Lista3"/>
      </w:pPr>
      <w:r>
        <w:t xml:space="preserve">i.e. normally “supplied” in our terminology </w:t>
      </w:r>
      <w:r>
        <w:rPr>
          <w:noProof/>
        </w:rPr>
        <w:t>(</w:t>
      </w:r>
      <w:r>
        <w:t>§</w:t>
      </w:r>
      <w:r>
        <w:fldChar w:fldCharType="begin"/>
      </w:r>
      <w:r>
        <w:instrText xml:space="preserve"> REF _Ref228459751 \r \h </w:instrText>
      </w:r>
      <w:r>
        <w:fldChar w:fldCharType="separate"/>
      </w:r>
      <w:r>
        <w:t>6.4</w:t>
      </w:r>
      <w:r>
        <w:fldChar w:fldCharType="end"/>
      </w:r>
      <w:r>
        <w:t>)</w:t>
      </w:r>
    </w:p>
    <w:p w14:paraId="319A92C6" w14:textId="77777777">
      <w:pPr>
        <w:pStyle w:val="Lista3"/>
      </w:pPr>
      <w:r>
        <w:t>it is usually not possible to distinguish 2 from 1 without studying a facsimile of the inscription; if you cannot do this and you are only transcribing a printed edition to EpiDoc, encode both as unclear</w:t>
      </w:r>
    </w:p>
    <w:p w14:paraId="11FD8355" w14:textId="77777777">
      <w:pPr>
        <w:pStyle w:val="Lista2"/>
      </w:pPr>
      <w:r>
        <w:lastRenderedPageBreak/>
        <w:t xml:space="preserve">3. containing text followed by a question mark, </w:t>
      </w:r>
      <w:r>
        <w:rPr>
          <w:noProof/>
        </w:rPr>
        <w:t>[abc?]</w:t>
      </w:r>
      <w:r>
        <w:t xml:space="preserve"> is used by some editors to indicate tentatively or conjecturally read text</w:t>
      </w:r>
    </w:p>
    <w:p w14:paraId="45A41FB5" w14:textId="26CF9980">
      <w:pPr>
        <w:pStyle w:val="Lista3"/>
      </w:pPr>
      <w:r>
        <w:t xml:space="preserve">this usually corresponds to </w:t>
      </w:r>
      <w:r>
        <w:rPr>
          <w:rStyle w:val="Code"/>
        </w:rPr>
        <w:t>&lt;unclear&gt;</w:t>
      </w:r>
      <w:r>
        <w:t xml:space="preserve"> with low certainty </w:t>
      </w:r>
      <w:r>
        <w:rPr>
          <w:noProof/>
        </w:rPr>
        <w:t>(</w:t>
      </w:r>
      <w:r>
        <w:t>§</w:t>
      </w:r>
      <w:r>
        <w:fldChar w:fldCharType="begin"/>
      </w:r>
      <w:r>
        <w:instrText xml:space="preserve"> REF _Ref43987867 \r \h  \* MERGEFORMAT </w:instrText>
      </w:r>
      <w:r>
        <w:fldChar w:fldCharType="separate"/>
      </w:r>
      <w:r>
        <w:t>6.3.1.3</w:t>
      </w:r>
      <w:r>
        <w:fldChar w:fldCharType="end"/>
      </w:r>
      <w:r>
        <w:t>)</w:t>
      </w:r>
    </w:p>
    <w:p w14:paraId="446135B3" w14:textId="77777777">
      <w:pPr>
        <w:pStyle w:val="Lista2"/>
      </w:pPr>
      <w:r>
        <w:t xml:space="preserve">4. containing text followed by an asterisk, </w:t>
      </w:r>
      <w:r>
        <w:rPr>
          <w:noProof/>
        </w:rPr>
        <w:t>[abc*]</w:t>
      </w:r>
      <w:r>
        <w:t xml:space="preserve"> in principle means editorial restoration of characters omitted by the original scribe, but in the actual practice of some editors it seems to be used for function 2 above</w:t>
      </w:r>
    </w:p>
    <w:p w14:paraId="6055F0C9" w14:textId="1A59CA5C">
      <w:pPr>
        <w:pStyle w:val="Lista3"/>
      </w:pPr>
      <w:r>
        <w:t>for the editorial restitution of omission, see §</w:t>
      </w:r>
      <w:r>
        <w:fldChar w:fldCharType="begin"/>
      </w:r>
      <w:r>
        <w:instrText xml:space="preserve"> REF _Ref229056324 \r \h </w:instrText>
      </w:r>
      <w:r>
        <w:fldChar w:fldCharType="separate"/>
      </w:r>
      <w:r>
        <w:t>7.5.3</w:t>
      </w:r>
      <w:r>
        <w:fldChar w:fldCharType="end"/>
      </w:r>
      <w:r>
        <w:t xml:space="preserve"> </w:t>
      </w:r>
    </w:p>
    <w:p w14:paraId="5C034A46" w14:textId="130E8CC6">
      <w:pPr>
        <w:pStyle w:val="Lista4"/>
      </w:pPr>
      <w:r>
        <w:t xml:space="preserve">note that earlier editors usually supply punctuation marks and numbers in stanzas, which you should not do </w:t>
      </w:r>
      <w:r>
        <w:rPr>
          <w:noProof/>
        </w:rPr>
        <w:t>(</w:t>
      </w:r>
      <w:r>
        <w:t>§</w:t>
      </w:r>
      <w:r>
        <w:fldChar w:fldCharType="begin"/>
      </w:r>
      <w:r>
        <w:instrText xml:space="preserve"> REF _Ref229060537 \r \h </w:instrText>
      </w:r>
      <w:r>
        <w:fldChar w:fldCharType="separate"/>
      </w:r>
      <w:r>
        <w:t>7.8.3</w:t>
      </w:r>
      <w:r>
        <w:fldChar w:fldCharType="end"/>
      </w:r>
      <w:r>
        <w:t>)</w:t>
      </w:r>
    </w:p>
    <w:p w14:paraId="054557EB" w14:textId="77777777">
      <w:pPr>
        <w:pStyle w:val="Lista3"/>
      </w:pPr>
      <w:r>
        <w:t>if possible, look at a facsimile to check whether this editorial markup stands for a scribal omission or for lost and supplied text; if this is not possible, assume that square brackets with an asterisk stand for scribal omission</w:t>
      </w:r>
    </w:p>
    <w:p w14:paraId="504A88D8" w14:textId="6B1550F2">
      <w:pPr>
        <w:pStyle w:val="Lista2"/>
      </w:pPr>
      <w:r>
        <w:t>5. prosodic notation in square brackets indicates a lacuna of known metre, to be marked up as per §</w:t>
      </w:r>
      <w:r>
        <w:fldChar w:fldCharType="begin"/>
      </w:r>
      <w:r>
        <w:instrText xml:space="preserve"> REF _Ref228275301 \r \h </w:instrText>
      </w:r>
      <w:r>
        <w:fldChar w:fldCharType="separate"/>
      </w:r>
      <w:r>
        <w:t>6.5.2.3</w:t>
      </w:r>
      <w:r>
        <w:fldChar w:fldCharType="end"/>
      </w:r>
    </w:p>
    <w:p w14:paraId="5670A254" w14:textId="77777777">
      <w:pPr>
        <w:pStyle w:val="Lista"/>
      </w:pPr>
      <w:r>
        <w:t>plain transliterated text</w:t>
      </w:r>
    </w:p>
    <w:p w14:paraId="3A1064E1" w14:textId="77777777">
      <w:pPr>
        <w:pStyle w:val="Lista2"/>
      </w:pPr>
      <w:r>
        <w:t>bear in mind that unclear markup in EpiDoc should be used when the interpretation of a character would be ambiguous without its context, i.e. more frequently than in most earlier printed editions</w:t>
      </w:r>
    </w:p>
    <w:p w14:paraId="21FAE8F4" w14:textId="77777777">
      <w:pPr>
        <w:pStyle w:val="Lista2"/>
      </w:pPr>
      <w:r>
        <w:t xml:space="preserve">the same applies, to a lesser degree, to restorations: if a character </w:t>
      </w:r>
      <w:r>
        <w:rPr>
          <w:noProof/>
        </w:rPr>
        <w:t>(</w:t>
      </w:r>
      <w:r>
        <w:t>or component) is completely indistinct in a good facsimile or the original support, feel free to mark it up as supplied even if the print edition shows it as merely unclear or clearly read</w:t>
      </w:r>
    </w:p>
    <w:p w14:paraId="31C78A9E" w14:textId="77777777">
      <w:pPr>
        <w:pStyle w:val="Lista"/>
      </w:pPr>
      <w:r>
        <w:t>dots or other signs indicating lacunae</w:t>
      </w:r>
    </w:p>
    <w:p w14:paraId="4F1DAF28" w14:textId="77777777">
      <w:pPr>
        <w:pStyle w:val="Lista2"/>
      </w:pPr>
      <w:r>
        <w:t xml:space="preserve">CII normally uses dots for lacunae, roughly indicating their size by the rule of “two dots correspond to one </w:t>
      </w:r>
      <w:r>
        <w:rPr>
          <w:rStyle w:val="Foreign"/>
        </w:rPr>
        <w:t>akṣara</w:t>
      </w:r>
      <w:r>
        <w:t xml:space="preserve">” </w:t>
      </w:r>
      <w:r>
        <w:rPr>
          <w:noProof/>
        </w:rPr>
        <w:t>(</w:t>
      </w:r>
      <w:r>
        <w:t>single dots may mean a lost vowel or a lost consonant)</w:t>
      </w:r>
    </w:p>
    <w:p w14:paraId="40D5709E" w14:textId="77777777">
      <w:pPr>
        <w:pStyle w:val="Lista2"/>
      </w:pPr>
      <w:r>
        <w:t xml:space="preserve">other editors may use asterisks or underscores, each corresponding to an </w:t>
      </w:r>
      <w:r>
        <w:rPr>
          <w:rStyle w:val="Foreign"/>
        </w:rPr>
        <w:t>akṣara</w:t>
      </w:r>
      <w:r>
        <w:t>, though this correspondence may be extremely inaccurate in some editions</w:t>
      </w:r>
    </w:p>
    <w:p w14:paraId="574E2421" w14:textId="49DB2BAA">
      <w:pPr>
        <w:pStyle w:val="Lista2"/>
      </w:pPr>
      <w:r>
        <w:t>see §</w:t>
      </w:r>
      <w:r>
        <w:fldChar w:fldCharType="begin"/>
      </w:r>
      <w:r>
        <w:instrText xml:space="preserve"> REF _Ref228460110 \r \h </w:instrText>
      </w:r>
      <w:r>
        <w:fldChar w:fldCharType="separate"/>
      </w:r>
      <w:r>
        <w:t>6.5</w:t>
      </w:r>
      <w:r>
        <w:fldChar w:fldCharType="end"/>
      </w:r>
      <w:r>
        <w:t xml:space="preserve"> about handling lacunae in EpiDoc</w:t>
      </w:r>
    </w:p>
    <w:p w14:paraId="6BCCF1CF" w14:textId="77777777">
      <w:pPr>
        <w:pStyle w:val="Cmsor2"/>
        <w:numPr>
          <w:ilvl w:val="1"/>
          <w:numId w:val="7"/>
        </w:numPr>
      </w:pPr>
      <w:bookmarkStart w:id="1165" w:name="_Toc243922843"/>
      <w:r>
        <w:t>Assimilating Pre-existing Corpora into DHARMA</w:t>
      </w:r>
      <w:bookmarkEnd w:id="1165"/>
    </w:p>
    <w:p w14:paraId="30657AA7" w14:textId="77777777">
      <w:pPr>
        <w:pStyle w:val="Cmsor3"/>
        <w:numPr>
          <w:ilvl w:val="2"/>
          <w:numId w:val="7"/>
        </w:numPr>
      </w:pPr>
      <w:bookmarkStart w:id="1166" w:name="_Toc243922844"/>
      <w:r>
        <w:t>Crediting the previous digital editor(s)</w:t>
      </w:r>
      <w:bookmarkEnd w:id="1166"/>
    </w:p>
    <w:p w14:paraId="401F143C" w14:textId="28000EAC">
      <w:r>
        <w:t>As per §</w:t>
      </w:r>
      <w:r>
        <w:fldChar w:fldCharType="begin"/>
      </w:r>
      <w:r>
        <w:instrText xml:space="preserve"> REF _Ref240273632 \r \h </w:instrText>
      </w:r>
      <w:r>
        <w:fldChar w:fldCharType="separate"/>
      </w:r>
      <w:r>
        <w:t>15.1.2</w:t>
      </w:r>
      <w:r>
        <w:fldChar w:fldCharType="end"/>
      </w:r>
      <w:r>
        <w:t>, the responsibility statement in the TEI header need only mention the people who have worked on the current DHARMA edition. Credit to the creator of a pre-existing digital edition shall be given in the form of free text in the epigraphic lemma (§</w:t>
      </w:r>
      <w:r>
        <w:fldChar w:fldCharType="begin"/>
      </w:r>
      <w:r>
        <w:instrText xml:space="preserve"> REF _Ref233623221 \r \h </w:instrText>
      </w:r>
      <w:r>
        <w:fldChar w:fldCharType="separate"/>
      </w:r>
      <w:r>
        <w:t>13.2</w:t>
      </w:r>
      <w:r>
        <w:fldChar w:fldCharType="end"/>
      </w:r>
      <w:r>
        <w:t>) in the same way as for pre-existing printed editions.</w:t>
      </w:r>
    </w:p>
    <w:p w14:paraId="03582B26" w14:textId="77777777">
      <w:pPr>
        <w:pStyle w:val="Lista"/>
      </w:pPr>
      <w:r>
        <w:t>if you use an unencoded e-text as a starting point for your edition, choose at your discretion whether or not to mention the creator of the e-text, based on the amount and quality of work that had gone into it</w:t>
      </w:r>
    </w:p>
    <w:p w14:paraId="687C131D" w14:textId="77777777">
      <w:pPr>
        <w:pStyle w:val="Lista"/>
      </w:pPr>
      <w:r>
        <w:t>the same part of the epigraphic lemma should also mention whether you, as the creator of the DHARMA edition, have only updated the encoding to the DHARMA standard or also revised the edition</w:t>
      </w:r>
    </w:p>
    <w:p w14:paraId="7AF63638" w14:textId="77777777">
      <w:pPr>
        <w:pStyle w:val="Cmsor3"/>
        <w:numPr>
          <w:ilvl w:val="2"/>
          <w:numId w:val="7"/>
        </w:numPr>
      </w:pPr>
      <w:bookmarkStart w:id="1167" w:name="_Toc243922845"/>
      <w:r>
        <w:t>Referring to the ingested digital edition</w:t>
      </w:r>
      <w:bookmarkEnd w:id="1167"/>
    </w:p>
    <w:p w14:paraId="528AF7C1" w14:textId="176229EA">
      <w:r>
        <w:t>The preferred manner of referring to digital editions encoded before or outside the DHARMA project and reused for a DHARMA edition is to create a Zotero entry (item type: dataset) for a long-term archival version of the corpus in question (such as one stored on Zenodo), and then to refer to specific editions as “items” (§</w:t>
      </w:r>
      <w:r>
        <w:fldChar w:fldCharType="begin"/>
      </w:r>
      <w:r>
        <w:instrText xml:space="preserve"> REF _Ref233811283 \r \h </w:instrText>
      </w:r>
      <w:r>
        <w:fldChar w:fldCharType="separate"/>
      </w:r>
      <w:r>
        <w:t>14.6.1.2</w:t>
      </w:r>
      <w:r>
        <w:fldChar w:fldCharType="end"/>
      </w:r>
      <w:r>
        <w:t>) within that corpus. This ensures that the ingested edition can still be accessed at a future time, and be accessed exactly in the form in which it was used as a starting point for a DHARMA edition. Conversely, project websites where digital editions were originally published may become defunct or evolve over time. That said, feel free to deviate from this recommendation after considering the nature and foreseeable future of the digital edition you are ingesting.</w:t>
      </w:r>
    </w:p>
    <w:p w14:paraId="384F993B" w14:textId="77777777">
      <w:pPr>
        <w:pStyle w:val="Lista"/>
        <w:rPr>
          <w:rStyle w:val="Code"/>
          <w:rFonts w:ascii="Gentium" w:hAnsi="Gentium" w:cs="Tiro Devanagari Sanskrit"/>
          <w:noProof w:val="0"/>
          <w:color w:val="auto"/>
          <w:shd w:val="clear" w:color="auto" w:fill="auto"/>
        </w:rPr>
      </w:pPr>
      <w:r>
        <w:t xml:space="preserve">an encoded example of the preferred form of reference: </w:t>
      </w:r>
      <w:r>
        <w:rPr>
          <w:rStyle w:val="Code"/>
        </w:rPr>
        <w:t xml:space="preserve">&lt;bibl&gt;&lt;ptr </w:t>
      </w:r>
      <w:r>
        <w:rPr>
          <w:rStyle w:val="Codeattribute"/>
        </w:rPr>
        <w:t>target=</w:t>
      </w:r>
      <w:r>
        <w:rPr>
          <w:rStyle w:val="Codevalue"/>
        </w:rPr>
        <w:t>"bib:Balogh2019_03"</w:t>
      </w:r>
      <w:r>
        <w:rPr>
          <w:rStyle w:val="Code"/>
        </w:rPr>
        <w:t xml:space="preserve">/&gt;&lt;citedRange </w:t>
      </w:r>
      <w:r>
        <w:rPr>
          <w:rStyle w:val="Codeattribute"/>
        </w:rPr>
        <w:t>unit=</w:t>
      </w:r>
      <w:r>
        <w:rPr>
          <w:rStyle w:val="Codevalue"/>
        </w:rPr>
        <w:t>"item"</w:t>
      </w:r>
      <w:r>
        <w:rPr>
          <w:rStyle w:val="Code"/>
        </w:rPr>
        <w:t>&gt;</w:t>
      </w:r>
      <w:r>
        <w:rPr>
          <w:rStyle w:val="Codetext"/>
        </w:rPr>
        <w:t>IN00070</w:t>
      </w:r>
      <w:r>
        <w:rPr>
          <w:rStyle w:val="Code"/>
        </w:rPr>
        <w:t>&lt;/citedRange&gt;&lt;/bibl&gt;</w:t>
      </w:r>
    </w:p>
    <w:p w14:paraId="60B63869" w14:textId="00053369">
      <w:pPr>
        <w:pStyle w:val="Lista"/>
      </w:pPr>
      <w:r>
        <w:lastRenderedPageBreak/>
        <w:t>such a reference shall be included in the primary bibliography of the DHARMA edition with a siglum (§</w:t>
      </w:r>
      <w:r>
        <w:fldChar w:fldCharType="begin"/>
      </w:r>
      <w:r>
        <w:instrText xml:space="preserve"> REF _Ref233625904 \r \h </w:instrText>
      </w:r>
      <w:r>
        <w:fldChar w:fldCharType="separate"/>
      </w:r>
      <w:r>
        <w:t>13.3.3</w:t>
      </w:r>
      <w:r>
        <w:fldChar w:fldCharType="end"/>
      </w:r>
      <w:r>
        <w:t>) that allows citing its readings in the apparatus if applicable</w:t>
      </w:r>
    </w:p>
    <w:p w14:paraId="499EF507" w14:textId="77777777">
      <w:pPr>
        <w:pStyle w:val="Lista2"/>
      </w:pPr>
      <w:r>
        <w:t>whether or not you cite readings of the earlier digital edition in your apparatus shall be decided on a case by case basis depending on</w:t>
      </w:r>
    </w:p>
    <w:p w14:paraId="722AE20F" w14:textId="77777777">
      <w:pPr>
        <w:pStyle w:val="Lista3"/>
      </w:pPr>
      <w:r>
        <w:t>how you judge the extent of intellectual contribution of the earlier editor to the edition</w:t>
      </w:r>
    </w:p>
    <w:p w14:paraId="722F5574" w14:textId="77777777">
      <w:pPr>
        <w:pStyle w:val="Lista4"/>
      </w:pPr>
      <w:r>
        <w:t>if the earlier digital edition is just a “digital facsimile” of a printed edition, then preferably cite the readings from that printed edition instead</w:t>
      </w:r>
    </w:p>
    <w:p w14:paraId="1CEE34A9" w14:textId="77777777">
      <w:pPr>
        <w:pStyle w:val="Lista3"/>
      </w:pPr>
      <w:r>
        <w:t>and on whether or not you collaborate with the earlier editor in creating the DHARMA edition</w:t>
      </w:r>
    </w:p>
    <w:p w14:paraId="7966F20F" w14:textId="77777777">
      <w:pPr>
        <w:pStyle w:val="Lista4"/>
      </w:pPr>
      <w:r>
        <w:t>if the earlier editor is one of the creators of the current DHARMA edition, then citing to earlier readings by the same person is usually not essential</w:t>
      </w:r>
    </w:p>
    <w:p w14:paraId="7D613244" w14:textId="77777777">
      <w:pPr>
        <w:pStyle w:val="Cmsor3"/>
        <w:numPr>
          <w:ilvl w:val="2"/>
          <w:numId w:val="7"/>
        </w:numPr>
      </w:pPr>
      <w:bookmarkStart w:id="1168" w:name="_Toc243922846"/>
      <w:r>
        <w:t>Manual revision of the encoding</w:t>
      </w:r>
      <w:bookmarkEnd w:id="1168"/>
    </w:p>
    <w:p w14:paraId="14D24E9F" w14:textId="77777777">
      <w:pPr>
        <w:pStyle w:val="Lista"/>
      </w:pPr>
      <w:r>
        <w:t>what kind of revision is necessary depends on the specific encoding conventions of the ingested document, but in general you will probably need to pay attention to the following details</w:t>
      </w:r>
    </w:p>
    <w:p w14:paraId="631EDD3C" w14:textId="77777777">
      <w:pPr>
        <w:pStyle w:val="Lista2"/>
      </w:pPr>
      <w:r>
        <w:t>check editorial punctuation (§6.3.6) and change as desired or remove where not applicable (e.g. at the ends of stanzas and hemistichs)</w:t>
      </w:r>
    </w:p>
    <w:p w14:paraId="321A3ED5" w14:textId="77777777">
      <w:pPr>
        <w:pStyle w:val="Lista2"/>
      </w:pPr>
      <w:r>
        <w:t>check encoded spaces (§4.3) and supply as applicable</w:t>
      </w:r>
    </w:p>
    <w:p w14:paraId="33E94AC5" w14:textId="137E5126">
      <w:pPr>
        <w:pStyle w:val="Lista2"/>
      </w:pPr>
      <w:r>
        <w:t>encode abbreviations (§</w:t>
      </w:r>
      <w:r>
        <w:fldChar w:fldCharType="begin"/>
      </w:r>
      <w:r>
        <w:instrText xml:space="preserve"> REF _Ref232002201 \r \h </w:instrText>
      </w:r>
      <w:r>
        <w:fldChar w:fldCharType="separate"/>
      </w:r>
      <w:r>
        <w:t>9.2</w:t>
      </w:r>
      <w:r>
        <w:fldChar w:fldCharType="end"/>
      </w:r>
      <w:r>
        <w:t>) as desired and applicable</w:t>
      </w:r>
    </w:p>
    <w:p w14:paraId="17E635CB" w14:textId="77777777">
      <w:pPr>
        <w:pStyle w:val="Lista2"/>
      </w:pPr>
      <w:r>
        <w:t xml:space="preserve">check editorial </w:t>
      </w:r>
      <w:r>
        <w:rPr>
          <w:rStyle w:val="Foreign"/>
        </w:rPr>
        <w:t>avagraha</w:t>
      </w:r>
      <w:r>
        <w:t>s (§6.3.7) and supply as desired</w:t>
      </w:r>
    </w:p>
    <w:p w14:paraId="75AA787F" w14:textId="293AD74A">
      <w:pPr>
        <w:pStyle w:val="Lista"/>
      </w:pPr>
      <w:r>
        <w:t xml:space="preserve">any </w:t>
      </w:r>
      <w:r>
        <w:rPr>
          <w:rStyle w:val="Code"/>
        </w:rPr>
        <w:t>&lt;revisionDesc&gt;</w:t>
      </w:r>
      <w:r>
        <w:t xml:space="preserve"> content present in the ingested document shall be deleted and replaced with a single </w:t>
      </w:r>
      <w:r>
        <w:rPr>
          <w:rStyle w:val="Code"/>
        </w:rPr>
        <w:t>&lt;change&gt;</w:t>
      </w:r>
      <w:r>
        <w:t xml:space="preserve"> element for the creation of the DHARMA edition as per §</w:t>
      </w:r>
      <w:r>
        <w:fldChar w:fldCharType="begin"/>
      </w:r>
      <w:r>
        <w:instrText xml:space="preserve"> REF _Ref240276652 \r \h </w:instrText>
      </w:r>
      <w:r>
        <w:fldChar w:fldCharType="separate"/>
      </w:r>
      <w:r>
        <w:t>15.3</w:t>
      </w:r>
      <w:r>
        <w:fldChar w:fldCharType="end"/>
      </w:r>
    </w:p>
    <w:p w14:paraId="27DD927B" w14:textId="77777777">
      <w:pPr>
        <w:pStyle w:val="Lista2"/>
      </w:pPr>
      <w:r>
        <w:t xml:space="preserve">if the revision of the encoding takes place in steps separated by time, add further </w:t>
      </w:r>
      <w:r>
        <w:rPr>
          <w:rStyle w:val="Code"/>
        </w:rPr>
        <w:t>&lt;change&gt;</w:t>
      </w:r>
      <w:r>
        <w:t xml:space="preserve"> elements as applicable</w:t>
      </w:r>
    </w:p>
    <w:p w14:paraId="7A493359" w14:textId="77777777"/>
    <w:p w14:paraId="6543E626" w14:textId="77777777"/>
    <w:p w14:paraId="78E133B7" w14:textId="77777777">
      <w:pPr>
        <w:pStyle w:val="Cmsor1"/>
        <w:numPr>
          <w:ilvl w:val="0"/>
          <w:numId w:val="0"/>
        </w:numPr>
      </w:pPr>
      <w:bookmarkStart w:id="1169" w:name="_td0xcb1s1fvx" w:colFirst="0" w:colLast="0"/>
      <w:bookmarkStart w:id="1170" w:name="_Toc243922847"/>
      <w:bookmarkEnd w:id="1169"/>
      <w:r>
        <w:lastRenderedPageBreak/>
        <w:t>References</w:t>
      </w:r>
      <w:bookmarkEnd w:id="1170"/>
    </w:p>
    <w:p w14:paraId="7289F39B" w14:textId="77777777">
      <w:pPr>
        <w:pStyle w:val="Irodalomjegyzk"/>
      </w:pPr>
      <w:r>
        <w:t xml:space="preserve">Apte, Vaman Shivaram. 1957. </w:t>
      </w:r>
      <w:r>
        <w:rPr>
          <w:rStyle w:val="Foreign"/>
        </w:rPr>
        <w:t>Revised and enlarged edition of Prin. V. S. Apte’s The practical Sanskrit-English dictionary</w:t>
      </w:r>
      <w:r>
        <w:t>. Edited by P. K. Gode and C. G. Karve. Poona: Prasad Prakashan.</w:t>
      </w:r>
    </w:p>
    <w:p w14:paraId="31537287" w14:textId="77777777">
      <w:pPr>
        <w:pStyle w:val="Irodalomjegyzk"/>
      </w:pPr>
      <w:r>
        <w:t xml:space="preserve">Arnold, Edward Vernon. 1905. </w:t>
      </w:r>
      <w:r>
        <w:rPr>
          <w:rStyle w:val="Foreign"/>
        </w:rPr>
        <w:t>Vedic Metre in Its Historical Development</w:t>
      </w:r>
      <w:r>
        <w:t>. Cambridge: Cambridge University Press.</w:t>
      </w:r>
    </w:p>
    <w:p w14:paraId="695D6A33" w14:textId="2A5AAFA5">
      <w:pPr>
        <w:pStyle w:val="Irodalomjegyzk"/>
      </w:pPr>
      <w:r>
        <w:t xml:space="preserve">Birnbaum, David J. 2015. </w:t>
      </w:r>
      <w:r>
        <w:rPr>
          <w:rStyle w:val="Foreign"/>
        </w:rPr>
        <w:t>What is XML and why should humanists care? An even gentler introduction to XML</w:t>
      </w:r>
      <w:r>
        <w:t xml:space="preserve">. </w:t>
      </w:r>
      <w:hyperlink r:id="rId87" w:history="1">
        <w:r>
          <w:rPr>
            <w:rStyle w:val="Hiperhivatkozs"/>
          </w:rPr>
          <w:t>http://dh.obdurodon.org/what-is-xml.xhtml</w:t>
        </w:r>
      </w:hyperlink>
      <w:r>
        <w:rPr>
          <w:rStyle w:val="Hiperhivatkozs"/>
        </w:rPr>
        <w:t xml:space="preserve"> </w:t>
      </w:r>
    </w:p>
    <w:p w14:paraId="3FC01978" w14:textId="4D9CDFC6">
      <w:pPr>
        <w:pStyle w:val="Irodalomjegyzk"/>
      </w:pPr>
      <w:r>
        <w:t xml:space="preserve">Bodard, Gabriel. 2010. ‘EpiDoc: Epigraphic Documents in XML for Publication and Interchange’. In </w:t>
      </w:r>
      <w:r>
        <w:rPr>
          <w:rStyle w:val="Foreign"/>
        </w:rPr>
        <w:t>Latin on Stone: Epigraphic Research and Electronic Archives</w:t>
      </w:r>
      <w:r>
        <w:t xml:space="preserve">, edited by Francisca </w:t>
      </w:r>
      <w:r>
        <w:rPr>
          <w:noProof/>
        </w:rPr>
        <w:t>Feraudi-Gruénais</w:t>
      </w:r>
      <w:r>
        <w:t xml:space="preserve">, 101–18. Lanham: Lexington Books. </w:t>
      </w:r>
      <w:hyperlink r:id="rId88" w:history="1">
        <w:r>
          <w:rPr>
            <w:rStyle w:val="Hiperhivatkozs"/>
          </w:rPr>
          <w:t>https://blog.stoa.org/files/2010/09/Chapter05_EpiDoc_Bodard.pdf</w:t>
        </w:r>
      </w:hyperlink>
    </w:p>
    <w:p w14:paraId="0E20CE0E" w14:textId="77777777">
      <w:pPr>
        <w:pStyle w:val="Irodalomjegyzk"/>
      </w:pPr>
      <w:r>
        <w:rPr>
          <w:noProof/>
        </w:rPr>
        <w:t>Damais</w:t>
      </w:r>
      <w:r>
        <w:t>, Louis-Charles. 1952. ‘</w:t>
      </w:r>
      <w:r>
        <w:rPr>
          <w:noProof/>
        </w:rPr>
        <w:t xml:space="preserve">Études d’épigraphie indonésienne, III: liste des principales inscriptions datées de l’Indonésie’. </w:t>
      </w:r>
      <w:r>
        <w:rPr>
          <w:i/>
          <w:iCs/>
          <w:noProof/>
        </w:rPr>
        <w:t>Bulletin de l’École française d’Extrême-Orient</w:t>
      </w:r>
      <w:r>
        <w:t xml:space="preserve"> 46 </w:t>
      </w:r>
      <w:r>
        <w:rPr>
          <w:noProof/>
        </w:rPr>
        <w:t>(</w:t>
      </w:r>
      <w:r>
        <w:t>1): 1–105.</w:t>
      </w:r>
    </w:p>
    <w:p w14:paraId="1B8DA15E" w14:textId="77777777">
      <w:pPr>
        <w:pStyle w:val="Irodalomjegyzk"/>
      </w:pPr>
      <w:r>
        <w:t xml:space="preserve">Fleet, John Faithfull. 1888. </w:t>
      </w:r>
      <w:r>
        <w:rPr>
          <w:rStyle w:val="Foreign"/>
        </w:rPr>
        <w:t>Inscriptions of the Early Gupta Kings and Their Successors</w:t>
      </w:r>
      <w:r>
        <w:t>. Corpus Inscriptionum Indicarum, III. Calcutta: Superintendent of Government Printing.</w:t>
      </w:r>
    </w:p>
    <w:p w14:paraId="0EDCE52C" w14:textId="69BE8F88">
      <w:pPr>
        <w:pStyle w:val="Irodalomjegyzk"/>
      </w:pPr>
      <w:r>
        <w:rPr>
          <w:noProof/>
        </w:rPr>
        <w:t>Roueché</w:t>
      </w:r>
      <w:r>
        <w:t xml:space="preserve">, Charlotte and Julia Flanders. n. d. </w:t>
      </w:r>
      <w:r>
        <w:rPr>
          <w:rStyle w:val="Foreign"/>
        </w:rPr>
        <w:t>The Gentle Introduction to Mark-up for Epigraphers</w:t>
      </w:r>
      <w:r>
        <w:t xml:space="preserve">, </w:t>
      </w:r>
      <w:hyperlink r:id="rId89" w:history="1">
        <w:r>
          <w:rPr>
            <w:rStyle w:val="Hiperhivatkozs"/>
          </w:rPr>
          <w:t>https://epidoc.stoa.org/gl/latest/intro-eps.html</w:t>
        </w:r>
      </w:hyperlink>
    </w:p>
    <w:p w14:paraId="6A5905D0" w14:textId="77777777">
      <w:pPr>
        <w:pStyle w:val="Irodalomjegyzk"/>
      </w:pPr>
      <w:r>
        <w:rPr>
          <w:noProof/>
        </w:rPr>
        <w:t>Tanselle</w:t>
      </w:r>
      <w:r>
        <w:t xml:space="preserve">, George Thomas. 1989. </w:t>
      </w:r>
      <w:r>
        <w:rPr>
          <w:i/>
          <w:iCs/>
        </w:rPr>
        <w:t>A Rationale of Textual Criticism</w:t>
      </w:r>
      <w:r>
        <w:t>. Philadelphia: University of Pennsylvania Press.</w:t>
      </w:r>
    </w:p>
    <w:p w14:paraId="7440E5D5" w14:textId="4F1E55E6">
      <w:pPr>
        <w:pStyle w:val="Irodalomjegyzk"/>
      </w:pPr>
      <w:r>
        <w:t xml:space="preserve">TEI Consortium, eds. 2023. </w:t>
      </w:r>
      <w:r>
        <w:rPr>
          <w:i/>
          <w:iCs/>
        </w:rPr>
        <w:t>TEI P5: Guidelines for Electronic Text Encoding and Interchange.</w:t>
      </w:r>
      <w:r>
        <w:t xml:space="preserve"> Version 4.6.0, last updated 4 April 2023, accessed November-December 2023. TEI Consortium. </w:t>
      </w:r>
      <w:hyperlink r:id="rId90" w:history="1">
        <w:r>
          <w:rPr>
            <w:rStyle w:val="Hiperhivatkozs"/>
          </w:rPr>
          <w:t>http://www.tei-c.org/Guidelines/P5/</w:t>
        </w:r>
      </w:hyperlink>
      <w:r>
        <w:t xml:space="preserve"> </w:t>
      </w:r>
    </w:p>
    <w:sectPr>
      <w:footerReference w:type="even" r:id="rId91"/>
      <w:footerReference w:type="default" r:id="rId92"/>
      <w:pgSz w:w="11906" w:h="16838" w:code="9"/>
      <w:pgMar w:top="1134" w:right="1134" w:bottom="1134" w:left="1134"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69933" w14:textId="77777777">
      <w:pPr>
        <w:spacing w:line="240" w:lineRule="auto"/>
      </w:pPr>
      <w:r>
        <w:separator/>
      </w:r>
    </w:p>
  </w:endnote>
  <w:endnote w:type="continuationSeparator" w:id="0">
    <w:p w14:paraId="7A42BA5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ntium Plus">
    <w:altName w:val="Calibri"/>
    <w:panose1 w:val="02000503060000020004"/>
    <w:charset w:val="00"/>
    <w:family w:val="auto"/>
    <w:pitch w:val="variable"/>
    <w:sig w:usb0="E00003FF" w:usb1="5200E1FF" w:usb2="0A000029" w:usb3="00000000" w:csb0="0000019F" w:csb1="00000000"/>
  </w:font>
  <w:font w:name="Arial Unicode MS">
    <w:panose1 w:val="020B0604020202020204"/>
    <w:charset w:val="80"/>
    <w:family w:val="swiss"/>
    <w:pitch w:val="variable"/>
    <w:sig w:usb0="F7FFAFFF" w:usb1="E9DFFFFF" w:usb2="0000003F" w:usb3="00000000" w:csb0="003F01FF" w:csb1="00000000"/>
  </w:font>
  <w:font w:name="Gentium">
    <w:panose1 w:val="02000503060000020004"/>
    <w:charset w:val="00"/>
    <w:family w:val="auto"/>
    <w:pitch w:val="variable"/>
    <w:sig w:usb0="E00003FF" w:usb1="5200E5FF" w:usb2="0A000029" w:usb3="00000000" w:csb0="0000019F" w:csb1="00000000"/>
    <w:embedRegular r:id="rId1" w:fontKey="{6496632B-9A52-4457-B6B6-8D4BF936676C}"/>
    <w:embedBold r:id="rId2" w:fontKey="{C854832A-7493-4AC3-B172-0786D1A16136}"/>
    <w:embedItalic r:id="rId3" w:fontKey="{8FB3AC90-B627-4333-94D1-4F14BC6FE337}"/>
    <w:embedBoldItalic r:id="rId4" w:fontKey="{40B71984-7AA8-4435-A40F-3418883564BF}"/>
  </w:font>
  <w:font w:name="Cambria">
    <w:panose1 w:val="02040503050406030204"/>
    <w:charset w:val="00"/>
    <w:family w:val="roman"/>
    <w:pitch w:val="variable"/>
    <w:sig w:usb0="E00006FF" w:usb1="420024FF" w:usb2="02000000" w:usb3="00000000" w:csb0="0000019F" w:csb1="00000000"/>
    <w:embedRegular r:id="rId5" w:subsetted="1" w:fontKey="{5FD3F57D-F2B2-426C-B77E-D17DB1950B13}"/>
  </w:font>
  <w:font w:name="Tiro Devanagari Sanskrit">
    <w:altName w:val="Mangal"/>
    <w:panose1 w:val="02000000000000000000"/>
    <w:charset w:val="00"/>
    <w:family w:val="auto"/>
    <w:pitch w:val="variable"/>
    <w:sig w:usb0="00008003" w:usb1="00000000" w:usb2="00000000" w:usb3="00000000" w:csb0="00000001" w:csb1="00000000"/>
    <w:embedRegular r:id="rId6" w:fontKey="{CA11794D-FDB5-47A8-8DE6-24AA2D0B3A07}"/>
    <w:embedBold r:id="rId7" w:fontKey="{0CBC8607-3E29-463C-B0A3-241658885D7A}"/>
    <w:embedItalic r:id="rId8" w:fontKey="{9A9FF083-E1D8-44A0-B336-50EE198DD415}"/>
    <w:embedBoldItalic r:id="rId9" w:fontKey="{0A2385C4-9870-4389-8C8A-585C21EEBCB4}"/>
  </w:font>
  <w:font w:name="Calibri">
    <w:panose1 w:val="020F0502020204030204"/>
    <w:charset w:val="00"/>
    <w:family w:val="swiss"/>
    <w:pitch w:val="variable"/>
    <w:sig w:usb0="E4002EFF" w:usb1="C200247B" w:usb2="00000009" w:usb3="00000000" w:csb0="000001FF" w:csb1="00000000"/>
    <w:embedRegular r:id="rId10" w:fontKey="{5580ECF3-658C-4B72-B9EF-7BAE27B165B8}"/>
    <w:embedBold r:id="rId11" w:fontKey="{E4EA5369-D8F5-45E5-B58C-446DD4FA219B}"/>
    <w:embedItalic r:id="rId12" w:fontKey="{3D433687-8F72-4523-99E4-D7B140F0E587}"/>
    <w:embedBoldItalic r:id="rId13" w:fontKey="{65784A0E-1786-41A4-A88D-275199BF14F0}"/>
  </w:font>
  <w:font w:name="Tahoma">
    <w:panose1 w:val="020B0604030504040204"/>
    <w:charset w:val="EE"/>
    <w:family w:val="swiss"/>
    <w:pitch w:val="variable"/>
    <w:sig w:usb0="E1002EFF" w:usb1="C000605B" w:usb2="00000029" w:usb3="00000000" w:csb0="000101FF" w:csb1="00000000"/>
  </w:font>
  <w:font w:name="Murty Sanskrit">
    <w:altName w:val="Mangal"/>
    <w:panose1 w:val="00000000000000000000"/>
    <w:charset w:val="00"/>
    <w:family w:val="modern"/>
    <w:notTrueType/>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embedRegular r:id="rId14" w:fontKey="{D110C0F6-0FAD-452B-A9B2-D7EC8AC84681}"/>
    <w:embedBold r:id="rId15" w:fontKey="{89331F87-58FB-4F63-BC35-F818D16F6345}"/>
    <w:embedItalic r:id="rId16" w:fontKey="{80DBC0C4-1A28-4A90-A6E4-6EFDE3993A22}"/>
  </w:font>
  <w:font w:name="Tiro Kannada">
    <w:panose1 w:val="02000000000000000000"/>
    <w:charset w:val="00"/>
    <w:family w:val="auto"/>
    <w:pitch w:val="variable"/>
    <w:sig w:usb0="A040806F" w:usb1="0000200A" w:usb2="00000000" w:usb3="00000000" w:csb0="00000001" w:csb1="00000000"/>
  </w:font>
  <w:font w:name="Tiro Tamil">
    <w:panose1 w:val="02000000000000000000"/>
    <w:charset w:val="00"/>
    <w:family w:val="auto"/>
    <w:pitch w:val="variable"/>
    <w:sig w:usb0="A010806F" w:usb1="0000200A" w:usb2="00000000" w:usb3="00000000" w:csb0="00000001" w:csb1="00000000"/>
    <w:embedRegular r:id="rId17" w:subsetted="1" w:fontKey="{8309F7D7-EEC2-4A3B-83EE-9404AFBCDE14}"/>
  </w:font>
  <w:font w:name="Noto Sans Balinese">
    <w:panose1 w:val="020B0502040504020204"/>
    <w:charset w:val="00"/>
    <w:family w:val="swiss"/>
    <w:pitch w:val="variable"/>
    <w:sig w:usb0="00000003" w:usb1="00000000" w:usb2="00000000" w:usb3="00000000" w:csb0="00000001" w:csb1="00000000"/>
  </w:font>
  <w:font w:name="Leelawadee UI">
    <w:panose1 w:val="020B0502040204020203"/>
    <w:charset w:val="00"/>
    <w:family w:val="swiss"/>
    <w:pitch w:val="variable"/>
    <w:sig w:usb0="A3000003" w:usb1="00000000" w:usb2="00010000" w:usb3="00000000" w:csb0="00010101" w:csb1="00000000"/>
  </w:font>
  <w:font w:name="Segoe UI Historic">
    <w:panose1 w:val="020B0502040204020203"/>
    <w:charset w:val="00"/>
    <w:family w:val="swiss"/>
    <w:pitch w:val="variable"/>
    <w:sig w:usb0="800001EF" w:usb1="02000002" w:usb2="0060C080" w:usb3="00000000" w:csb0="00000001" w:csb1="00000000"/>
    <w:embedRegular r:id="rId18" w:fontKey="{F5B11C1E-2AD1-4B8B-9D1B-FE13CEFBCBBF}"/>
  </w:font>
  <w:font w:name="DaunPenh">
    <w:charset w:val="00"/>
    <w:family w:val="auto"/>
    <w:pitch w:val="variable"/>
    <w:sig w:usb0="80000003" w:usb1="00000000" w:usb2="00010000" w:usb3="00000000" w:csb0="00000001" w:csb1="00000000"/>
  </w:font>
  <w:font w:name="Cardo">
    <w:panose1 w:val="02020600000000000000"/>
    <w:charset w:val="00"/>
    <w:family w:val="roman"/>
    <w:pitch w:val="variable"/>
    <w:sig w:usb0="E40008FF" w:usb1="5201E0FB" w:usb2="04608000" w:usb3="00000000" w:csb0="000000BB" w:csb1="00000000"/>
    <w:embedRegular r:id="rId19" w:subsetted="1" w:fontKey="{0F82E325-288F-447D-A385-3BF95B267B8A}"/>
  </w:font>
  <w:font w:name="Mangal">
    <w:panose1 w:val="02040503050203030202"/>
    <w:charset w:val="00"/>
    <w:family w:val="roman"/>
    <w:pitch w:val="variable"/>
    <w:sig w:usb0="00008003" w:usb1="00000000" w:usb2="00000000" w:usb3="00000000" w:csb0="00000001" w:csb1="00000000"/>
    <w:embedRegular r:id="rId20" w:subsetted="1" w:fontKey="{B33A0AC0-E56F-4761-B05E-BCA56B48F730}"/>
  </w:font>
  <w:font w:name="Noto Sans Grantha">
    <w:charset w:val="00"/>
    <w:family w:val="swiss"/>
    <w:pitch w:val="variable"/>
    <w:sig w:usb0="80108003" w:usb1="02002004" w:usb2="00000000" w:usb3="00000000" w:csb0="00000001" w:csb1="00000000"/>
    <w:embedRegular r:id="rId21" w:fontKey="{0D943BBB-CF25-41FC-86F7-462F0424FC4F}"/>
  </w:font>
  <w:font w:name="Myanmar Text">
    <w:panose1 w:val="020B0502040204020203"/>
    <w:charset w:val="00"/>
    <w:family w:val="swiss"/>
    <w:pitch w:val="variable"/>
    <w:sig w:usb0="80000003" w:usb1="00000000" w:usb2="00000400" w:usb3="00000000" w:csb0="00000001" w:csb1="00000000"/>
  </w:font>
  <w:font w:name="Uttara">
    <w:panose1 w:val="02000000000000000000"/>
    <w:charset w:val="00"/>
    <w:family w:val="auto"/>
    <w:pitch w:val="variable"/>
    <w:sig w:usb0="A00082EF" w:usb1="5000214B" w:usb2="00000000" w:usb3="00000000" w:csb0="00000197" w:csb1="00000000"/>
    <w:embedRegular r:id="rId22" w:subsetted="1" w:fontKey="{C94C4CE2-1584-4656-BA11-054811F0CB89}"/>
  </w:font>
  <w:font w:name="Tiro Telugu">
    <w:panose1 w:val="02000000000000000000"/>
    <w:charset w:val="00"/>
    <w:family w:val="auto"/>
    <w:pitch w:val="variable"/>
    <w:sig w:usb0="A020006F" w:usb1="0000200A" w:usb2="00000000" w:usb3="00000000" w:csb0="00000001" w:csb1="00000000"/>
  </w:font>
  <w:font w:name="Nirmala UI">
    <w:panose1 w:val="020B0502040204020203"/>
    <w:charset w:val="00"/>
    <w:family w:val="swiss"/>
    <w:pitch w:val="variable"/>
    <w:sig w:usb0="80FF8023" w:usb1="0200004A" w:usb2="00000200" w:usb3="00000000" w:csb0="00000001" w:csb1="00000000"/>
    <w:embedRegular r:id="rId23" w:subsetted="1" w:fontKey="{17311BE3-B3E5-4F56-AD76-98CDFD39E136}"/>
  </w:font>
  <w:font w:name="Javanese Text">
    <w:panose1 w:val="02000000000000000000"/>
    <w:charset w:val="00"/>
    <w:family w:val="auto"/>
    <w:pitch w:val="variable"/>
    <w:sig w:usb0="80000003" w:usb1="00002000" w:usb2="00000000" w:usb3="00000000" w:csb0="00000001" w:csb1="00000000"/>
  </w:font>
  <w:font w:name="Satisar Sharada">
    <w:panose1 w:val="02000600000000000000"/>
    <w:charset w:val="00"/>
    <w:family w:val="auto"/>
    <w:pitch w:val="variable"/>
    <w:sig w:usb0="00000003" w:usb1="02000000" w:usb2="00000000" w:usb3="00000000" w:csb0="00000001" w:csb1="00000000"/>
  </w:font>
  <w:font w:name="Raavi">
    <w:panose1 w:val="02000500000000000000"/>
    <w:charset w:val="00"/>
    <w:family w:val="swiss"/>
    <w:pitch w:val="variable"/>
    <w:sig w:usb0="0002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embedRegular r:id="rId24" w:subsetted="1" w:fontKey="{70A8C27A-AB0E-4069-A58A-35BF1FCC91D9}"/>
  </w:font>
  <w:font w:name="Cambria Math">
    <w:panose1 w:val="02040503050406030204"/>
    <w:charset w:val="00"/>
    <w:family w:val="roman"/>
    <w:pitch w:val="variable"/>
    <w:sig w:usb0="E00006FF" w:usb1="420024FF" w:usb2="02000000" w:usb3="00000000" w:csb0="0000019F" w:csb1="00000000"/>
    <w:embedRegular r:id="rId25" w:fontKey="{762E210F-55DB-46C3-883A-3B44554A0475}"/>
    <w:embedItalic r:id="rId26" w:fontKey="{D05E0A6D-2A24-497C-ACF3-935AAF505BF8}"/>
  </w:font>
  <w:font w:name="Noto Serif">
    <w:panose1 w:val="02020502060505020204"/>
    <w:charset w:val="00"/>
    <w:family w:val="roman"/>
    <w:pitch w:val="variable"/>
    <w:sig w:usb0="E00002FF" w:usb1="4000201F" w:usb2="08000029" w:usb3="00000000" w:csb0="0000019F" w:csb1="00000000"/>
  </w:font>
  <w:font w:name="Noto Sans">
    <w:panose1 w:val="020B0502040504020204"/>
    <w:charset w:val="00"/>
    <w:family w:val="swiss"/>
    <w:pitch w:val="variable"/>
    <w:sig w:usb0="E00002FF" w:usb1="4000201F" w:usb2="08000029" w:usb3="00000000" w:csb0="0000019F" w:csb1="00000000"/>
  </w:font>
  <w:font w:name="Old English Text MT">
    <w:panose1 w:val="03040902040508030806"/>
    <w:charset w:val="00"/>
    <w:family w:val="script"/>
    <w:pitch w:val="variable"/>
    <w:sig w:usb0="00000003" w:usb1="00000000" w:usb2="00000000" w:usb3="00000000" w:csb0="00000001" w:csb1="00000000"/>
    <w:embedRegular r:id="rId27" w:subsetted="1" w:fontKey="{CE1E0AB7-BB4E-4C6A-B142-C9696D794191}"/>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Kokila">
    <w:panose1 w:val="020B0604020202020204"/>
    <w:charset w:val="00"/>
    <w:family w:val="swiss"/>
    <w:pitch w:val="variable"/>
    <w:sig w:usb0="00008003" w:usb1="00000000" w:usb2="00000000" w:usb3="00000000" w:csb0="00000001" w:csb1="00000000"/>
    <w:embedRegular r:id="rId28" w:subsetted="1" w:fontKey="{CCE7896C-3933-4DAF-955E-4D29CD37A4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4F650" w14:textId="77777777">
    <w:pPr>
      <w:pStyle w:val="llb"/>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12F62" w14:textId="77777777">
    <w:pPr>
      <w:jc w:val="right"/>
    </w:pPr>
    <w:r>
      <w:rPr>
        <w:sz w:val="20"/>
        <w:szCs w:val="20"/>
      </w:rPr>
      <w:t xml:space="preserv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E4C7D" w14:textId="77777777">
      <w:pPr>
        <w:spacing w:line="240" w:lineRule="auto"/>
      </w:pPr>
      <w:r>
        <w:separator/>
      </w:r>
    </w:p>
  </w:footnote>
  <w:footnote w:type="continuationSeparator" w:id="0">
    <w:p w14:paraId="03878571" w14:textId="77777777">
      <w:pPr>
        <w:spacing w:line="240" w:lineRule="auto"/>
      </w:pPr>
      <w:r>
        <w:continuationSeparator/>
      </w:r>
    </w:p>
  </w:footnote>
  <w:footnote w:id="1">
    <w:p w14:paraId="3DADFF9B" w14:textId="3C2714BB">
      <w:pPr>
        <w:pStyle w:val="Lbjegyzetszveg"/>
      </w:pPr>
      <w:r>
        <w:rPr>
          <w:rStyle w:val="Lbjegyzet-hivatkozs"/>
        </w:rPr>
        <w:tab/>
      </w:r>
      <w:r>
        <w:rPr>
          <w:rStyle w:val="Lbjegyzet-hivatkozs"/>
        </w:rPr>
        <w:footnoteRef/>
      </w:r>
      <w:r>
        <w:tab/>
      </w:r>
      <w:hyperlink r:id="rId1" w:history="1">
        <w:r>
          <w:rPr>
            <w:rStyle w:val="Hiperhivatkozs"/>
          </w:rPr>
          <w:t>https://docs.google.com/document/d/1hjWrrwRZQp4hmEqw4jBhhqoXdwJvRlw3EWboJteOPw0</w:t>
        </w:r>
      </w:hyperlink>
    </w:p>
  </w:footnote>
  <w:footnote w:id="2">
    <w:p w14:paraId="5733C0AA" w14:textId="0A6DB628">
      <w:pPr>
        <w:pStyle w:val="Lbjegyzetszveg"/>
      </w:pPr>
      <w:r>
        <w:tab/>
      </w:r>
      <w:r>
        <w:rPr>
          <w:rStyle w:val="Lbjegyzet-hivatkozs"/>
        </w:rPr>
        <w:footnoteRef/>
      </w:r>
      <w:r>
        <w:tab/>
      </w:r>
      <w:hyperlink r:id="rId2" w:history="1">
        <w:r>
          <w:rPr>
            <w:rStyle w:val="Hiperhivatkozs"/>
          </w:rPr>
          <w:t>https://epidoc.stoa.org/gl/latest/</w:t>
        </w:r>
      </w:hyperlink>
    </w:p>
  </w:footnote>
  <w:footnote w:id="3">
    <w:p w14:paraId="77730E0D" w14:textId="325DDC09">
      <w:pPr>
        <w:pStyle w:val="Lbjegyzetszveg"/>
      </w:pPr>
      <w:r>
        <w:tab/>
      </w:r>
      <w:r>
        <w:rPr>
          <w:rStyle w:val="Lbjegyzet-hivatkozs"/>
        </w:rPr>
        <w:footnoteRef/>
      </w:r>
      <w:r>
        <w:tab/>
      </w:r>
      <w:hyperlink r:id="rId3" w:history="1">
        <w:r>
          <w:rPr>
            <w:rStyle w:val="Hiperhivatkozs"/>
          </w:rPr>
          <w:t>https://tei-c.org/release/doc/tei-p5-doc/en/html/index.html</w:t>
        </w:r>
      </w:hyperlink>
    </w:p>
  </w:footnote>
  <w:footnote w:id="4">
    <w:p w14:paraId="13EEEFD4" w14:textId="77777777">
      <w:pPr>
        <w:pStyle w:val="Lbjegyzetszveg"/>
      </w:pPr>
      <w:r>
        <w:tab/>
      </w:r>
      <w:r>
        <w:rPr>
          <w:rStyle w:val="Lbjegyzet-hivatkozs"/>
        </w:rPr>
        <w:footnoteRef/>
      </w:r>
      <w:r>
        <w:tab/>
        <w:t>TEI Consortium (2023, §v).</w:t>
      </w:r>
    </w:p>
  </w:footnote>
  <w:footnote w:id="5">
    <w:p w14:paraId="50734918" w14:textId="77777777">
      <w:pPr>
        <w:pStyle w:val="Lbjegyzetszveg"/>
      </w:pPr>
      <w:r>
        <w:tab/>
      </w:r>
      <w:r>
        <w:rPr>
          <w:rStyle w:val="Lbjegyzet-hivatkozs"/>
        </w:rPr>
        <w:footnoteRef/>
      </w:r>
      <w:r>
        <w:tab/>
        <w:t xml:space="preserve">The use of single quote marks </w:t>
      </w:r>
      <w:r>
        <w:rPr>
          <w:noProof/>
        </w:rPr>
        <w:t>(</w:t>
      </w:r>
      <w:r>
        <w:t>' apostrophe) is also permitted by the XML standard. However, for the sake of consistency, we shall always use double quote marks.</w:t>
      </w:r>
    </w:p>
  </w:footnote>
  <w:footnote w:id="6">
    <w:p w14:paraId="71C7F695" w14:textId="77777777">
      <w:pPr>
        <w:pStyle w:val="Lbjegyzetszveg"/>
      </w:pPr>
      <w:r>
        <w:tab/>
      </w:r>
      <w:r>
        <w:rPr>
          <w:rStyle w:val="Lbjegyzet-hivatkozs"/>
        </w:rPr>
        <w:footnoteRef/>
      </w:r>
      <w:r>
        <w:tab/>
        <w:t xml:space="preserve">In Oxygen, press CTRL + SHIFT + , </w:t>
      </w:r>
      <w:r>
        <w:rPr>
          <w:noProof/>
        </w:rPr>
        <w:t>(</w:t>
      </w:r>
      <w:r>
        <w:t>comma) to turn selected text into a comment or to uncomment text around the cursor.</w:t>
      </w:r>
    </w:p>
  </w:footnote>
  <w:footnote w:id="7">
    <w:p w14:paraId="1F4B9C4E" w14:textId="04625870">
      <w:pPr>
        <w:pStyle w:val="Lbjegyzetszveg"/>
      </w:pPr>
      <w:r>
        <w:tab/>
      </w:r>
      <w:r>
        <w:rPr>
          <w:rStyle w:val="Lbjegyzet-hivatkozs"/>
        </w:rPr>
        <w:footnoteRef/>
      </w:r>
      <w:r>
        <w:t xml:space="preserve"> </w:t>
      </w:r>
      <w:r>
        <w:tab/>
      </w:r>
      <w:hyperlink r:id="rId4" w:history="1">
        <w:r>
          <w:rPr>
            <w:rStyle w:val="Hiperhivatkozs"/>
          </w:rPr>
          <w:t>https://github.com/erc-dharma/project-documentation/blob/master/templates/inscriptions/DHARMA_INSencodingTemplate.xml</w:t>
        </w:r>
      </w:hyperlink>
      <w:r>
        <w:t xml:space="preserve"> </w:t>
      </w:r>
    </w:p>
  </w:footnote>
  <w:footnote w:id="8">
    <w:p w14:paraId="32B81EA6" w14:textId="07101B93">
      <w:pPr>
        <w:pStyle w:val="Lbjegyzetszveg"/>
      </w:pPr>
      <w:r>
        <w:tab/>
      </w:r>
      <w:r>
        <w:rPr>
          <w:rStyle w:val="Lbjegyzet-hivatkozs"/>
        </w:rPr>
        <w:footnoteRef/>
      </w:r>
      <w:r>
        <w:tab/>
        <w:t>Outside the edition, paragraphs may also contain block quotes which in turn may contain stanzas and lines as per §</w:t>
      </w:r>
      <w:r>
        <w:fldChar w:fldCharType="begin"/>
      </w:r>
      <w:r>
        <w:instrText xml:space="preserve"> REF _Ref233793283 \r \h </w:instrText>
      </w:r>
      <w:r>
        <w:fldChar w:fldCharType="separate"/>
      </w:r>
      <w:r>
        <w:t>14.3.3</w:t>
      </w:r>
      <w:r>
        <w:fldChar w:fldCharType="end"/>
      </w:r>
      <w:r>
        <w:t>.</w:t>
      </w:r>
    </w:p>
  </w:footnote>
  <w:footnote w:id="9">
    <w:p w14:paraId="5C7C96A0" w14:textId="77777777">
      <w:pPr>
        <w:pStyle w:val="Lbjegyzetszveg"/>
      </w:pPr>
      <w:r>
        <w:tab/>
      </w:r>
      <w:r>
        <w:rPr>
          <w:rStyle w:val="Lbjegyzet-hivatkozs"/>
        </w:rPr>
        <w:footnoteRef/>
      </w:r>
      <w:r>
        <w:tab/>
        <w:t xml:space="preserve">See the TG, especially TG §7.3.2 on editorial segmentation interacting with </w:t>
      </w:r>
      <w:r>
        <w:rPr>
          <w:rStyle w:val="Foreign"/>
        </w:rPr>
        <w:t>akṣara</w:t>
      </w:r>
      <w:r>
        <w:rPr>
          <w:rStyle w:val="Foreign"/>
          <w:i w:val="0"/>
          <w:iCs w:val="0"/>
        </w:rPr>
        <w:t>s</w:t>
      </w:r>
      <w:r>
        <w:t xml:space="preserve">. </w:t>
      </w:r>
    </w:p>
  </w:footnote>
  <w:footnote w:id="10">
    <w:p w14:paraId="32AB6D8A" w14:textId="33A8C6A7">
      <w:pPr>
        <w:pStyle w:val="Lbjegyzetszveg"/>
      </w:pPr>
      <w:r>
        <w:tab/>
      </w:r>
      <w:r>
        <w:rPr>
          <w:rStyle w:val="Lbjegyzet-hivatkozs"/>
        </w:rPr>
        <w:footnoteRef/>
      </w:r>
      <w:r>
        <w:tab/>
        <w:t xml:space="preserve">DHARMA_prosodicPatterns_v01.xml in our Project Documentation GitHub repository, displayed at </w:t>
      </w:r>
      <w:hyperlink r:id="rId5" w:history="1">
        <w:r>
          <w:rPr>
            <w:rStyle w:val="Hiperhivatkozs"/>
          </w:rPr>
          <w:t>https://dharmalekha.info/prosody</w:t>
        </w:r>
      </w:hyperlink>
    </w:p>
  </w:footnote>
  <w:footnote w:id="11">
    <w:p w14:paraId="759612CF" w14:textId="77777777">
      <w:pPr>
        <w:pStyle w:val="Lbjegyzetszveg"/>
      </w:pPr>
      <w:r>
        <w:tab/>
      </w:r>
      <w:r>
        <w:rPr>
          <w:rStyle w:val="Lbjegyzet-hivatkozs"/>
        </w:rPr>
        <w:footnoteRef/>
      </w:r>
      <w:r>
        <w:tab/>
        <w:t xml:space="preserve">The seeming contradiction between the element’s name and the fact that it indicates uncertainty is that this element would normally take the attribute </w:t>
      </w:r>
      <w:r>
        <w:rPr>
          <w:rStyle w:val="Codeattribute"/>
        </w:rPr>
        <w:t>@cert</w:t>
      </w:r>
      <w:r>
        <w:t xml:space="preserve"> to indicate a degree of certainty. However, in EpiDoc and thus in our encoding practice, </w:t>
      </w:r>
      <w:r>
        <w:rPr>
          <w:rStyle w:val="Code"/>
        </w:rPr>
        <w:t>&lt;certainty&gt;</w:t>
      </w:r>
      <w:r>
        <w:t xml:space="preserve"> is only used for indicating uncertainty, and is by default understood to mean </w:t>
      </w:r>
      <w:r>
        <w:rPr>
          <w:rStyle w:val="Code"/>
        </w:rPr>
        <w:t xml:space="preserve">&lt;certainty </w:t>
      </w:r>
      <w:r>
        <w:rPr>
          <w:rStyle w:val="Codeattribute"/>
        </w:rPr>
        <w:t>cert=</w:t>
      </w:r>
      <w:r>
        <w:rPr>
          <w:rStyle w:val="Codevalue"/>
        </w:rPr>
        <w:t>"low"</w:t>
      </w:r>
      <w:r>
        <w:rPr>
          <w:rStyle w:val="Code"/>
        </w:rPr>
        <w:t>&gt;</w:t>
      </w:r>
      <w:r>
        <w:t>.</w:t>
      </w:r>
    </w:p>
  </w:footnote>
  <w:footnote w:id="12">
    <w:p w14:paraId="195C7A93" w14:textId="77777777">
      <w:pPr>
        <w:pStyle w:val="Lbjegyzetszveg"/>
      </w:pPr>
      <w:r>
        <w:tab/>
      </w:r>
      <w:r>
        <w:rPr>
          <w:rStyle w:val="Lbjegyzet-hivatkozs"/>
        </w:rPr>
        <w:footnoteRef/>
      </w:r>
      <w:r>
        <w:tab/>
        <w:t xml:space="preserve">The TEI element </w:t>
      </w:r>
      <w:r>
        <w:rPr>
          <w:rStyle w:val="Code"/>
        </w:rPr>
        <w:t>&lt;caesura&gt;</w:t>
      </w:r>
      <w:r>
        <w:t xml:space="preserve"> does not take the attribute </w:t>
      </w:r>
      <w:r>
        <w:rPr>
          <w:rStyle w:val="Codeattribute"/>
        </w:rPr>
        <w:t>@break</w:t>
      </w:r>
      <w:r>
        <w:t xml:space="preserve"> </w:t>
      </w:r>
      <w:r>
        <w:rPr>
          <w:noProof/>
        </w:rPr>
        <w:t>(</w:t>
      </w:r>
      <w:r>
        <w:t xml:space="preserve">nor </w:t>
      </w:r>
      <w:r>
        <w:rPr>
          <w:rStyle w:val="Codeattribute"/>
        </w:rPr>
        <w:t>@type</w:t>
      </w:r>
      <w:r>
        <w:t xml:space="preserve">). Since our use of conventional metre names leaves open the possibility to automatically determine the location of caesuras at the prescribed points, the only reason why we might want to encode them is to facilitate research on non-standard caesuras and </w:t>
      </w:r>
      <w:r>
        <w:rPr>
          <w:rStyle w:val="Foreign"/>
        </w:rPr>
        <w:t>yatibhaṅga</w:t>
      </w:r>
      <w:r>
        <w:t xml:space="preserve">, hence our suggestion to use </w:t>
      </w:r>
      <w:r>
        <w:rPr>
          <w:rStyle w:val="Code"/>
        </w:rPr>
        <w:t>&lt;milestone&gt;</w:t>
      </w:r>
      <w:r>
        <w:t xml:space="preserve"> instead.</w:t>
      </w:r>
    </w:p>
  </w:footnote>
  <w:footnote w:id="13">
    <w:p w14:paraId="0BD7181F" w14:textId="78338128">
      <w:pPr>
        <w:pStyle w:val="Lbjegyzetszveg"/>
      </w:pPr>
      <w:r>
        <w:tab/>
      </w:r>
      <w:r>
        <w:rPr>
          <w:rStyle w:val="Lbjegyzet-hivatkozs"/>
        </w:rPr>
        <w:footnoteRef/>
      </w:r>
      <w:r>
        <w:tab/>
        <w:t xml:space="preserve">This follows and generalises the EpiDoc convention “Any </w:t>
      </w:r>
      <w:r>
        <w:rPr>
          <w:rStyle w:val="Codeattribute"/>
        </w:rPr>
        <w:t>@rend</w:t>
      </w:r>
      <w:r>
        <w:t xml:space="preserve"> or numbering attributes on … </w:t>
      </w:r>
      <w:r>
        <w:rPr>
          <w:rStyle w:val="Code"/>
        </w:rPr>
        <w:t>&lt;lb&gt;</w:t>
      </w:r>
      <w:r>
        <w:t xml:space="preserve"> refer to all text between the current and the following line-break” </w:t>
      </w:r>
      <w:r>
        <w:rPr>
          <w:noProof/>
        </w:rPr>
        <w:t>(</w:t>
      </w:r>
      <w:hyperlink r:id="rId6" w:history="1">
        <w:r>
          <w:rPr>
            <w:rStyle w:val="Hiperhivatkozs"/>
            <w:noProof/>
          </w:rPr>
          <w:t>https://epidoc.stoa.org/gl/latest/trans-linebreak.html</w:t>
        </w:r>
      </w:hyperlink>
      <w:r>
        <w:t>).</w:t>
      </w:r>
    </w:p>
  </w:footnote>
  <w:footnote w:id="14">
    <w:p w14:paraId="55C51203" w14:textId="35D3BD03">
      <w:pPr>
        <w:pStyle w:val="Lbjegyzetszveg"/>
      </w:pPr>
      <w:r>
        <w:tab/>
      </w:r>
      <w:r>
        <w:rPr>
          <w:rStyle w:val="Lbjegyzet-hivatkozs"/>
        </w:rPr>
        <w:footnoteRef/>
      </w:r>
      <w:r>
        <w:tab/>
        <w:t xml:space="preserve">In addition to the kinds of milestone discussed here, our project also employs </w:t>
      </w:r>
      <w:r>
        <w:rPr>
          <w:rStyle w:val="Code"/>
        </w:rPr>
        <w:t>&lt;milestone/&gt;</w:t>
      </w:r>
      <w:r>
        <w:t xml:space="preserve"> elements for a few other purposes (§</w:t>
      </w:r>
      <w:r>
        <w:fldChar w:fldCharType="begin"/>
      </w:r>
      <w:r>
        <w:instrText xml:space="preserve"> REF _Ref224729838 \r \h </w:instrText>
      </w:r>
      <w:r>
        <w:fldChar w:fldCharType="separate"/>
      </w:r>
      <w:r>
        <w:t>3.3.4.3</w:t>
      </w:r>
      <w:r>
        <w:fldChar w:fldCharType="end"/>
      </w:r>
      <w:r>
        <w:t>, §</w:t>
      </w:r>
      <w:r>
        <w:fldChar w:fldCharType="begin"/>
      </w:r>
      <w:r>
        <w:instrText xml:space="preserve"> REF _Ref182309743 \r \h </w:instrText>
      </w:r>
      <w:r>
        <w:fldChar w:fldCharType="separate"/>
      </w:r>
      <w:r>
        <w:t>11.3</w:t>
      </w:r>
      <w:r>
        <w:fldChar w:fldCharType="end"/>
      </w:r>
      <w:r>
        <w:t>).</w:t>
      </w:r>
    </w:p>
  </w:footnote>
  <w:footnote w:id="15">
    <w:p w14:paraId="0450D223" w14:textId="77777777">
      <w:pPr>
        <w:pStyle w:val="Lbjegyzetszveg"/>
      </w:pPr>
      <w:r>
        <w:tab/>
      </w:r>
      <w:r>
        <w:rPr>
          <w:rStyle w:val="Lbjegyzet-hivatkozs"/>
        </w:rPr>
        <w:footnoteRef/>
      </w:r>
      <w:r>
        <w:tab/>
        <w:t>It is possible in TEI to encode uncertainty regarding the location of an element in a machine-readable way, but we foresee no gain from doing so that would compensate for the resulting increase of encoding complexity.</w:t>
      </w:r>
    </w:p>
  </w:footnote>
  <w:footnote w:id="16">
    <w:p w14:paraId="2B9A4269" w14:textId="7F2153A2">
      <w:pPr>
        <w:pStyle w:val="Lbjegyzetszveg"/>
      </w:pPr>
      <w:r>
        <w:tab/>
      </w:r>
      <w:r>
        <w:rPr>
          <w:rStyle w:val="Lbjegyzet-hivatkozs"/>
        </w:rPr>
        <w:footnoteRef/>
      </w:r>
      <w:r>
        <w:tab/>
        <w:t xml:space="preserve">In rare cases it is possible for a page or zone beginning not to be followed by a line beginning </w:t>
      </w:r>
      <w:r>
        <w:rPr>
          <w:noProof/>
        </w:rPr>
        <w:t>(</w:t>
      </w:r>
      <w:r>
        <w:t>e.g. when a medial plate of a set is lost, but the page structure is reconstructed for it, §</w:t>
      </w:r>
      <w:r>
        <w:fldChar w:fldCharType="begin"/>
      </w:r>
      <w:r>
        <w:instrText xml:space="preserve"> REF _Ref149918878 \r \h </w:instrText>
      </w:r>
      <w:r>
        <w:fldChar w:fldCharType="separate"/>
      </w:r>
      <w:r>
        <w:t>6.5.5.3</w:t>
      </w:r>
      <w:r>
        <w:fldChar w:fldCharType="end"/>
      </w:r>
      <w:r>
        <w:t>).</w:t>
      </w:r>
    </w:p>
  </w:footnote>
  <w:footnote w:id="17">
    <w:p w14:paraId="57F28ABD" w14:textId="56BD760B">
      <w:pPr>
        <w:pStyle w:val="Lbjegyzetszveg"/>
      </w:pPr>
      <w:r>
        <w:tab/>
      </w:r>
      <w:r>
        <w:rPr>
          <w:rStyle w:val="Lbjegyzet-hivatkozs"/>
        </w:rPr>
        <w:footnoteRef/>
      </w:r>
      <w:r>
        <w:tab/>
        <w:t xml:space="preserve">The single exception applies again to massive medial lacunae </w:t>
      </w:r>
      <w:r>
        <w:rPr>
          <w:noProof/>
        </w:rPr>
        <w:t>(</w:t>
      </w:r>
      <w:r>
        <w:t>§</w:t>
      </w:r>
      <w:r>
        <w:fldChar w:fldCharType="begin"/>
      </w:r>
      <w:r>
        <w:instrText xml:space="preserve"> REF _Ref43981711 \w \h  \* MERGEFORMAT </w:instrText>
      </w:r>
      <w:r>
        <w:fldChar w:fldCharType="separate"/>
      </w:r>
      <w:r>
        <w:t>6.5.4</w:t>
      </w:r>
      <w:r>
        <w:fldChar w:fldCharType="end"/>
      </w:r>
      <w:r>
        <w:t>), where reconstructed structural milestones may be placed outside block-level containers.</w:t>
      </w:r>
    </w:p>
  </w:footnote>
  <w:footnote w:id="18">
    <w:p w14:paraId="0EC15146" w14:textId="77777777">
      <w:pPr>
        <w:pStyle w:val="Lbjegyzetszveg"/>
      </w:pPr>
      <w:r>
        <w:tab/>
      </w:r>
      <w:r>
        <w:rPr>
          <w:rStyle w:val="Lbjegyzet-hivatkozs"/>
        </w:rPr>
        <w:footnoteRef/>
      </w:r>
      <w:r>
        <w:tab/>
        <w:t>This will not be the case if you follow the numbering schemes recommended by this Guide, but other numbering schemes are permitted for all partition types when there is good reason for their use.</w:t>
      </w:r>
    </w:p>
  </w:footnote>
  <w:footnote w:id="19">
    <w:p w14:paraId="2957B163" w14:textId="77777777">
      <w:pPr>
        <w:pStyle w:val="Lbjegyzetszveg"/>
      </w:pPr>
      <w:r>
        <w:tab/>
      </w:r>
      <w:r>
        <w:rPr>
          <w:rStyle w:val="Lbjegyzet-hivatkozs"/>
        </w:rPr>
        <w:footnoteRef/>
      </w:r>
      <w:r>
        <w:tab/>
        <w:t xml:space="preserve">We must resort to this compromise because the internal logic of EpiDoc does not permit </w:t>
      </w:r>
      <w:r>
        <w:rPr>
          <w:rFonts w:ascii="Consolas" w:eastAsia="Consolas" w:hAnsi="Consolas" w:cs="Consolas"/>
          <w:color w:val="000080"/>
          <w:shd w:val="clear" w:color="auto" w:fill="F8F8F8"/>
        </w:rPr>
        <w:t>&lt;space&gt;</w:t>
      </w:r>
      <w:r>
        <w:t xml:space="preserve"> or </w:t>
      </w:r>
      <w:r>
        <w:rPr>
          <w:rFonts w:ascii="Consolas" w:eastAsia="Consolas" w:hAnsi="Consolas" w:cs="Consolas"/>
          <w:color w:val="000080"/>
          <w:shd w:val="clear" w:color="auto" w:fill="F8F8F8"/>
        </w:rPr>
        <w:t>&lt;lb&gt;</w:t>
      </w:r>
      <w:r>
        <w:t xml:space="preserve"> elements inside </w:t>
      </w:r>
      <w:r>
        <w:rPr>
          <w:rFonts w:ascii="Consolas" w:eastAsia="Consolas" w:hAnsi="Consolas" w:cs="Consolas"/>
          <w:color w:val="000080"/>
          <w:shd w:val="clear" w:color="auto" w:fill="F8F8F8"/>
        </w:rPr>
        <w:t>&lt;unclear&gt;</w:t>
      </w:r>
      <w:r>
        <w:t>, so it is not possible to encode alternative readings which include an interruption, even if the location of that interruption with respect to the text is different in the alternatives.</w:t>
      </w:r>
    </w:p>
  </w:footnote>
  <w:footnote w:id="20">
    <w:p w14:paraId="243CFD55" w14:textId="19F15A83">
      <w:pPr>
        <w:pStyle w:val="Lbjegyzetszveg"/>
      </w:pPr>
      <w:r>
        <w:tab/>
      </w:r>
      <w:r>
        <w:rPr>
          <w:rStyle w:val="Lbjegyzet-hivatkozs"/>
        </w:rPr>
        <w:footnoteRef/>
      </w:r>
      <w:r>
        <w:tab/>
      </w:r>
      <w:hyperlink r:id="rId7" w:history="1">
        <w:r>
          <w:rPr>
            <w:rStyle w:val="Hiperhivatkozs"/>
          </w:rPr>
          <w:t>https://en.wiktionary.org/wiki/gaiji</w:t>
        </w:r>
      </w:hyperlink>
      <w:r>
        <w:t xml:space="preserve"> </w:t>
      </w:r>
    </w:p>
  </w:footnote>
  <w:footnote w:id="21">
    <w:p w14:paraId="52CF5B9A" w14:textId="77777777">
      <w:pPr>
        <w:pStyle w:val="Lbjegyzetszveg"/>
      </w:pPr>
      <w:r>
        <w:tab/>
      </w:r>
      <w:r>
        <w:rPr>
          <w:rStyle w:val="Lbjegyzet-hivatkozs"/>
        </w:rPr>
        <w:footnoteRef/>
      </w:r>
      <w:r>
        <w:tab/>
      </w:r>
      <w:r>
        <w:rPr>
          <w:lang w:eastAsia="en-US" w:bidi="ar-SA"/>
        </w:rPr>
        <w:t>The management of symbols has changed radically from earlier DHARMA practice, so project members are requested to read this section attentively.</w:t>
      </w:r>
    </w:p>
  </w:footnote>
  <w:footnote w:id="22">
    <w:p w14:paraId="77FA05D9" w14:textId="7A601AAD">
      <w:pPr>
        <w:pStyle w:val="Lbjegyzetszveg"/>
      </w:pPr>
      <w:r>
        <w:tab/>
      </w:r>
      <w:r>
        <w:rPr>
          <w:rStyle w:val="Lbjegyzet-hivatkozs"/>
        </w:rPr>
        <w:footnoteRef/>
      </w:r>
      <w:r>
        <w:tab/>
      </w:r>
      <w:hyperlink r:id="rId8" w:history="1">
        <w:r>
          <w:rPr>
            <w:rStyle w:val="Hiperhivatkozs"/>
          </w:rPr>
          <w:t>https://en.wiktionary.org/wiki/gaiji</w:t>
        </w:r>
      </w:hyperlink>
      <w:r>
        <w:t xml:space="preserve"> </w:t>
      </w:r>
    </w:p>
  </w:footnote>
  <w:footnote w:id="23">
    <w:p w14:paraId="4DBF4D0B" w14:textId="2BF37F79">
      <w:pPr>
        <w:pStyle w:val="Lbjegyzetszveg"/>
      </w:pPr>
      <w:r>
        <w:tab/>
      </w:r>
      <w:r>
        <w:rPr>
          <w:rStyle w:val="Lbjegyzet-hivatkozs"/>
        </w:rPr>
        <w:footnoteRef/>
      </w:r>
      <w:r>
        <w:tab/>
        <w:t xml:space="preserve">In addition to these values, </w:t>
      </w:r>
      <w:r>
        <w:rPr>
          <w:rStyle w:val="Codevalue"/>
        </w:rPr>
        <w:t>"numeral"</w:t>
      </w:r>
      <w:r>
        <w:t xml:space="preserve"> is used for numeral glyphs that cannot be represented in transliteration with a single Arabic digit, as per §</w:t>
      </w:r>
      <w:r>
        <w:fldChar w:fldCharType="begin"/>
      </w:r>
      <w:r>
        <w:instrText xml:space="preserve"> REF _Ref225950738 \r \h </w:instrText>
      </w:r>
      <w:r>
        <w:fldChar w:fldCharType="separate"/>
      </w:r>
      <w:r>
        <w:t>5.2.1</w:t>
      </w:r>
      <w:r>
        <w:fldChar w:fldCharType="end"/>
      </w:r>
      <w:r>
        <w:t xml:space="preserve">. The DHARMA schema also allows the value </w:t>
      </w:r>
      <w:r>
        <w:rPr>
          <w:rStyle w:val="Codevalue"/>
        </w:rPr>
        <w:t>"phonographic"</w:t>
      </w:r>
      <w:r>
        <w:t>, which is not used in our present encoding practice, but is included as a provision for the future when it might become desirable to use encoding to classify alternative shapes (graphetic allographs) of phonographic glyphs.</w:t>
      </w:r>
    </w:p>
  </w:footnote>
  <w:footnote w:id="24">
    <w:p w14:paraId="3EFB7889" w14:textId="122B1D20">
      <w:pPr>
        <w:pStyle w:val="Lbjegyzetszveg"/>
      </w:pPr>
      <w:r>
        <w:tab/>
      </w:r>
      <w:r>
        <w:rPr>
          <w:rStyle w:val="Lbjegyzet-hivatkozs"/>
        </w:rPr>
        <w:footnoteRef/>
      </w:r>
      <w:r>
        <w:tab/>
        <w:t xml:space="preserve">To view the file rendered for display, visit </w:t>
      </w:r>
      <w:hyperlink r:id="rId9" w:history="1">
        <w:r>
          <w:rPr>
            <w:rStyle w:val="Hiperhivatkozs"/>
          </w:rPr>
          <w:t>https://dharmalekha.info/glyphs</w:t>
        </w:r>
      </w:hyperlink>
      <w:r>
        <w:t>. To view and, if necessary, edit the raw XML, go to DHARMA_glyphTaxonomy.xml in the project-documentation repository.</w:t>
      </w:r>
    </w:p>
  </w:footnote>
  <w:footnote w:id="25">
    <w:p w14:paraId="504BFBEE" w14:textId="482ED516">
      <w:pPr>
        <w:pStyle w:val="Lbjegyzetszveg"/>
      </w:pPr>
      <w:r>
        <w:tab/>
      </w:r>
      <w:r>
        <w:rPr>
          <w:rStyle w:val="Lbjegyzet-hivatkozs"/>
        </w:rPr>
        <w:footnoteRef/>
      </w:r>
      <w:r>
        <w:tab/>
      </w:r>
      <w:hyperlink r:id="rId10" w:anchor="PHSP" w:history="1">
        <w:r>
          <w:rPr>
            <w:rStyle w:val="Hiperhivatkozs"/>
          </w:rPr>
          <w:t>https://www.tei-c.org/release/doc/tei-p5-doc/en/html/PH.html#PHSP</w:t>
        </w:r>
      </w:hyperlink>
    </w:p>
  </w:footnote>
  <w:footnote w:id="26">
    <w:p w14:paraId="0E0CC357" w14:textId="77777777">
      <w:pPr>
        <w:pStyle w:val="Lbjegyzetszveg"/>
        <w:rPr>
          <w:b/>
          <w:bCs/>
        </w:rPr>
      </w:pPr>
      <w:r>
        <w:tab/>
      </w:r>
      <w:r>
        <w:rPr>
          <w:rStyle w:val="Lbjegyzet-hivatkozs"/>
        </w:rPr>
        <w:footnoteRef/>
      </w:r>
      <w:r>
        <w:tab/>
        <w:t xml:space="preserve">In fact, the tradition of Indic epigraphic editions is also quite in line with the EpiDoc approach. Even in the </w:t>
      </w:r>
      <w:r>
        <w:rPr>
          <w:rStyle w:val="Foreign"/>
        </w:rPr>
        <w:t>Corpus inscriptionum indicarum</w:t>
      </w:r>
      <w:r>
        <w:t xml:space="preserve">, Fleet </w:t>
      </w:r>
      <w:r>
        <w:rPr>
          <w:noProof/>
        </w:rPr>
        <w:t>(</w:t>
      </w:r>
      <w:r>
        <w:t>1888,194) uses the same editorial markup for “letters which are much damaged and nearly illegible in the original, or which, being wholly illegible, can be supplied with certainty.”</w:t>
      </w:r>
    </w:p>
  </w:footnote>
  <w:footnote w:id="27">
    <w:p w14:paraId="1AAE86F9" w14:textId="00FE8603">
      <w:pPr>
        <w:pStyle w:val="Lbjegyzetszveg"/>
      </w:pPr>
      <w:r>
        <w:tab/>
      </w:r>
      <w:r>
        <w:rPr>
          <w:rStyle w:val="Lbjegyzet-hivatkozs"/>
        </w:rPr>
        <w:footnoteRef/>
      </w:r>
      <w:r>
        <w:tab/>
      </w:r>
      <w:hyperlink r:id="rId11" w:history="1">
        <w:r>
          <w:rPr>
            <w:rStyle w:val="Hiperhivatkozs"/>
          </w:rPr>
          <w:t>https://epidoc.stoa.org/gl/latest/trans-ambiguous.html</w:t>
        </w:r>
      </w:hyperlink>
      <w:r>
        <w:t xml:space="preserve"> </w:t>
      </w:r>
    </w:p>
  </w:footnote>
  <w:footnote w:id="28">
    <w:p w14:paraId="347CB1EF" w14:textId="77777777">
      <w:pPr>
        <w:pStyle w:val="Lbjegyzetszveg"/>
      </w:pPr>
      <w:r>
        <w:tab/>
      </w:r>
      <w:r>
        <w:rPr>
          <w:rStyle w:val="Lbjegyzet-hivatkozs"/>
        </w:rPr>
        <w:footnoteRef/>
      </w:r>
      <w:r>
        <w:tab/>
        <w:t xml:space="preserve">In the interest of preserving your sanity, it is advised that you avoid encoding the full spectrum of possibilities, </w:t>
      </w:r>
      <w:r>
        <w:rPr>
          <w:rFonts w:ascii="Consolas" w:eastAsia="Consolas" w:hAnsi="Consolas" w:cs="Consolas"/>
          <w:color w:val="333333"/>
          <w:shd w:val="clear" w:color="auto" w:fill="F8F8F8"/>
        </w:rPr>
        <w:t>k</w:t>
      </w:r>
      <w:r>
        <w:rPr>
          <w:rFonts w:ascii="Consolas" w:eastAsia="Consolas" w:hAnsi="Consolas" w:cs="Consolas"/>
          <w:color w:val="000080"/>
          <w:shd w:val="clear" w:color="auto" w:fill="F8F8F8"/>
        </w:rPr>
        <w:t>&lt;choice&gt;&lt;unclear&gt;</w:t>
      </w:r>
      <w:r>
        <w:rPr>
          <w:rFonts w:ascii="Consolas" w:eastAsia="Consolas" w:hAnsi="Consolas" w:cs="Consolas"/>
          <w:color w:val="333333"/>
          <w:shd w:val="clear" w:color="auto" w:fill="F8F8F8"/>
        </w:rPr>
        <w:t>ā</w:t>
      </w:r>
      <w:r>
        <w:rPr>
          <w:rFonts w:ascii="Consolas" w:eastAsia="Consolas" w:hAnsi="Consolas" w:cs="Consolas"/>
          <w:color w:val="000080"/>
          <w:shd w:val="clear" w:color="auto" w:fill="F8F8F8"/>
        </w:rPr>
        <w:t>&lt;/unclear&gt;&lt;unclear&gt;</w:t>
      </w:r>
      <w:r>
        <w:rPr>
          <w:rFonts w:ascii="Consolas" w:eastAsia="Consolas" w:hAnsi="Consolas" w:cs="Consolas"/>
          <w:color w:val="333333"/>
          <w:shd w:val="clear" w:color="auto" w:fill="F8F8F8"/>
        </w:rPr>
        <w:t>ara</w:t>
      </w:r>
      <w:r>
        <w:rPr>
          <w:rFonts w:ascii="Consolas" w:eastAsia="Consolas" w:hAnsi="Consolas" w:cs="Consolas"/>
          <w:color w:val="000080"/>
          <w:shd w:val="clear" w:color="auto" w:fill="F8F8F8"/>
        </w:rPr>
        <w:t>&lt;/unclear&gt;&lt;unclear&gt;</w:t>
      </w:r>
      <w:r>
        <w:rPr>
          <w:rFonts w:ascii="Consolas" w:eastAsia="Consolas" w:hAnsi="Consolas" w:cs="Consolas"/>
          <w:color w:val="333333"/>
          <w:shd w:val="clear" w:color="auto" w:fill="F8F8F8"/>
        </w:rPr>
        <w:t>ar</w:t>
      </w:r>
      <w:r>
        <w:rPr>
          <w:rFonts w:ascii="Consolas" w:eastAsia="Consolas" w:hAnsi="Consolas" w:cs="Consolas"/>
          <w:color w:val="000080"/>
          <w:shd w:val="clear" w:color="auto" w:fill="F8F8F8"/>
        </w:rPr>
        <w:t>&lt;/unclear&gt;&lt;unclear&gt;</w:t>
      </w:r>
      <w:r>
        <w:rPr>
          <w:rFonts w:ascii="Consolas" w:eastAsia="Consolas" w:hAnsi="Consolas" w:cs="Consolas"/>
          <w:color w:val="333333"/>
          <w:shd w:val="clear" w:color="auto" w:fill="F8F8F8"/>
        </w:rPr>
        <w:t>ra</w:t>
      </w:r>
      <w:r>
        <w:rPr>
          <w:rFonts w:ascii="Consolas" w:eastAsia="Consolas" w:hAnsi="Consolas" w:cs="Consolas"/>
          <w:color w:val="000080"/>
          <w:shd w:val="clear" w:color="auto" w:fill="F8F8F8"/>
        </w:rPr>
        <w:t>&lt;/unclear&gt;&lt;/choice&gt;</w:t>
      </w:r>
      <w:r>
        <w:t xml:space="preserve"> unless all are indeed plausible and worth recording.</w:t>
      </w:r>
    </w:p>
  </w:footnote>
  <w:footnote w:id="29">
    <w:p w14:paraId="2EC2EF7F" w14:textId="739B3EE6">
      <w:pPr>
        <w:pStyle w:val="Lbjegyzetszveg"/>
      </w:pPr>
      <w:r>
        <w:tab/>
      </w:r>
      <w:r>
        <w:rPr>
          <w:rStyle w:val="Lbjegyzet-hivatkozs"/>
        </w:rPr>
        <w:footnoteRef/>
      </w:r>
      <w:r>
        <w:tab/>
        <w:t>The same element is used in TEI in other situations where text is absent. In our practice, it is put to use when text omitted by the scribe cannot be restored by the editor (§</w:t>
      </w:r>
      <w:r>
        <w:fldChar w:fldCharType="begin"/>
      </w:r>
      <w:r>
        <w:instrText xml:space="preserve"> REF _Ref63674857 \r \h </w:instrText>
      </w:r>
      <w:r>
        <w:fldChar w:fldCharType="separate"/>
      </w:r>
      <w:r>
        <w:t>7.7</w:t>
      </w:r>
      <w:r>
        <w:fldChar w:fldCharType="end"/>
      </w:r>
      <w:r>
        <w:t>) and when the editor omits some text from a critical apparatus (§</w:t>
      </w:r>
      <w:r>
        <w:fldChar w:fldCharType="begin"/>
      </w:r>
      <w:r>
        <w:instrText xml:space="preserve"> REF _Ref61250887 \r \h </w:instrText>
      </w:r>
      <w:r>
        <w:fldChar w:fldCharType="separate"/>
      </w:r>
      <w:r>
        <w:t>10.3</w:t>
      </w:r>
      <w:r>
        <w:fldChar w:fldCharType="end"/>
      </w:r>
      <w:r>
        <w:t>) or a translation (§</w:t>
      </w:r>
      <w:r>
        <w:fldChar w:fldCharType="begin"/>
      </w:r>
      <w:r>
        <w:instrText xml:space="preserve"> REF _Ref43990112 \r \h </w:instrText>
      </w:r>
      <w:r>
        <w:fldChar w:fldCharType="separate"/>
      </w:r>
      <w:r>
        <w:t>11.4.3</w:t>
      </w:r>
      <w:r>
        <w:fldChar w:fldCharType="end"/>
      </w:r>
      <w:r>
        <w:t>).</w:t>
      </w:r>
    </w:p>
  </w:footnote>
  <w:footnote w:id="30">
    <w:p w14:paraId="076AB488" w14:textId="77777777">
      <w:pPr>
        <w:pStyle w:val="Lbjegyzetszveg"/>
      </w:pPr>
      <w:r>
        <w:tab/>
      </w:r>
      <w:r>
        <w:rPr>
          <w:rStyle w:val="Lbjegyzet-hivatkozs"/>
        </w:rPr>
        <w:footnoteRef/>
      </w:r>
      <w:r>
        <w:tab/>
        <w:t xml:space="preserve">The EpiDoc schema permits the use of </w:t>
      </w:r>
      <w:r>
        <w:rPr>
          <w:rStyle w:val="Codeattribute"/>
        </w:rPr>
        <w:t>@extent</w:t>
      </w:r>
      <w:r>
        <w:t xml:space="preserve"> without </w:t>
      </w:r>
      <w:r>
        <w:rPr>
          <w:rStyle w:val="Codeattribute"/>
        </w:rPr>
        <w:t>@unit</w:t>
      </w:r>
      <w:r>
        <w:t>.</w:t>
      </w:r>
    </w:p>
  </w:footnote>
  <w:footnote w:id="31">
    <w:p w14:paraId="239C6D45" w14:textId="77777777">
      <w:pPr>
        <w:pStyle w:val="Lbjegyzetszveg"/>
      </w:pPr>
      <w:r>
        <w:tab/>
      </w:r>
      <w:r>
        <w:rPr>
          <w:rStyle w:val="Lbjegyzet-hivatkozs"/>
        </w:rPr>
        <w:footnoteRef/>
      </w:r>
      <w:r>
        <w:tab/>
        <w:t>In Sanskrit quantitative verse, the number of lost syllables may be estimated at 75% of the number of missing morae. Thus, if a 12-mora chunk is missing from a verse line, estimate the length of the lacuna at 9 characters if you have no better indication. This figure is based on a quick statistical look at a small sample; feel free to use a better approximation if you can, and do not worry too much about the accuracy of the character count.</w:t>
      </w:r>
    </w:p>
  </w:footnote>
  <w:footnote w:id="32">
    <w:p w14:paraId="4318BBD2" w14:textId="77777777">
      <w:pPr>
        <w:pStyle w:val="Lbjegyzetszveg"/>
      </w:pPr>
      <w:r>
        <w:tab/>
      </w:r>
      <w:r>
        <w:rPr>
          <w:rStyle w:val="Lbjegyzet-hivatkozs"/>
        </w:rPr>
        <w:footnoteRef/>
      </w:r>
      <w:r>
        <w:tab/>
        <w:t xml:space="preserve">The explanation for the apparent contradiction between the element’s name and the fact that it indicates uncertainty is that this element would normally take the attribute </w:t>
      </w:r>
      <w:r>
        <w:rPr>
          <w:rStyle w:val="Codeattribute"/>
        </w:rPr>
        <w:t>@cert</w:t>
      </w:r>
      <w:r>
        <w:t xml:space="preserve"> to indicate a degree of certainty. However, in EpiDoc and thus in our encoding practice, </w:t>
      </w:r>
      <w:r>
        <w:rPr>
          <w:rStyle w:val="Code"/>
        </w:rPr>
        <w:t>&lt;certainty&gt;</w:t>
      </w:r>
      <w:r>
        <w:t xml:space="preserve"> is only used for indicating low certainty, and is by default understood to mean </w:t>
      </w:r>
      <w:r>
        <w:rPr>
          <w:rStyle w:val="Code"/>
        </w:rPr>
        <w:t xml:space="preserve">&lt;certainty </w:t>
      </w:r>
      <w:r>
        <w:rPr>
          <w:rStyle w:val="Codeattribute"/>
        </w:rPr>
        <w:t>cert=</w:t>
      </w:r>
      <w:r>
        <w:rPr>
          <w:rStyle w:val="Codevalue"/>
        </w:rPr>
        <w:t>"low"</w:t>
      </w:r>
      <w:r>
        <w:rPr>
          <w:rStyle w:val="Code"/>
        </w:rPr>
        <w:t>&gt;</w:t>
      </w:r>
      <w:r>
        <w:t>.</w:t>
      </w:r>
    </w:p>
  </w:footnote>
  <w:footnote w:id="33">
    <w:p w14:paraId="26EA3345" w14:textId="2B5CC5FC">
      <w:pPr>
        <w:pStyle w:val="Lbjegyzetszveg"/>
      </w:pPr>
      <w:r>
        <w:tab/>
      </w:r>
      <w:r>
        <w:rPr>
          <w:rStyle w:val="Lbjegyzet-hivatkozs"/>
        </w:rPr>
        <w:footnoteRef/>
      </w:r>
      <w:r>
        <w:tab/>
        <w:t>As noted in §</w:t>
      </w:r>
      <w:r>
        <w:fldChar w:fldCharType="begin"/>
      </w:r>
      <w:r>
        <w:instrText xml:space="preserve"> REF _Ref228799393 \r \h </w:instrText>
      </w:r>
      <w:r>
        <w:fldChar w:fldCharType="separate"/>
      </w:r>
      <w:r>
        <w:t>5.5</w:t>
      </w:r>
      <w:r>
        <w:fldChar w:fldCharType="end"/>
      </w:r>
      <w:r>
        <w:t>, ‘scribe’ means any person involved in the creation of a written document before it became an object of modern study.</w:t>
      </w:r>
    </w:p>
  </w:footnote>
  <w:footnote w:id="34">
    <w:p w14:paraId="01BD9897" w14:textId="7F37B5A2">
      <w:pPr>
        <w:pStyle w:val="Lbjegyzetszveg"/>
      </w:pPr>
      <w:r>
        <w:tab/>
      </w:r>
      <w:r>
        <w:rPr>
          <w:rStyle w:val="Lbjegyzet-hivatkozs"/>
        </w:rPr>
        <w:footnoteRef/>
      </w:r>
      <w:r>
        <w:tab/>
        <w:t xml:space="preserve">For other uses of this element with different values of </w:t>
      </w:r>
      <w:r>
        <w:rPr>
          <w:rStyle w:val="Codeattribute"/>
        </w:rPr>
        <w:t>@reason</w:t>
      </w:r>
      <w:r>
        <w:t>, see §</w:t>
      </w:r>
      <w:r>
        <w:fldChar w:fldCharType="begin"/>
      </w:r>
      <w:r>
        <w:instrText xml:space="preserve"> REF _Ref228864988 \r \h </w:instrText>
      </w:r>
      <w:r>
        <w:fldChar w:fldCharType="separate"/>
      </w:r>
      <w:r>
        <w:t>6.4.1</w:t>
      </w:r>
      <w:r>
        <w:fldChar w:fldCharType="end"/>
      </w:r>
      <w:r>
        <w:t>.</w:t>
      </w:r>
    </w:p>
  </w:footnote>
  <w:footnote w:id="35">
    <w:p w14:paraId="61938702" w14:textId="0BA4D3BD">
      <w:pPr>
        <w:pStyle w:val="Lbjegyzetszveg"/>
      </w:pPr>
      <w:r>
        <w:tab/>
      </w:r>
      <w:r>
        <w:rPr>
          <w:rStyle w:val="Lbjegyzet-hivatkozs"/>
        </w:rPr>
        <w:footnoteRef/>
      </w:r>
      <w:r>
        <w:tab/>
      </w:r>
      <w:hyperlink r:id="rId12" w:history="1">
        <w:r>
          <w:rPr>
            <w:rStyle w:val="Hiperhivatkozs"/>
          </w:rPr>
          <w:t>https://opentheso.huma-num.fr/opentheso/?idc=84154&amp;idt=th347</w:t>
        </w:r>
      </w:hyperlink>
    </w:p>
  </w:footnote>
  <w:footnote w:id="36">
    <w:p w14:paraId="73AF53BB" w14:textId="533E702B">
      <w:pPr>
        <w:pStyle w:val="Lbjegyzetszveg"/>
      </w:pPr>
      <w:r>
        <w:tab/>
      </w:r>
      <w:r>
        <w:rPr>
          <w:rStyle w:val="Lbjegyzet-hivatkozs"/>
        </w:rPr>
        <w:footnoteRef/>
      </w:r>
      <w:r>
        <w:tab/>
      </w:r>
      <w:hyperlink r:id="rId13" w:history="1">
        <w:r>
          <w:rPr>
            <w:rStyle w:val="Hiperhivatkozs"/>
          </w:rPr>
          <w:t>https://opentheso.huma-num.fr/opentheso/?idc=84156&amp;idt=th347</w:t>
        </w:r>
      </w:hyperlink>
    </w:p>
  </w:footnote>
  <w:footnote w:id="37">
    <w:p w14:paraId="282C3561" w14:textId="77777777">
      <w:pPr>
        <w:pStyle w:val="Lbjegyzetszveg"/>
      </w:pPr>
      <w:r>
        <w:tab/>
      </w:r>
      <w:r>
        <w:rPr>
          <w:rStyle w:val="Lbjegyzet-hivatkozs"/>
        </w:rPr>
        <w:footnoteRef/>
      </w:r>
      <w:r>
        <w:tab/>
        <w:t>The reason why the attribute is named “new” is presumably the fact that it identifies the hand taking over at the shift. TEI guidelines note that this attribute may be renamed in a subsequent major release.</w:t>
      </w:r>
    </w:p>
  </w:footnote>
  <w:footnote w:id="38">
    <w:p w14:paraId="43089B3C" w14:textId="53350CD3">
      <w:pPr>
        <w:pStyle w:val="Lbjegyzetszveg"/>
      </w:pPr>
      <w:r>
        <w:tab/>
      </w:r>
      <w:r>
        <w:rPr>
          <w:rStyle w:val="Lbjegyzet-hivatkozs"/>
        </w:rPr>
        <w:footnoteRef/>
      </w:r>
      <w:r>
        <w:tab/>
        <w:t xml:space="preserve">Although the TEI guidelines </w:t>
      </w:r>
      <w:r>
        <w:rPr>
          <w:noProof/>
        </w:rPr>
        <w:t>(</w:t>
      </w:r>
      <w:hyperlink r:id="rId14" w:anchor="WDWMEG" w:history="1">
        <w:r>
          <w:rPr>
            <w:rStyle w:val="Hiperhivatkozs"/>
          </w:rPr>
          <w:t>https://www.tei-c.org/release/doc/tei-p5-doc/en/html/WD.html#WDWMEG</w:t>
        </w:r>
      </w:hyperlink>
      <w:r>
        <w:t xml:space="preserve">) recommend the use of </w:t>
      </w:r>
      <w:r>
        <w:rPr>
          <w:rStyle w:val="Codeattribute"/>
        </w:rPr>
        <w:t>@style</w:t>
      </w:r>
      <w:r>
        <w:t xml:space="preserve"> with CSS styling instructions to encode text directionality and orientation, these instructions provide no clear solution for handling case C in the illustration below and handle cases A and B very differently from D. To minimise complexity, we prefer to introduce custom values of </w:t>
      </w:r>
      <w:r>
        <w:rPr>
          <w:rStyle w:val="Codeattribute"/>
        </w:rPr>
        <w:t>@rend</w:t>
      </w:r>
      <w:r>
        <w:t xml:space="preserve"> for this purpose, since our objective is to document the way the original text was written, and not to create machine-actionable code for reproducing the source’s writing mode on screen or in print.</w:t>
      </w:r>
    </w:p>
  </w:footnote>
  <w:footnote w:id="39">
    <w:p w14:paraId="3C383433" w14:textId="050FE92B">
      <w:pPr>
        <w:pStyle w:val="Lbjegyzetszveg"/>
      </w:pPr>
      <w:r>
        <w:tab/>
      </w:r>
      <w:r>
        <w:rPr>
          <w:rStyle w:val="Lbjegyzet-hivatkozs"/>
        </w:rPr>
        <w:footnoteRef/>
      </w:r>
      <w:r>
        <w:tab/>
      </w:r>
      <w:hyperlink r:id="rId15" w:history="1">
        <w:r>
          <w:rPr>
            <w:rStyle w:val="Hiperhivatkozs"/>
            <w:noProof/>
          </w:rPr>
          <w:t>https://epidoc.stoa.org/gl/latest/trans-numnoncongruent.html</w:t>
        </w:r>
      </w:hyperlink>
    </w:p>
  </w:footnote>
  <w:footnote w:id="40">
    <w:p w14:paraId="5337557A" w14:textId="5653E648">
      <w:pPr>
        <w:pStyle w:val="Lbjegyzetszveg"/>
      </w:pPr>
      <w:r>
        <w:tab/>
      </w:r>
      <w:r>
        <w:rPr>
          <w:rStyle w:val="Lbjegyzet-hivatkozs"/>
        </w:rPr>
        <w:footnoteRef/>
      </w:r>
      <w:r>
        <w:tab/>
        <w:t>See §</w:t>
      </w:r>
      <w:r>
        <w:fldChar w:fldCharType="begin"/>
      </w:r>
      <w:r>
        <w:instrText xml:space="preserve"> REF _Ref231978934 \r \h </w:instrText>
      </w:r>
      <w:r>
        <w:fldChar w:fldCharType="separate"/>
      </w:r>
      <w:r>
        <w:t>8.4</w:t>
      </w:r>
      <w:r>
        <w:fldChar w:fldCharType="end"/>
      </w:r>
      <w:r>
        <w:t xml:space="preserve"> about the use of </w:t>
      </w:r>
      <w:r>
        <w:rPr>
          <w:rFonts w:ascii="Consolas" w:eastAsia="Consolas" w:hAnsi="Consolas" w:cs="Consolas"/>
          <w:color w:val="000080"/>
          <w:shd w:val="clear" w:color="auto" w:fill="F8F8F8"/>
        </w:rPr>
        <w:t>&lt;hi&gt;</w:t>
      </w:r>
      <w:r>
        <w:t xml:space="preserve"> in the edition.</w:t>
      </w:r>
    </w:p>
  </w:footnote>
  <w:footnote w:id="41">
    <w:p w14:paraId="0CD71811" w14:textId="48DC6778">
      <w:pPr>
        <w:pStyle w:val="Lbjegyzetszveg"/>
      </w:pPr>
      <w:r>
        <w:tab/>
      </w:r>
      <w:r>
        <w:rPr>
          <w:rStyle w:val="Lbjegyzet-hivatkozs"/>
        </w:rPr>
        <w:footnoteRef/>
      </w:r>
      <w:r>
        <w:tab/>
      </w:r>
      <w:hyperlink r:id="rId16" w:history="1">
        <w:r>
          <w:rPr>
            <w:rStyle w:val="Hiperhivatkozs"/>
          </w:rPr>
          <w:t>https://iso639-3.sil.org/code_tables/639/data</w:t>
        </w:r>
      </w:hyperlink>
      <w:r>
        <w:t xml:space="preserve"> </w:t>
      </w:r>
    </w:p>
  </w:footnote>
  <w:footnote w:id="42">
    <w:p w14:paraId="32C3097C" w14:textId="51E0D326">
      <w:pPr>
        <w:pStyle w:val="Lbjegyzetszveg"/>
        <w:rPr>
          <w:b/>
        </w:rPr>
      </w:pPr>
      <w:r>
        <w:tab/>
      </w:r>
      <w:r>
        <w:rPr>
          <w:rStyle w:val="Lbjegyzet-hivatkozs"/>
        </w:rPr>
        <w:footnoteRef/>
      </w:r>
      <w:r>
        <w:tab/>
      </w:r>
      <w:hyperlink r:id="rId17" w:history="1">
        <w:r>
          <w:rPr>
            <w:rStyle w:val="Hiperhivatkozs"/>
          </w:rPr>
          <w:t>https://en.wikipedia.org/wiki/ISO_15924</w:t>
        </w:r>
      </w:hyperlink>
    </w:p>
  </w:footnote>
  <w:footnote w:id="43">
    <w:p w14:paraId="7F4FB48F" w14:textId="621BC945">
      <w:pPr>
        <w:pStyle w:val="Lbjegyzetszveg"/>
      </w:pPr>
      <w:r>
        <w:tab/>
      </w:r>
      <w:r>
        <w:rPr>
          <w:rStyle w:val="Lbjegyzet-hivatkozs"/>
        </w:rPr>
        <w:footnoteRef/>
      </w:r>
      <w:r>
        <w:tab/>
        <w:t xml:space="preserve">See </w:t>
      </w:r>
      <w:hyperlink r:id="rId18" w:history="1">
        <w:r>
          <w:rPr>
            <w:rStyle w:val="Hiperhivatkozs"/>
          </w:rPr>
          <w:t>https://wiki.tei-c.org/index.php/XML_Whitespace</w:t>
        </w:r>
      </w:hyperlink>
      <w:r>
        <w:t xml:space="preserve"> for a more detailed discussion of white space in XML.</w:t>
      </w:r>
    </w:p>
  </w:footnote>
  <w:footnote w:id="44">
    <w:p w14:paraId="2FCEBBF9" w14:textId="77777777">
      <w:pPr>
        <w:pStyle w:val="Lbjegyzetszveg"/>
      </w:pPr>
      <w:r>
        <w:tab/>
      </w:r>
      <w:r>
        <w:rPr>
          <w:rStyle w:val="Lbjegyzet-hivatkozs"/>
        </w:rPr>
        <w:footnoteRef/>
      </w:r>
      <w:r>
        <w:tab/>
        <w:t xml:space="preserve">This is not a technical requirement and its violation does not result in your code becoming invalid. However, since in many cases these elements will </w:t>
      </w:r>
      <w:r>
        <w:rPr>
          <w:rStyle w:val="Foreign"/>
        </w:rPr>
        <w:t>have to</w:t>
      </w:r>
      <w:r>
        <w:t xml:space="preserve"> appear within block-level containers, we consider it better practice to always place them so, for consistency’s sake.</w:t>
      </w:r>
    </w:p>
  </w:footnote>
  <w:footnote w:id="45">
    <w:p w14:paraId="290E1A32" w14:textId="77777777">
      <w:pPr>
        <w:pStyle w:val="Lbjegyzetszveg"/>
      </w:pPr>
      <w:r>
        <w:tab/>
      </w:r>
      <w:r>
        <w:rPr>
          <w:rStyle w:val="Lbjegyzet-hivatkozs"/>
        </w:rPr>
        <w:footnoteRef/>
      </w:r>
      <w:r>
        <w:tab/>
        <w:t xml:space="preserve">Double hyphens are used in CII convention to indicate non-compound word separation where the end of the first and the beginning of the second word belong to the same </w:t>
      </w:r>
      <w:r>
        <w:rPr>
          <w:rStyle w:val="Foreign"/>
        </w:rPr>
        <w:t>akṣara</w:t>
      </w:r>
      <w:r>
        <w:t xml:space="preserve"> of the original. Their primary function is to distinguish regular </w:t>
      </w:r>
      <w:proofErr w:type="spellStart"/>
      <w:r>
        <w:rPr>
          <w:rStyle w:val="Foreign"/>
        </w:rPr>
        <w:t>akṣara</w:t>
      </w:r>
      <w:r>
        <w:t>s</w:t>
      </w:r>
      <w:proofErr w:type="spellEnd"/>
      <w:r>
        <w:t xml:space="preserve"> from </w:t>
      </w:r>
      <w:r>
        <w:rPr>
          <w:rStyle w:val="Foreign"/>
        </w:rPr>
        <w:t>halanta</w:t>
      </w:r>
      <w:r>
        <w:t xml:space="preserve"> consonants and initial vowels </w:t>
      </w:r>
      <w:r>
        <w:rPr>
          <w:noProof/>
        </w:rPr>
        <w:t>(</w:t>
      </w:r>
      <w:r>
        <w:t xml:space="preserve">e.g. </w:t>
      </w:r>
      <w:r>
        <w:rPr>
          <w:rStyle w:val="ForeignDevanagariScript"/>
          <w:rFonts w:ascii="Kokila" w:hAnsi="Kokila" w:cs="Kokila"/>
        </w:rPr>
        <w:t>तदाहुः</w:t>
      </w:r>
      <w:r>
        <w:t xml:space="preserve"> &gt; </w:t>
      </w:r>
      <w:r>
        <w:rPr>
          <w:rStyle w:val="Foreign"/>
        </w:rPr>
        <w:t>tad=āhuḥ</w:t>
      </w:r>
      <w:r>
        <w:t xml:space="preserve">; </w:t>
      </w:r>
      <w:r>
        <w:rPr>
          <w:rStyle w:val="ForeignDevanagariScript"/>
          <w:rFonts w:ascii="Kokila" w:hAnsi="Kokila" w:cs="Kokila"/>
        </w:rPr>
        <w:t>तद्</w:t>
      </w:r>
      <w:r>
        <w:rPr>
          <w:rStyle w:val="ForeignDevanagariScript"/>
        </w:rPr>
        <w:t xml:space="preserve"> </w:t>
      </w:r>
      <w:r>
        <w:rPr>
          <w:rStyle w:val="ForeignDevanagariScript"/>
          <w:rFonts w:ascii="Kokila" w:hAnsi="Kokila" w:cs="Kokila"/>
        </w:rPr>
        <w:t>आहुः</w:t>
      </w:r>
      <w:r>
        <w:t xml:space="preserve"> &gt; </w:t>
      </w:r>
      <w:r>
        <w:rPr>
          <w:rStyle w:val="Foreign"/>
        </w:rPr>
        <w:t>tad āhuḥ</w:t>
      </w:r>
      <w:r>
        <w:t xml:space="preserve">). We achieve this distinction by means of uppercase characters and explicit </w:t>
      </w:r>
      <w:r>
        <w:rPr>
          <w:rStyle w:val="Foreign"/>
        </w:rPr>
        <w:t>virāma</w:t>
      </w:r>
      <w:r>
        <w:rPr>
          <w:noProof/>
        </w:rPr>
        <w:t xml:space="preserve"> in the transliteration (</w:t>
      </w:r>
      <w:r>
        <w:t xml:space="preserve">e.g. </w:t>
      </w:r>
      <w:r>
        <w:rPr>
          <w:rStyle w:val="ForeignDevanagariScript"/>
          <w:rFonts w:ascii="Kokila" w:hAnsi="Kokila" w:cs="Kokila"/>
        </w:rPr>
        <w:t>तदाहुः</w:t>
      </w:r>
      <w:r>
        <w:t xml:space="preserve"> &gt; </w:t>
      </w:r>
      <w:r>
        <w:rPr>
          <w:rStyle w:val="Foreign"/>
        </w:rPr>
        <w:t>tad āhuḥ</w:t>
      </w:r>
      <w:r>
        <w:t xml:space="preserve">; </w:t>
      </w:r>
      <w:r>
        <w:rPr>
          <w:rStyle w:val="ForeignDevanagariScript"/>
          <w:rFonts w:ascii="Kokila" w:hAnsi="Kokila" w:cs="Kokila"/>
        </w:rPr>
        <w:t>तद्</w:t>
      </w:r>
      <w:r>
        <w:rPr>
          <w:rStyle w:val="ForeignDevanagariScript"/>
        </w:rPr>
        <w:t xml:space="preserve"> </w:t>
      </w:r>
      <w:r>
        <w:rPr>
          <w:rStyle w:val="ForeignDevanagariScript"/>
          <w:rFonts w:ascii="Kokila" w:hAnsi="Kokila" w:cs="Kokila"/>
        </w:rPr>
        <w:t>आहुः</w:t>
      </w:r>
      <w:r>
        <w:t xml:space="preserve"> &gt; </w:t>
      </w:r>
      <w:r>
        <w:rPr>
          <w:rStyle w:val="Foreign"/>
        </w:rPr>
        <w:t>tad· Āhuḥ</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6E5"/>
    <w:multiLevelType w:val="multilevel"/>
    <w:tmpl w:val="0526F8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20776C2"/>
    <w:multiLevelType w:val="hybridMultilevel"/>
    <w:tmpl w:val="F97A8352"/>
    <w:lvl w:ilvl="0" w:tplc="B96038A8">
      <w:start w:val="1"/>
      <w:numFmt w:val="bullet"/>
      <w:pStyle w:val="TableNote"/>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A6119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EE60E80"/>
    <w:multiLevelType w:val="hybridMultilevel"/>
    <w:tmpl w:val="9984D74C"/>
    <w:lvl w:ilvl="0" w:tplc="D2AA8480">
      <w:numFmt w:val="bullet"/>
      <w:lvlText w:val="-"/>
      <w:lvlJc w:val="left"/>
      <w:pPr>
        <w:ind w:left="720" w:hanging="360"/>
      </w:pPr>
      <w:rPr>
        <w:rFonts w:ascii="Gentium Plus" w:eastAsia="Arial Unicode MS" w:hAnsi="Gentium Plus" w:cs="Gentium Plu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C0657B"/>
    <w:multiLevelType w:val="multilevel"/>
    <w:tmpl w:val="28ACCB18"/>
    <w:lvl w:ilvl="0">
      <w:start w:val="1"/>
      <w:numFmt w:val="bullet"/>
      <w:pStyle w:val="Lista"/>
      <w:lvlText w:val="–"/>
      <w:lvlJc w:val="left"/>
      <w:pPr>
        <w:ind w:left="170" w:hanging="170"/>
      </w:pPr>
      <w:rPr>
        <w:rFonts w:hint="default"/>
      </w:rPr>
    </w:lvl>
    <w:lvl w:ilvl="1">
      <w:start w:val="1"/>
      <w:numFmt w:val="bullet"/>
      <w:pStyle w:val="Lista2"/>
      <w:lvlText w:val="–"/>
      <w:lvlJc w:val="left"/>
      <w:pPr>
        <w:ind w:left="340" w:hanging="170"/>
      </w:pPr>
      <w:rPr>
        <w:rFonts w:hint="default"/>
      </w:rPr>
    </w:lvl>
    <w:lvl w:ilvl="2">
      <w:start w:val="1"/>
      <w:numFmt w:val="bullet"/>
      <w:pStyle w:val="Lista3"/>
      <w:lvlText w:val="–"/>
      <w:lvlJc w:val="left"/>
      <w:pPr>
        <w:ind w:left="510" w:hanging="170"/>
      </w:pPr>
      <w:rPr>
        <w:rFonts w:hint="default"/>
      </w:rPr>
    </w:lvl>
    <w:lvl w:ilvl="3">
      <w:start w:val="1"/>
      <w:numFmt w:val="bullet"/>
      <w:pStyle w:val="Lista4"/>
      <w:lvlText w:val="–"/>
      <w:lvlJc w:val="left"/>
      <w:pPr>
        <w:ind w:left="680" w:hanging="170"/>
      </w:pPr>
      <w:rPr>
        <w:rFonts w:hint="default"/>
      </w:rPr>
    </w:lvl>
    <w:lvl w:ilvl="4">
      <w:start w:val="1"/>
      <w:numFmt w:val="bullet"/>
      <w:pStyle w:val="Lista5"/>
      <w:lvlText w:val="–"/>
      <w:lvlJc w:val="left"/>
      <w:pPr>
        <w:ind w:left="850" w:hanging="170"/>
      </w:pPr>
      <w:rPr>
        <w:rFonts w:hint="default"/>
      </w:rPr>
    </w:lvl>
    <w:lvl w:ilvl="5">
      <w:start w:val="1"/>
      <w:numFmt w:val="bullet"/>
      <w:lvlText w:val="–"/>
      <w:lvlJc w:val="left"/>
      <w:pPr>
        <w:ind w:left="1020" w:hanging="170"/>
      </w:pPr>
      <w:rPr>
        <w:rFonts w:hint="default"/>
      </w:rPr>
    </w:lvl>
    <w:lvl w:ilvl="6">
      <w:start w:val="1"/>
      <w:numFmt w:val="bullet"/>
      <w:lvlText w:val="–"/>
      <w:lvlJc w:val="left"/>
      <w:pPr>
        <w:ind w:left="1190" w:hanging="170"/>
      </w:pPr>
      <w:rPr>
        <w:rFonts w:hint="default"/>
      </w:rPr>
    </w:lvl>
    <w:lvl w:ilvl="7">
      <w:start w:val="1"/>
      <w:numFmt w:val="bullet"/>
      <w:lvlText w:val="–"/>
      <w:lvlJc w:val="left"/>
      <w:pPr>
        <w:ind w:left="1360" w:hanging="170"/>
      </w:pPr>
      <w:rPr>
        <w:rFonts w:hint="default"/>
      </w:rPr>
    </w:lvl>
    <w:lvl w:ilvl="8">
      <w:start w:val="1"/>
      <w:numFmt w:val="bullet"/>
      <w:lvlText w:val="–"/>
      <w:lvlJc w:val="left"/>
      <w:pPr>
        <w:ind w:left="1530" w:hanging="170"/>
      </w:pPr>
      <w:rPr>
        <w:rFonts w:hint="default"/>
      </w:rPr>
    </w:lvl>
  </w:abstractNum>
  <w:abstractNum w:abstractNumId="5" w15:restartNumberingAfterBreak="0">
    <w:nsid w:val="33C674BD"/>
    <w:multiLevelType w:val="multilevel"/>
    <w:tmpl w:val="8C0E9F44"/>
    <w:lvl w:ilvl="0">
      <w:start w:val="1"/>
      <w:numFmt w:val="upperLetter"/>
      <w:suff w:val="space"/>
      <w:lvlText w:val="Appendix %1."/>
      <w:lvlJc w:val="left"/>
      <w:pPr>
        <w:ind w:left="0" w:firstLine="0"/>
      </w:pPr>
      <w:rPr>
        <w:rFonts w:hint="default"/>
      </w:rPr>
    </w:lvl>
    <w:lvl w:ilvl="1">
      <w:start w:val="1"/>
      <w:numFmt w:val="decimal"/>
      <w:suff w:val="space"/>
      <w:lvlText w:val="Appendix %1.%2."/>
      <w:lvlJc w:val="left"/>
      <w:pPr>
        <w:ind w:left="0" w:firstLine="0"/>
      </w:pPr>
      <w:rPr>
        <w:rFonts w:hint="default"/>
      </w:rPr>
    </w:lvl>
    <w:lvl w:ilvl="2">
      <w:start w:val="1"/>
      <w:numFmt w:val="decimal"/>
      <w:suff w:val="space"/>
      <w:lvlText w:val="Appendix %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6" w15:restartNumberingAfterBreak="0">
    <w:nsid w:val="365D43D7"/>
    <w:multiLevelType w:val="hybridMultilevel"/>
    <w:tmpl w:val="C4323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F2672F"/>
    <w:multiLevelType w:val="multilevel"/>
    <w:tmpl w:val="6DE09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089003F"/>
    <w:multiLevelType w:val="multilevel"/>
    <w:tmpl w:val="C69AAC88"/>
    <w:lvl w:ilvl="0">
      <w:start w:val="1"/>
      <w:numFmt w:val="bullet"/>
      <w:lvlText w:val="–"/>
      <w:lvlJc w:val="left"/>
      <w:pPr>
        <w:ind w:left="170" w:hanging="17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3C769A7"/>
    <w:multiLevelType w:val="multilevel"/>
    <w:tmpl w:val="2A5C878E"/>
    <w:lvl w:ilvl="0">
      <w:start w:val="1"/>
      <w:numFmt w:val="decimal"/>
      <w:pStyle w:val="Cmsor1"/>
      <w:suff w:val="space"/>
      <w:lvlText w:val="%1."/>
      <w:lvlJc w:val="left"/>
      <w:pPr>
        <w:ind w:left="0" w:firstLine="0"/>
      </w:pPr>
      <w:rPr>
        <w:rFonts w:hint="default"/>
      </w:rPr>
    </w:lvl>
    <w:lvl w:ilvl="1">
      <w:start w:val="1"/>
      <w:numFmt w:val="decimal"/>
      <w:pStyle w:val="Cmsor2"/>
      <w:suff w:val="space"/>
      <w:lvlText w:val="%1.%2."/>
      <w:lvlJc w:val="left"/>
      <w:pPr>
        <w:ind w:left="0" w:firstLine="0"/>
      </w:pPr>
      <w:rPr>
        <w:rFonts w:hint="default"/>
      </w:rPr>
    </w:lvl>
    <w:lvl w:ilvl="2">
      <w:start w:val="1"/>
      <w:numFmt w:val="decimal"/>
      <w:pStyle w:val="Cmsor3"/>
      <w:suff w:val="space"/>
      <w:lvlText w:val="%1.%2.%3."/>
      <w:lvlJc w:val="left"/>
      <w:pPr>
        <w:ind w:left="0" w:firstLine="0"/>
      </w:pPr>
      <w:rPr>
        <w:rFonts w:hint="default"/>
      </w:rPr>
    </w:lvl>
    <w:lvl w:ilvl="3">
      <w:start w:val="1"/>
      <w:numFmt w:val="decimal"/>
      <w:pStyle w:val="Cmsor4"/>
      <w:suff w:val="space"/>
      <w:lvlText w:val="%1.%2.%3.%4."/>
      <w:lvlJc w:val="left"/>
      <w:pPr>
        <w:ind w:left="0" w:firstLine="0"/>
      </w:pPr>
      <w:rPr>
        <w:rFonts w:hint="default"/>
      </w:rPr>
    </w:lvl>
    <w:lvl w:ilvl="4">
      <w:start w:val="1"/>
      <w:numFmt w:val="decimal"/>
      <w:pStyle w:val="Cmsor5"/>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0" w15:restartNumberingAfterBreak="0">
    <w:nsid w:val="595E2359"/>
    <w:multiLevelType w:val="multilevel"/>
    <w:tmpl w:val="8C0E9F44"/>
    <w:lvl w:ilvl="0">
      <w:start w:val="1"/>
      <w:numFmt w:val="upperLetter"/>
      <w:suff w:val="space"/>
      <w:lvlText w:val="Appendix %1."/>
      <w:lvlJc w:val="left"/>
      <w:pPr>
        <w:ind w:left="0" w:firstLine="0"/>
      </w:pPr>
      <w:rPr>
        <w:rFonts w:hint="default"/>
      </w:rPr>
    </w:lvl>
    <w:lvl w:ilvl="1">
      <w:start w:val="1"/>
      <w:numFmt w:val="decimal"/>
      <w:suff w:val="space"/>
      <w:lvlText w:val="Appendix %1.%2."/>
      <w:lvlJc w:val="left"/>
      <w:pPr>
        <w:ind w:left="0" w:firstLine="0"/>
      </w:pPr>
      <w:rPr>
        <w:rFonts w:hint="default"/>
      </w:rPr>
    </w:lvl>
    <w:lvl w:ilvl="2">
      <w:start w:val="1"/>
      <w:numFmt w:val="decimal"/>
      <w:suff w:val="space"/>
      <w:lvlText w:val="Appendix %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1" w15:restartNumberingAfterBreak="0">
    <w:nsid w:val="59B66AEB"/>
    <w:multiLevelType w:val="multilevel"/>
    <w:tmpl w:val="ABEE7108"/>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526364B"/>
    <w:multiLevelType w:val="multilevel"/>
    <w:tmpl w:val="ED64D24A"/>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3" w15:restartNumberingAfterBreak="0">
    <w:nsid w:val="6AD70B07"/>
    <w:multiLevelType w:val="multilevel"/>
    <w:tmpl w:val="6DE09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A456903"/>
    <w:multiLevelType w:val="multilevel"/>
    <w:tmpl w:val="8C0E9F44"/>
    <w:lvl w:ilvl="0">
      <w:start w:val="1"/>
      <w:numFmt w:val="upperLetter"/>
      <w:suff w:val="space"/>
      <w:lvlText w:val="Appendix %1."/>
      <w:lvlJc w:val="left"/>
      <w:pPr>
        <w:ind w:left="0" w:firstLine="0"/>
      </w:pPr>
      <w:rPr>
        <w:rFonts w:hint="default"/>
      </w:rPr>
    </w:lvl>
    <w:lvl w:ilvl="1">
      <w:start w:val="1"/>
      <w:numFmt w:val="decimal"/>
      <w:suff w:val="space"/>
      <w:lvlText w:val="Appendix %1.%2."/>
      <w:lvlJc w:val="left"/>
      <w:pPr>
        <w:ind w:left="0" w:firstLine="0"/>
      </w:pPr>
      <w:rPr>
        <w:rFonts w:hint="default"/>
      </w:rPr>
    </w:lvl>
    <w:lvl w:ilvl="2">
      <w:start w:val="1"/>
      <w:numFmt w:val="decimal"/>
      <w:suff w:val="space"/>
      <w:lvlText w:val="Appendix %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num w:numId="1" w16cid:durableId="1575553586">
    <w:abstractNumId w:val="7"/>
  </w:num>
  <w:num w:numId="2" w16cid:durableId="2030914627">
    <w:abstractNumId w:val="4"/>
  </w:num>
  <w:num w:numId="3" w16cid:durableId="2111704896">
    <w:abstractNumId w:val="12"/>
  </w:num>
  <w:num w:numId="4" w16cid:durableId="1314137958">
    <w:abstractNumId w:val="1"/>
  </w:num>
  <w:num w:numId="5" w16cid:durableId="913858375">
    <w:abstractNumId w:val="11"/>
  </w:num>
  <w:num w:numId="6" w16cid:durableId="2143573831">
    <w:abstractNumId w:val="13"/>
  </w:num>
  <w:num w:numId="7" w16cid:durableId="1227953383">
    <w:abstractNumId w:val="5"/>
  </w:num>
  <w:num w:numId="8" w16cid:durableId="1666005622">
    <w:abstractNumId w:val="14"/>
  </w:num>
  <w:num w:numId="9" w16cid:durableId="794525522">
    <w:abstractNumId w:val="9"/>
  </w:num>
  <w:num w:numId="10" w16cid:durableId="362485327">
    <w:abstractNumId w:val="3"/>
  </w:num>
  <w:num w:numId="11" w16cid:durableId="1785491118">
    <w:abstractNumId w:val="0"/>
  </w:num>
  <w:num w:numId="12" w16cid:durableId="1483503064">
    <w:abstractNumId w:val="8"/>
  </w:num>
  <w:num w:numId="13" w16cid:durableId="409692400">
    <w:abstractNumId w:val="1"/>
  </w:num>
  <w:num w:numId="14" w16cid:durableId="1302879563">
    <w:abstractNumId w:val="1"/>
  </w:num>
  <w:num w:numId="15" w16cid:durableId="1801146250">
    <w:abstractNumId w:val="1"/>
  </w:num>
  <w:num w:numId="16" w16cid:durableId="1662731895">
    <w:abstractNumId w:val="6"/>
  </w:num>
  <w:num w:numId="17" w16cid:durableId="639111643">
    <w:abstractNumId w:val="2"/>
  </w:num>
  <w:num w:numId="18" w16cid:durableId="1491291614">
    <w:abstractNumId w:val="10"/>
  </w:num>
  <w:num w:numId="19" w16cid:durableId="1811942990">
    <w:abstractNumId w:val="9"/>
  </w:num>
  <w:num w:numId="20" w16cid:durableId="162665115">
    <w:abstractNumId w:val="9"/>
  </w:num>
  <w:num w:numId="21" w16cid:durableId="1888251178">
    <w:abstractNumId w:val="9"/>
  </w:num>
  <w:num w:numId="22" w16cid:durableId="1930694707">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TrueTypeFonts/>
  <w:saveSubsetFonts/>
  <w:proofState w:spelling="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avedView" w:val="3"/>
    <w:docVar w:name="varHeight1" w:val="1085"/>
    <w:docVar w:name="varHeight2" w:val="1085"/>
    <w:docVar w:name="varLeft1" w:val="-5"/>
    <w:docVar w:name="varLeft2" w:val="955"/>
    <w:docVar w:name="varNavHeight" w:val="1238"/>
    <w:docVar w:name="varNavLeft" w:val="0"/>
    <w:docVar w:name="varNavPosition" w:val="0"/>
    <w:docVar w:name="varNavTop" w:val="0"/>
    <w:docVar w:name="varNavVisible" w:val="True"/>
    <w:docVar w:name="varNavWidth" w:val="301"/>
    <w:docVar w:name="varPagination1" w:val="False"/>
    <w:docVar w:name="varPagination2" w:val="False"/>
    <w:docVar w:name="varRevCount1" w:val="1"/>
    <w:docVar w:name="varRevCount2" w:val="2"/>
    <w:docVar w:name="varRevShown1_1" w:val="True"/>
    <w:docVar w:name="varRevShown2_1" w:val="True"/>
    <w:docVar w:name="varRevShown2_2" w:val="True"/>
    <w:docVar w:name="varSavedView1" w:val="3"/>
    <w:docVar w:name="varSavedView2" w:val="3"/>
    <w:docVar w:name="varSelStart1" w:val="0"/>
    <w:docVar w:name="varSelStart2" w:val="635316"/>
    <w:docVar w:name="varTop1" w:val="0"/>
    <w:docVar w:name="varTop2" w:val="0"/>
    <w:docVar w:name="varWidth1" w:val="1446"/>
    <w:docVar w:name="varWidth2" w:val="971"/>
    <w:docVar w:name="varWindowCount" w:val="1"/>
    <w:docVar w:name="varZoom" w:val="140"/>
    <w:docVar w:name="varZoom1" w:val="145"/>
    <w:docVar w:name="varZoom2" w:val="140"/>
  </w:docVars>
  <m:mathPr>
    <m:mathFont m:val="Cambria Math"/>
    <m:brkBin m:val="before"/>
    <m:brkBinSub m:val="--"/>
    <m:smallFrac m:val="0"/>
    <m:dispDef/>
    <m:lMargin m:val="0"/>
    <m:rMargin m:val="0"/>
    <m:defJc m:val="centerGroup"/>
    <m:wrapIndent m:val="1440"/>
    <m:intLim m:val="subSup"/>
    <m:naryLim m:val="undOvr"/>
  </m:mathPr>
  <w:themeFontLang w:val="en-GB" w:eastAsia="en-GB"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iscardImageEditingData/>
  <w14:defaultImageDpi w14:val="32767"/>
  <w15:docId w15:val="{9D51553F-46BB-44F5-8D61-679A0F21A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hi-IN"/>
      </w:rPr>
    </w:rPrDefault>
    <w:pPrDefault>
      <w:pPr>
        <w:widowControl w:val="0"/>
        <w:ind w:left="170"/>
        <w:jc w:val="both"/>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24" w:unhideWhenUsed="1" w:qFormat="1"/>
    <w:lsdException w:name="footer" w:semiHidden="1" w:uiPriority="24"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7" w:unhideWhenUsed="1" w:qFormat="1"/>
    <w:lsdException w:name="List Bullet" w:semiHidden="1" w:unhideWhenUsed="1"/>
    <w:lsdException w:name="List Number" w:semiHidden="1" w:unhideWhenUsed="1"/>
    <w:lsdException w:name="List 2" w:semiHidden="1" w:uiPriority="7" w:unhideWhenUsed="1"/>
    <w:lsdException w:name="List 3" w:semiHidden="1" w:uiPriority="7" w:unhideWhenUsed="1"/>
    <w:lsdException w:name="List 4" w:semiHidden="1" w:uiPriority="7" w:unhideWhenUsed="1"/>
    <w:lsdException w:name="List 5" w:semiHidden="1" w:uiPriority="7"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iPriority="74"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widowControl/>
      <w:spacing w:line="280" w:lineRule="exact"/>
      <w:ind w:left="0"/>
    </w:pPr>
    <w:rPr>
      <w:rFonts w:ascii="Gentium" w:eastAsiaTheme="minorEastAsia" w:hAnsi="Gentium" w:cs="Tiro Devanagari Sanskrit"/>
      <w:kern w:val="2"/>
      <w:sz w:val="22"/>
      <w:szCs w:val="22"/>
      <w:lang w:eastAsia="zh-TW"/>
      <w14:ligatures w14:val="standardContextual"/>
    </w:rPr>
  </w:style>
  <w:style w:type="paragraph" w:styleId="Cmsor1">
    <w:name w:val="heading 1"/>
    <w:basedOn w:val="Norml"/>
    <w:next w:val="Norml"/>
    <w:link w:val="Cmsor1Char"/>
    <w:uiPriority w:val="4"/>
    <w:qFormat/>
    <w:pPr>
      <w:keepNext/>
      <w:pageBreakBefore/>
      <w:numPr>
        <w:numId w:val="9"/>
      </w:numPr>
      <w:pBdr>
        <w:bottom w:val="thinThickMediumGap" w:sz="24" w:space="1" w:color="auto"/>
      </w:pBdr>
      <w:tabs>
        <w:tab w:val="left" w:pos="425"/>
      </w:tabs>
      <w:autoSpaceDE w:val="0"/>
      <w:autoSpaceDN w:val="0"/>
      <w:spacing w:before="240" w:after="240" w:line="360" w:lineRule="exact"/>
      <w:jc w:val="center"/>
      <w:outlineLvl w:val="0"/>
    </w:pPr>
    <w:rPr>
      <w:rFonts w:ascii="Calibri" w:eastAsia="Arial Unicode MS" w:hAnsi="Calibri"/>
      <w:b/>
      <w:bCs/>
      <w:kern w:val="32"/>
      <w:sz w:val="32"/>
      <w:szCs w:val="30"/>
      <w:lang w:eastAsia="en-US" w:bidi="ar-SA"/>
      <w14:ligatures w14:val="none"/>
    </w:rPr>
  </w:style>
  <w:style w:type="paragraph" w:styleId="Cmsor2">
    <w:name w:val="heading 2"/>
    <w:basedOn w:val="Cmsor1"/>
    <w:next w:val="Norml"/>
    <w:link w:val="Cmsor2Char"/>
    <w:uiPriority w:val="4"/>
    <w:qFormat/>
    <w:pPr>
      <w:pageBreakBefore w:val="0"/>
      <w:numPr>
        <w:ilvl w:val="1"/>
      </w:numPr>
      <w:pBdr>
        <w:bottom w:val="double" w:sz="12" w:space="1" w:color="auto"/>
      </w:pBdr>
      <w:tabs>
        <w:tab w:val="left" w:pos="567"/>
      </w:tabs>
      <w:jc w:val="left"/>
      <w:outlineLvl w:val="1"/>
    </w:pPr>
    <w:rPr>
      <w:b w:val="0"/>
      <w:bCs w:val="0"/>
      <w:sz w:val="28"/>
      <w:szCs w:val="26"/>
    </w:rPr>
  </w:style>
  <w:style w:type="paragraph" w:styleId="Cmsor3">
    <w:name w:val="heading 3"/>
    <w:basedOn w:val="Cmsor1"/>
    <w:next w:val="Norml"/>
    <w:link w:val="Cmsor3Char"/>
    <w:uiPriority w:val="4"/>
    <w:qFormat/>
    <w:pPr>
      <w:pageBreakBefore w:val="0"/>
      <w:numPr>
        <w:ilvl w:val="2"/>
      </w:numPr>
      <w:pBdr>
        <w:bottom w:val="single" w:sz="12" w:space="1" w:color="auto"/>
      </w:pBdr>
      <w:tabs>
        <w:tab w:val="left" w:pos="709"/>
      </w:tabs>
      <w:spacing w:before="120" w:after="120" w:line="320" w:lineRule="exact"/>
      <w:jc w:val="left"/>
      <w:outlineLvl w:val="2"/>
    </w:pPr>
    <w:rPr>
      <w:b w:val="0"/>
      <w:bCs w:val="0"/>
      <w:sz w:val="24"/>
      <w:szCs w:val="24"/>
    </w:rPr>
  </w:style>
  <w:style w:type="paragraph" w:styleId="Cmsor4">
    <w:name w:val="heading 4"/>
    <w:basedOn w:val="Cmsor3"/>
    <w:next w:val="Norml"/>
    <w:link w:val="Cmsor4Char"/>
    <w:uiPriority w:val="4"/>
    <w:qFormat/>
    <w:pPr>
      <w:numPr>
        <w:ilvl w:val="3"/>
      </w:numPr>
      <w:pBdr>
        <w:bottom w:val="single" w:sz="4" w:space="1" w:color="auto"/>
      </w:pBdr>
      <w:spacing w:before="240" w:after="60" w:line="280" w:lineRule="exact"/>
      <w:outlineLvl w:val="3"/>
    </w:pPr>
    <w:rPr>
      <w:sz w:val="22"/>
    </w:rPr>
  </w:style>
  <w:style w:type="paragraph" w:styleId="Cmsor5">
    <w:name w:val="heading 5"/>
    <w:basedOn w:val="Norml"/>
    <w:next w:val="Cmsor3"/>
    <w:link w:val="Cmsor5Char"/>
    <w:uiPriority w:val="4"/>
    <w:qFormat/>
    <w:pPr>
      <w:numPr>
        <w:ilvl w:val="4"/>
        <w:numId w:val="9"/>
      </w:numPr>
      <w:autoSpaceDE w:val="0"/>
      <w:autoSpaceDN w:val="0"/>
      <w:spacing w:before="120" w:after="60"/>
      <w:outlineLvl w:val="4"/>
    </w:pPr>
    <w:rPr>
      <w:rFonts w:ascii="Tahoma" w:eastAsia="Arial Unicode MS" w:hAnsi="Tahoma"/>
      <w:kern w:val="0"/>
      <w:lang w:val="hu-HU" w:eastAsia="en-US" w:bidi="ar-SA"/>
      <w14:ligatures w14:val="none"/>
    </w:rPr>
  </w:style>
  <w:style w:type="paragraph" w:styleId="Cmsor6">
    <w:name w:val="heading 6"/>
    <w:basedOn w:val="Norml"/>
    <w:next w:val="Norml"/>
    <w:uiPriority w:val="9"/>
    <w:semiHidden/>
    <w:unhideWhenUsed/>
    <w:qFormat/>
    <w:pPr>
      <w:keepNext/>
      <w:keepLines/>
      <w:autoSpaceDE w:val="0"/>
      <w:autoSpaceDN w:val="0"/>
      <w:spacing w:before="200" w:after="40"/>
      <w:outlineLvl w:val="5"/>
    </w:pPr>
    <w:rPr>
      <w:rFonts w:eastAsia="Arial Unicode MS"/>
      <w:b/>
      <w:kern w:val="0"/>
      <w:sz w:val="20"/>
      <w:szCs w:val="20"/>
      <w:lang w:eastAsia="en-US" w:bidi="ar-SA"/>
      <w14:ligatures w14:val="none"/>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4"/>
    <w:rPr>
      <w:rFonts w:ascii="Calibri" w:eastAsia="Arial Unicode MS" w:hAnsi="Calibri" w:cs="Tiro Devanagari Sanskrit"/>
      <w:b/>
      <w:bCs/>
      <w:kern w:val="32"/>
      <w:sz w:val="32"/>
      <w:szCs w:val="30"/>
      <w:lang w:eastAsia="en-US" w:bidi="ar-SA"/>
    </w:rPr>
  </w:style>
  <w:style w:type="character" w:customStyle="1" w:styleId="Cmsor2Char">
    <w:name w:val="Címsor 2 Char"/>
    <w:basedOn w:val="Bekezdsalapbettpusa"/>
    <w:link w:val="Cmsor2"/>
    <w:uiPriority w:val="4"/>
    <w:rPr>
      <w:rFonts w:ascii="Calibri" w:eastAsia="Arial Unicode MS" w:hAnsi="Calibri" w:cs="Tiro Devanagari Sanskrit"/>
      <w:kern w:val="32"/>
      <w:sz w:val="28"/>
      <w:szCs w:val="26"/>
      <w:lang w:eastAsia="en-US" w:bidi="ar-SA"/>
    </w:rPr>
  </w:style>
  <w:style w:type="character" w:customStyle="1" w:styleId="Cmsor3Char">
    <w:name w:val="Címsor 3 Char"/>
    <w:basedOn w:val="Bekezdsalapbettpusa"/>
    <w:link w:val="Cmsor3"/>
    <w:uiPriority w:val="4"/>
    <w:rPr>
      <w:rFonts w:ascii="Calibri" w:eastAsia="Arial Unicode MS" w:hAnsi="Calibri" w:cs="Tiro Devanagari Sanskrit"/>
      <w:kern w:val="32"/>
      <w:lang w:eastAsia="en-US" w:bidi="ar-SA"/>
    </w:rPr>
  </w:style>
  <w:style w:type="character" w:customStyle="1" w:styleId="Cmsor4Char">
    <w:name w:val="Címsor 4 Char"/>
    <w:basedOn w:val="Bekezdsalapbettpusa"/>
    <w:link w:val="Cmsor4"/>
    <w:uiPriority w:val="4"/>
    <w:rPr>
      <w:rFonts w:ascii="Calibri" w:eastAsia="Arial Unicode MS" w:hAnsi="Calibri" w:cs="Tiro Devanagari Sanskrit"/>
      <w:kern w:val="32"/>
      <w:sz w:val="22"/>
      <w:lang w:eastAsia="en-US" w:bidi="ar-SA"/>
    </w:rPr>
  </w:style>
  <w:style w:type="character" w:customStyle="1" w:styleId="Cmsor5Char">
    <w:name w:val="Címsor 5 Char"/>
    <w:basedOn w:val="Bekezdsalapbettpusa"/>
    <w:link w:val="Cmsor5"/>
    <w:uiPriority w:val="4"/>
    <w:rPr>
      <w:rFonts w:ascii="Tahoma" w:eastAsia="Arial Unicode MS" w:hAnsi="Tahoma" w:cs="Tiro Devanagari Sanskrit"/>
      <w:sz w:val="22"/>
      <w:szCs w:val="22"/>
      <w:lang w:val="hu-HU" w:eastAsia="en-US" w:bidi="ar-SA"/>
    </w:rPr>
  </w:style>
  <w:style w:type="table" w:customStyle="1" w:styleId="TableNormal">
    <w:name w:val="Table Normal"/>
    <w:pPr>
      <w:ind w:left="0"/>
    </w:pPr>
    <w:rPr>
      <w:rFonts w:ascii="Gentium Plus" w:eastAsia="Arial Unicode MS" w:hAnsi="Gentium Plus" w:cs="Murty Sanskrit"/>
      <w:lang w:eastAsia="zh-TW"/>
    </w:rPr>
    <w:tblPr>
      <w:tblCellMar>
        <w:top w:w="0" w:type="dxa"/>
        <w:left w:w="0" w:type="dxa"/>
        <w:bottom w:w="0" w:type="dxa"/>
        <w:right w:w="0" w:type="dxa"/>
      </w:tblCellMar>
    </w:tblPr>
  </w:style>
  <w:style w:type="paragraph" w:styleId="Cm">
    <w:name w:val="Title"/>
    <w:basedOn w:val="Norml"/>
    <w:link w:val="CmChar"/>
    <w:uiPriority w:val="9"/>
    <w:qFormat/>
    <w:pPr>
      <w:pageBreakBefore/>
      <w:autoSpaceDE w:val="0"/>
      <w:autoSpaceDN w:val="0"/>
      <w:spacing w:after="240" w:line="240" w:lineRule="auto"/>
      <w:jc w:val="center"/>
      <w:outlineLvl w:val="0"/>
    </w:pPr>
    <w:rPr>
      <w:rFonts w:ascii="Calibri" w:eastAsia="Arial Unicode MS" w:hAnsi="Calibri"/>
      <w:b/>
      <w:bCs/>
      <w:kern w:val="28"/>
      <w:sz w:val="96"/>
      <w:szCs w:val="32"/>
      <w:lang w:eastAsia="en-US" w:bidi="ar-SA"/>
      <w14:ligatures w14:val="none"/>
    </w:rPr>
  </w:style>
  <w:style w:type="character" w:customStyle="1" w:styleId="CmChar">
    <w:name w:val="Cím Char"/>
    <w:basedOn w:val="Bekezdsalapbettpusa"/>
    <w:link w:val="Cm"/>
    <w:uiPriority w:val="9"/>
    <w:rPr>
      <w:rFonts w:ascii="Calibri" w:eastAsia="Arial Unicode MS" w:hAnsi="Calibri" w:cs="Tiro Devanagari Sanskrit"/>
      <w:b/>
      <w:bCs/>
      <w:kern w:val="28"/>
      <w:sz w:val="96"/>
      <w:szCs w:val="32"/>
      <w:lang w:eastAsia="en-US" w:bidi="ar-SA"/>
    </w:rPr>
  </w:style>
  <w:style w:type="paragraph" w:styleId="Alcm">
    <w:name w:val="Subtitle"/>
    <w:basedOn w:val="Norml"/>
    <w:link w:val="AlcmChar"/>
    <w:uiPriority w:val="9"/>
    <w:qFormat/>
    <w:pPr>
      <w:spacing w:before="120" w:after="120"/>
      <w:jc w:val="center"/>
      <w:outlineLvl w:val="1"/>
    </w:pPr>
    <w:rPr>
      <w:rFonts w:ascii="Tahoma" w:hAnsi="Tahoma"/>
      <w:sz w:val="28"/>
      <w:szCs w:val="26"/>
    </w:rPr>
  </w:style>
  <w:style w:type="character" w:customStyle="1" w:styleId="AlcmChar">
    <w:name w:val="Alcím Char"/>
    <w:basedOn w:val="Bekezdsalapbettpusa"/>
    <w:link w:val="Alcm"/>
    <w:uiPriority w:val="9"/>
    <w:rPr>
      <w:rFonts w:ascii="Tahoma" w:eastAsiaTheme="minorEastAsia" w:hAnsi="Tahoma" w:cs="Tiro Devanagari Sanskrit"/>
      <w:kern w:val="2"/>
      <w:sz w:val="28"/>
      <w:szCs w:val="26"/>
      <w:lang w:eastAsia="zh-TW"/>
      <w14:ligatures w14:val="standardContextual"/>
    </w:rPr>
  </w:style>
  <w:style w:type="table" w:customStyle="1" w:styleId="84">
    <w:name w:val="84"/>
    <w:basedOn w:val="TableNormal"/>
    <w:tblPr>
      <w:tblStyleRowBandSize w:val="1"/>
      <w:tblStyleColBandSize w:val="1"/>
      <w:tblCellMar>
        <w:top w:w="100" w:type="dxa"/>
        <w:left w:w="100" w:type="dxa"/>
        <w:bottom w:w="100" w:type="dxa"/>
        <w:right w:w="100" w:type="dxa"/>
      </w:tblCellMar>
    </w:tblPr>
  </w:style>
  <w:style w:type="table" w:customStyle="1" w:styleId="83">
    <w:name w:val="83"/>
    <w:basedOn w:val="TableNormal"/>
    <w:tblPr>
      <w:tblStyleRowBandSize w:val="1"/>
      <w:tblStyleColBandSize w:val="1"/>
      <w:tblCellMar>
        <w:top w:w="100" w:type="dxa"/>
        <w:left w:w="100" w:type="dxa"/>
        <w:bottom w:w="100" w:type="dxa"/>
        <w:right w:w="100" w:type="dxa"/>
      </w:tblCellMar>
    </w:tblPr>
  </w:style>
  <w:style w:type="table" w:customStyle="1" w:styleId="82">
    <w:name w:val="82"/>
    <w:basedOn w:val="TableNormal"/>
    <w:tblPr>
      <w:tblStyleRowBandSize w:val="1"/>
      <w:tblStyleColBandSize w:val="1"/>
      <w:tblCellMar>
        <w:top w:w="100" w:type="dxa"/>
        <w:left w:w="100" w:type="dxa"/>
        <w:bottom w:w="100" w:type="dxa"/>
        <w:right w:w="100" w:type="dxa"/>
      </w:tblCellMar>
    </w:tbl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tblPr>
      <w:tblStyleRowBandSize w:val="1"/>
      <w:tblStyleColBandSize w:val="1"/>
      <w:tblCellMar>
        <w:top w:w="100" w:type="dxa"/>
        <w:left w:w="100" w:type="dxa"/>
        <w:bottom w:w="100" w:type="dxa"/>
        <w:right w:w="100" w:type="dxa"/>
      </w:tblCellMar>
    </w:tblPr>
  </w:style>
  <w:style w:type="table" w:customStyle="1" w:styleId="79">
    <w:name w:val="79"/>
    <w:basedOn w:val="TableNormal"/>
    <w:tblPr>
      <w:tblStyleRowBandSize w:val="1"/>
      <w:tblStyleColBandSize w:val="1"/>
      <w:tblCellMar>
        <w:top w:w="100" w:type="dxa"/>
        <w:left w:w="100" w:type="dxa"/>
        <w:bottom w:w="100" w:type="dxa"/>
        <w:right w:w="100" w:type="dxa"/>
      </w:tblCellMar>
    </w:tblPr>
  </w:style>
  <w:style w:type="table" w:customStyle="1" w:styleId="78">
    <w:name w:val="78"/>
    <w:basedOn w:val="TableNormal"/>
    <w:tblPr>
      <w:tblStyleRowBandSize w:val="1"/>
      <w:tblStyleColBandSize w:val="1"/>
      <w:tblCellMar>
        <w:top w:w="100" w:type="dxa"/>
        <w:left w:w="100" w:type="dxa"/>
        <w:bottom w:w="100" w:type="dxa"/>
        <w:right w:w="100" w:type="dxa"/>
      </w:tblCellMar>
    </w:tblPr>
  </w:style>
  <w:style w:type="table" w:customStyle="1" w:styleId="77">
    <w:name w:val="77"/>
    <w:basedOn w:val="TableNormal"/>
    <w:tblPr>
      <w:tblStyleRowBandSize w:val="1"/>
      <w:tblStyleColBandSize w:val="1"/>
      <w:tblCellMar>
        <w:top w:w="100" w:type="dxa"/>
        <w:left w:w="100" w:type="dxa"/>
        <w:bottom w:w="100" w:type="dxa"/>
        <w:right w:w="100" w:type="dxa"/>
      </w:tblCellMar>
    </w:tblPr>
  </w:style>
  <w:style w:type="table" w:customStyle="1" w:styleId="76">
    <w:name w:val="76"/>
    <w:basedOn w:val="TableNormal"/>
    <w:tblPr>
      <w:tblStyleRowBandSize w:val="1"/>
      <w:tblStyleColBandSize w:val="1"/>
      <w:tblCellMar>
        <w:top w:w="100" w:type="dxa"/>
        <w:left w:w="100" w:type="dxa"/>
        <w:bottom w:w="100" w:type="dxa"/>
        <w:right w:w="100" w:type="dxa"/>
      </w:tblCellMar>
    </w:tblPr>
  </w:style>
  <w:style w:type="table" w:customStyle="1" w:styleId="75">
    <w:name w:val="75"/>
    <w:basedOn w:val="TableNormal"/>
    <w:tblPr>
      <w:tblStyleRowBandSize w:val="1"/>
      <w:tblStyleColBandSize w:val="1"/>
      <w:tblCellMar>
        <w:top w:w="100" w:type="dxa"/>
        <w:left w:w="100" w:type="dxa"/>
        <w:bottom w:w="100" w:type="dxa"/>
        <w:right w:w="100" w:type="dxa"/>
      </w:tblCellMar>
    </w:tblPr>
  </w:style>
  <w:style w:type="table" w:customStyle="1" w:styleId="74">
    <w:name w:val="74"/>
    <w:basedOn w:val="TableNormal"/>
    <w:tblPr>
      <w:tblStyleRowBandSize w:val="1"/>
      <w:tblStyleColBandSize w:val="1"/>
      <w:tblCellMar>
        <w:top w:w="100" w:type="dxa"/>
        <w:left w:w="100" w:type="dxa"/>
        <w:bottom w:w="100" w:type="dxa"/>
        <w:right w:w="100" w:type="dxa"/>
      </w:tblCellMar>
    </w:tblPr>
  </w:style>
  <w:style w:type="table" w:customStyle="1" w:styleId="73">
    <w:name w:val="73"/>
    <w:basedOn w:val="TableNormal"/>
    <w:tblPr>
      <w:tblStyleRowBandSize w:val="1"/>
      <w:tblStyleColBandSize w:val="1"/>
      <w:tblCellMar>
        <w:top w:w="100" w:type="dxa"/>
        <w:left w:w="100" w:type="dxa"/>
        <w:bottom w:w="100" w:type="dxa"/>
        <w:right w:w="100" w:type="dxa"/>
      </w:tblCellMar>
    </w:tblPr>
  </w:style>
  <w:style w:type="table" w:customStyle="1" w:styleId="72">
    <w:name w:val="72"/>
    <w:basedOn w:val="TableNormal"/>
    <w:tblPr>
      <w:tblStyleRowBandSize w:val="1"/>
      <w:tblStyleColBandSize w:val="1"/>
      <w:tblCellMar>
        <w:top w:w="100" w:type="dxa"/>
        <w:left w:w="100" w:type="dxa"/>
        <w:bottom w:w="100" w:type="dxa"/>
        <w:right w:w="100" w:type="dxa"/>
      </w:tblCellMar>
    </w:tblPr>
  </w:style>
  <w:style w:type="table" w:customStyle="1" w:styleId="71">
    <w:name w:val="71"/>
    <w:basedOn w:val="TableNormal"/>
    <w:tblPr>
      <w:tblStyleRowBandSize w:val="1"/>
      <w:tblStyleColBandSize w:val="1"/>
      <w:tblCellMar>
        <w:top w:w="100" w:type="dxa"/>
        <w:left w:w="100" w:type="dxa"/>
        <w:bottom w:w="100" w:type="dxa"/>
        <w:right w:w="100" w:type="dxa"/>
      </w:tblCellMar>
    </w:tblPr>
  </w:style>
  <w:style w:type="table" w:customStyle="1" w:styleId="70">
    <w:name w:val="70"/>
    <w:basedOn w:val="TableNormal"/>
    <w:tblPr>
      <w:tblStyleRowBandSize w:val="1"/>
      <w:tblStyleColBandSize w:val="1"/>
      <w:tblCellMar>
        <w:top w:w="100" w:type="dxa"/>
        <w:left w:w="100" w:type="dxa"/>
        <w:bottom w:w="100" w:type="dxa"/>
        <w:right w:w="100" w:type="dxa"/>
      </w:tblCellMar>
    </w:tblPr>
  </w:style>
  <w:style w:type="table" w:customStyle="1" w:styleId="69">
    <w:name w:val="69"/>
    <w:basedOn w:val="TableNormal"/>
    <w:tblPr>
      <w:tblStyleRowBandSize w:val="1"/>
      <w:tblStyleColBandSize w:val="1"/>
      <w:tblCellMar>
        <w:top w:w="100" w:type="dxa"/>
        <w:left w:w="100" w:type="dxa"/>
        <w:bottom w:w="100" w:type="dxa"/>
        <w:right w:w="100" w:type="dxa"/>
      </w:tblCellMar>
    </w:tblPr>
  </w:style>
  <w:style w:type="table" w:customStyle="1" w:styleId="68">
    <w:name w:val="68"/>
    <w:basedOn w:val="TableNormal"/>
    <w:tblPr>
      <w:tblStyleRowBandSize w:val="1"/>
      <w:tblStyleColBandSize w:val="1"/>
      <w:tblCellMar>
        <w:top w:w="100" w:type="dxa"/>
        <w:left w:w="100" w:type="dxa"/>
        <w:bottom w:w="100" w:type="dxa"/>
        <w:right w:w="100" w:type="dxa"/>
      </w:tblCellMar>
    </w:tblPr>
  </w:style>
  <w:style w:type="table" w:customStyle="1" w:styleId="67">
    <w:name w:val="67"/>
    <w:basedOn w:val="TableNormal"/>
    <w:tblPr>
      <w:tblStyleRowBandSize w:val="1"/>
      <w:tblStyleColBandSize w:val="1"/>
      <w:tblCellMar>
        <w:top w:w="100" w:type="dxa"/>
        <w:left w:w="100" w:type="dxa"/>
        <w:bottom w:w="100" w:type="dxa"/>
        <w:right w:w="100" w:type="dxa"/>
      </w:tblCellMar>
    </w:tblPr>
  </w:style>
  <w:style w:type="table" w:customStyle="1" w:styleId="66">
    <w:name w:val="66"/>
    <w:basedOn w:val="TableNormal"/>
    <w:tblPr>
      <w:tblStyleRowBandSize w:val="1"/>
      <w:tblStyleColBandSize w:val="1"/>
      <w:tblCellMar>
        <w:top w:w="100" w:type="dxa"/>
        <w:left w:w="100" w:type="dxa"/>
        <w:bottom w:w="100" w:type="dxa"/>
        <w:right w:w="100" w:type="dxa"/>
      </w:tblCellMar>
    </w:tblPr>
  </w:style>
  <w:style w:type="table" w:customStyle="1" w:styleId="65">
    <w:name w:val="65"/>
    <w:basedOn w:val="TableNormal"/>
    <w:tblPr>
      <w:tblStyleRowBandSize w:val="1"/>
      <w:tblStyleColBandSize w:val="1"/>
      <w:tblCellMar>
        <w:top w:w="100" w:type="dxa"/>
        <w:left w:w="100" w:type="dxa"/>
        <w:bottom w:w="100" w:type="dxa"/>
        <w:right w:w="100" w:type="dxa"/>
      </w:tblCellMar>
    </w:tblPr>
  </w:style>
  <w:style w:type="table" w:customStyle="1" w:styleId="64">
    <w:name w:val="64"/>
    <w:basedOn w:val="TableNormal"/>
    <w:tblPr>
      <w:tblStyleRowBandSize w:val="1"/>
      <w:tblStyleColBandSize w:val="1"/>
      <w:tblCellMar>
        <w:top w:w="100" w:type="dxa"/>
        <w:left w:w="100" w:type="dxa"/>
        <w:bottom w:w="100" w:type="dxa"/>
        <w:right w:w="100" w:type="dxa"/>
      </w:tblCellMar>
    </w:tblPr>
  </w:style>
  <w:style w:type="table" w:customStyle="1" w:styleId="63">
    <w:name w:val="63"/>
    <w:basedOn w:val="TableNormal"/>
    <w:tblPr>
      <w:tblStyleRowBandSize w:val="1"/>
      <w:tblStyleColBandSize w:val="1"/>
      <w:tblCellMar>
        <w:top w:w="100" w:type="dxa"/>
        <w:left w:w="100" w:type="dxa"/>
        <w:bottom w:w="100" w:type="dxa"/>
        <w:right w:w="100" w:type="dxa"/>
      </w:tblCellMar>
    </w:tblPr>
  </w:style>
  <w:style w:type="table" w:customStyle="1" w:styleId="62">
    <w:name w:val="62"/>
    <w:basedOn w:val="TableNormal"/>
    <w:tblPr>
      <w:tblStyleRowBandSize w:val="1"/>
      <w:tblStyleColBandSize w:val="1"/>
      <w:tblCellMar>
        <w:top w:w="100" w:type="dxa"/>
        <w:left w:w="100" w:type="dxa"/>
        <w:bottom w:w="100" w:type="dxa"/>
        <w:right w:w="100" w:type="dxa"/>
      </w:tblCellMar>
    </w:tblPr>
  </w:style>
  <w:style w:type="table" w:customStyle="1" w:styleId="61">
    <w:name w:val="61"/>
    <w:basedOn w:val="TableNormal"/>
    <w:tblPr>
      <w:tblStyleRowBandSize w:val="1"/>
      <w:tblStyleColBandSize w:val="1"/>
      <w:tblCellMar>
        <w:top w:w="100" w:type="dxa"/>
        <w:left w:w="100" w:type="dxa"/>
        <w:bottom w:w="100" w:type="dxa"/>
        <w:right w:w="100" w:type="dxa"/>
      </w:tblCellMar>
    </w:tblPr>
  </w:style>
  <w:style w:type="table" w:customStyle="1" w:styleId="60">
    <w:name w:val="60"/>
    <w:basedOn w:val="TableNormal"/>
    <w:tblPr>
      <w:tblStyleRowBandSize w:val="1"/>
      <w:tblStyleColBandSize w:val="1"/>
      <w:tblCellMar>
        <w:top w:w="100" w:type="dxa"/>
        <w:left w:w="100" w:type="dxa"/>
        <w:bottom w:w="100" w:type="dxa"/>
        <w:right w:w="100" w:type="dxa"/>
      </w:tblCellMar>
    </w:tblPr>
  </w:style>
  <w:style w:type="table" w:customStyle="1" w:styleId="59">
    <w:name w:val="59"/>
    <w:basedOn w:val="TableNormal"/>
    <w:tblPr>
      <w:tblStyleRowBandSize w:val="1"/>
      <w:tblStyleColBandSize w:val="1"/>
      <w:tblCellMar>
        <w:top w:w="100" w:type="dxa"/>
        <w:left w:w="100" w:type="dxa"/>
        <w:bottom w:w="100" w:type="dxa"/>
        <w:right w:w="100" w:type="dxa"/>
      </w:tblCellMar>
    </w:tblPr>
  </w:style>
  <w:style w:type="table" w:customStyle="1" w:styleId="58">
    <w:name w:val="58"/>
    <w:basedOn w:val="TableNormal"/>
    <w:tblPr>
      <w:tblStyleRowBandSize w:val="1"/>
      <w:tblStyleColBandSize w:val="1"/>
      <w:tblCellMar>
        <w:top w:w="100" w:type="dxa"/>
        <w:left w:w="100" w:type="dxa"/>
        <w:bottom w:w="100" w:type="dxa"/>
        <w:right w:w="100" w:type="dxa"/>
      </w:tblCellMar>
    </w:tblPr>
  </w:style>
  <w:style w:type="table" w:customStyle="1" w:styleId="57">
    <w:name w:val="57"/>
    <w:basedOn w:val="TableNormal"/>
    <w:tblPr>
      <w:tblStyleRowBandSize w:val="1"/>
      <w:tblStyleColBandSize w:val="1"/>
      <w:tblCellMar>
        <w:top w:w="100" w:type="dxa"/>
        <w:left w:w="100" w:type="dxa"/>
        <w:bottom w:w="100" w:type="dxa"/>
        <w:right w:w="100" w:type="dxa"/>
      </w:tblCellMar>
    </w:tblPr>
  </w:style>
  <w:style w:type="table" w:customStyle="1" w:styleId="56">
    <w:name w:val="56"/>
    <w:basedOn w:val="TableNormal"/>
    <w:tblPr>
      <w:tblStyleRowBandSize w:val="1"/>
      <w:tblStyleColBandSize w:val="1"/>
      <w:tblCellMar>
        <w:top w:w="100" w:type="dxa"/>
        <w:left w:w="100" w:type="dxa"/>
        <w:bottom w:w="100" w:type="dxa"/>
        <w:right w:w="100" w:type="dxa"/>
      </w:tblCellMar>
    </w:tblPr>
  </w:style>
  <w:style w:type="table" w:customStyle="1" w:styleId="55">
    <w:name w:val="55"/>
    <w:basedOn w:val="TableNormal"/>
    <w:tblPr>
      <w:tblStyleRowBandSize w:val="1"/>
      <w:tblStyleColBandSize w:val="1"/>
      <w:tblCellMar>
        <w:top w:w="100" w:type="dxa"/>
        <w:left w:w="100" w:type="dxa"/>
        <w:bottom w:w="100" w:type="dxa"/>
        <w:right w:w="100" w:type="dxa"/>
      </w:tblCellMar>
    </w:tblPr>
  </w:style>
  <w:style w:type="table" w:customStyle="1" w:styleId="54">
    <w:name w:val="54"/>
    <w:basedOn w:val="TableNormal"/>
    <w:tblPr>
      <w:tblStyleRowBandSize w:val="1"/>
      <w:tblStyleColBandSize w:val="1"/>
      <w:tblCellMar>
        <w:top w:w="100" w:type="dxa"/>
        <w:left w:w="100" w:type="dxa"/>
        <w:bottom w:w="100" w:type="dxa"/>
        <w:right w:w="100" w:type="dxa"/>
      </w:tblCellMar>
    </w:tblPr>
  </w:style>
  <w:style w:type="table" w:customStyle="1" w:styleId="53">
    <w:name w:val="53"/>
    <w:basedOn w:val="TableNormal"/>
    <w:tblPr>
      <w:tblStyleRowBandSize w:val="1"/>
      <w:tblStyleColBandSize w:val="1"/>
      <w:tblCellMar>
        <w:top w:w="100" w:type="dxa"/>
        <w:left w:w="100" w:type="dxa"/>
        <w:bottom w:w="100" w:type="dxa"/>
        <w:right w:w="100" w:type="dxa"/>
      </w:tblCellMar>
    </w:tblPr>
  </w:style>
  <w:style w:type="table" w:customStyle="1" w:styleId="52">
    <w:name w:val="52"/>
    <w:basedOn w:val="TableNormal"/>
    <w:tblPr>
      <w:tblStyleRowBandSize w:val="1"/>
      <w:tblStyleColBandSize w:val="1"/>
      <w:tblCellMar>
        <w:top w:w="100" w:type="dxa"/>
        <w:left w:w="100" w:type="dxa"/>
        <w:bottom w:w="100" w:type="dxa"/>
        <w:right w:w="100" w:type="dxa"/>
      </w:tblCellMar>
    </w:tblPr>
  </w:style>
  <w:style w:type="table" w:customStyle="1" w:styleId="51">
    <w:name w:val="51"/>
    <w:basedOn w:val="TableNormal"/>
    <w:tblPr>
      <w:tblStyleRowBandSize w:val="1"/>
      <w:tblStyleColBandSize w:val="1"/>
      <w:tblCellMar>
        <w:top w:w="100" w:type="dxa"/>
        <w:left w:w="100" w:type="dxa"/>
        <w:bottom w:w="100" w:type="dxa"/>
        <w:right w:w="100" w:type="dxa"/>
      </w:tblCellMar>
    </w:tblPr>
  </w:style>
  <w:style w:type="table" w:customStyle="1" w:styleId="50">
    <w:name w:val="50"/>
    <w:basedOn w:val="TableNormal"/>
    <w:tblPr>
      <w:tblStyleRowBandSize w:val="1"/>
      <w:tblStyleColBandSize w:val="1"/>
      <w:tblCellMar>
        <w:top w:w="100" w:type="dxa"/>
        <w:left w:w="100" w:type="dxa"/>
        <w:bottom w:w="100" w:type="dxa"/>
        <w:right w:w="100" w:type="dxa"/>
      </w:tblCellMar>
    </w:tblPr>
  </w:style>
  <w:style w:type="table" w:customStyle="1" w:styleId="49">
    <w:name w:val="49"/>
    <w:basedOn w:val="TableNormal"/>
    <w:tblPr>
      <w:tblStyleRowBandSize w:val="1"/>
      <w:tblStyleColBandSize w:val="1"/>
      <w:tblCellMar>
        <w:top w:w="100" w:type="dxa"/>
        <w:left w:w="100" w:type="dxa"/>
        <w:bottom w:w="100" w:type="dxa"/>
        <w:right w:w="100" w:type="dxa"/>
      </w:tblCellMar>
    </w:tblPr>
  </w:style>
  <w:style w:type="table" w:customStyle="1" w:styleId="48">
    <w:name w:val="48"/>
    <w:basedOn w:val="TableNormal"/>
    <w:tblPr>
      <w:tblStyleRowBandSize w:val="1"/>
      <w:tblStyleColBandSize w:val="1"/>
      <w:tblCellMar>
        <w:top w:w="100" w:type="dxa"/>
        <w:left w:w="100" w:type="dxa"/>
        <w:bottom w:w="100" w:type="dxa"/>
        <w:right w:w="100" w:type="dxa"/>
      </w:tblCellMar>
    </w:tblPr>
  </w:style>
  <w:style w:type="table" w:customStyle="1" w:styleId="47">
    <w:name w:val="47"/>
    <w:basedOn w:val="TableNormal"/>
    <w:tblPr>
      <w:tblStyleRowBandSize w:val="1"/>
      <w:tblStyleColBandSize w:val="1"/>
      <w:tblCellMar>
        <w:top w:w="100" w:type="dxa"/>
        <w:left w:w="100" w:type="dxa"/>
        <w:bottom w:w="100" w:type="dxa"/>
        <w:right w:w="100" w:type="dxa"/>
      </w:tblCellMar>
    </w:tblPr>
  </w:style>
  <w:style w:type="table" w:customStyle="1" w:styleId="46">
    <w:name w:val="46"/>
    <w:basedOn w:val="TableNormal"/>
    <w:tblPr>
      <w:tblStyleRowBandSize w:val="1"/>
      <w:tblStyleColBandSize w:val="1"/>
      <w:tblCellMar>
        <w:top w:w="100" w:type="dxa"/>
        <w:left w:w="100" w:type="dxa"/>
        <w:bottom w:w="100" w:type="dxa"/>
        <w:right w:w="100" w:type="dxa"/>
      </w:tblCellMar>
    </w:tblPr>
  </w:style>
  <w:style w:type="table" w:customStyle="1" w:styleId="45">
    <w:name w:val="45"/>
    <w:basedOn w:val="TableNormal"/>
    <w:tblPr>
      <w:tblStyleRowBandSize w:val="1"/>
      <w:tblStyleColBandSize w:val="1"/>
      <w:tblCellMar>
        <w:top w:w="100" w:type="dxa"/>
        <w:left w:w="100" w:type="dxa"/>
        <w:bottom w:w="100" w:type="dxa"/>
        <w:right w:w="100" w:type="dxa"/>
      </w:tblCellMar>
    </w:tblPr>
  </w:style>
  <w:style w:type="table" w:customStyle="1" w:styleId="44">
    <w:name w:val="44"/>
    <w:basedOn w:val="TableNormal"/>
    <w:tblPr>
      <w:tblStyleRowBandSize w:val="1"/>
      <w:tblStyleColBandSize w:val="1"/>
      <w:tblCellMar>
        <w:top w:w="100" w:type="dxa"/>
        <w:left w:w="100" w:type="dxa"/>
        <w:bottom w:w="100" w:type="dxa"/>
        <w:right w:w="100" w:type="dxa"/>
      </w:tblCellMar>
    </w:tblPr>
  </w:style>
  <w:style w:type="table" w:customStyle="1" w:styleId="43">
    <w:name w:val="43"/>
    <w:basedOn w:val="TableNormal"/>
    <w:tblPr>
      <w:tblStyleRowBandSize w:val="1"/>
      <w:tblStyleColBandSize w:val="1"/>
      <w:tblCellMar>
        <w:top w:w="100" w:type="dxa"/>
        <w:left w:w="100" w:type="dxa"/>
        <w:bottom w:w="100" w:type="dxa"/>
        <w:right w:w="100" w:type="dxa"/>
      </w:tblCellMar>
    </w:tblPr>
  </w:style>
  <w:style w:type="table" w:customStyle="1" w:styleId="42">
    <w:name w:val="42"/>
    <w:basedOn w:val="TableNormal"/>
    <w:tblPr>
      <w:tblStyleRowBandSize w:val="1"/>
      <w:tblStyleColBandSize w:val="1"/>
      <w:tblCellMar>
        <w:top w:w="100" w:type="dxa"/>
        <w:left w:w="100" w:type="dxa"/>
        <w:bottom w:w="100" w:type="dxa"/>
        <w:right w:w="100" w:type="dxa"/>
      </w:tblCellMar>
    </w:tblPr>
  </w:style>
  <w:style w:type="table" w:customStyle="1" w:styleId="41">
    <w:name w:val="41"/>
    <w:basedOn w:val="TableNormal"/>
    <w:tblPr>
      <w:tblStyleRowBandSize w:val="1"/>
      <w:tblStyleColBandSize w:val="1"/>
      <w:tblCellMar>
        <w:top w:w="100" w:type="dxa"/>
        <w:left w:w="100" w:type="dxa"/>
        <w:bottom w:w="100" w:type="dxa"/>
        <w:right w:w="100" w:type="dxa"/>
      </w:tblCellMar>
    </w:tblPr>
  </w:style>
  <w:style w:type="table" w:customStyle="1" w:styleId="40">
    <w:name w:val="40"/>
    <w:basedOn w:val="TableNormal"/>
    <w:tblPr>
      <w:tblStyleRowBandSize w:val="1"/>
      <w:tblStyleColBandSize w:val="1"/>
      <w:tblCellMar>
        <w:top w:w="100" w:type="dxa"/>
        <w:left w:w="100" w:type="dxa"/>
        <w:bottom w:w="100" w:type="dxa"/>
        <w:right w:w="100" w:type="dxa"/>
      </w:tblCellMar>
    </w:tblPr>
  </w:style>
  <w:style w:type="table" w:customStyle="1" w:styleId="39">
    <w:name w:val="39"/>
    <w:basedOn w:val="TableNormal"/>
    <w:tblPr>
      <w:tblStyleRowBandSize w:val="1"/>
      <w:tblStyleColBandSize w:val="1"/>
      <w:tblCellMar>
        <w:top w:w="100" w:type="dxa"/>
        <w:left w:w="100" w:type="dxa"/>
        <w:bottom w:w="100" w:type="dxa"/>
        <w:right w:w="100" w:type="dxa"/>
      </w:tblCellMar>
    </w:tblPr>
  </w:style>
  <w:style w:type="table" w:customStyle="1" w:styleId="38">
    <w:name w:val="38"/>
    <w:basedOn w:val="TableNormal"/>
    <w:tblPr>
      <w:tblStyleRowBandSize w:val="1"/>
      <w:tblStyleColBandSize w:val="1"/>
      <w:tblCellMar>
        <w:top w:w="100" w:type="dxa"/>
        <w:left w:w="100" w:type="dxa"/>
        <w:bottom w:w="100" w:type="dxa"/>
        <w:right w:w="100" w:type="dxa"/>
      </w:tblCellMar>
    </w:tblPr>
  </w:style>
  <w:style w:type="table" w:customStyle="1" w:styleId="37">
    <w:name w:val="37"/>
    <w:basedOn w:val="TableNormal"/>
    <w:tblPr>
      <w:tblStyleRowBandSize w:val="1"/>
      <w:tblStyleColBandSize w:val="1"/>
      <w:tblCellMar>
        <w:top w:w="100" w:type="dxa"/>
        <w:left w:w="100" w:type="dxa"/>
        <w:bottom w:w="100" w:type="dxa"/>
        <w:right w:w="100" w:type="dxa"/>
      </w:tblCellMar>
    </w:tblPr>
  </w:style>
  <w:style w:type="table" w:customStyle="1" w:styleId="36">
    <w:name w:val="36"/>
    <w:basedOn w:val="TableNormal"/>
    <w:tblPr>
      <w:tblStyleRowBandSize w:val="1"/>
      <w:tblStyleColBandSize w:val="1"/>
      <w:tblCellMar>
        <w:top w:w="100" w:type="dxa"/>
        <w:left w:w="100" w:type="dxa"/>
        <w:bottom w:w="100" w:type="dxa"/>
        <w:right w:w="100" w:type="dxa"/>
      </w:tblCellMar>
    </w:tblPr>
  </w:style>
  <w:style w:type="table" w:customStyle="1" w:styleId="35">
    <w:name w:val="35"/>
    <w:basedOn w:val="TableNormal"/>
    <w:tblPr>
      <w:tblStyleRowBandSize w:val="1"/>
      <w:tblStyleColBandSize w:val="1"/>
      <w:tblCellMar>
        <w:top w:w="100" w:type="dxa"/>
        <w:left w:w="100" w:type="dxa"/>
        <w:bottom w:w="100" w:type="dxa"/>
        <w:right w:w="100" w:type="dxa"/>
      </w:tblCellMar>
    </w:tbl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Jegyzetszveg">
    <w:name w:val="annotation text"/>
    <w:basedOn w:val="Norml"/>
    <w:link w:val="JegyzetszvegChar"/>
    <w:uiPriority w:val="99"/>
    <w:unhideWhenUsed/>
    <w:rPr>
      <w:rFonts w:cs="Murty Sanskrit"/>
      <w:sz w:val="20"/>
      <w:szCs w:val="18"/>
    </w:rPr>
  </w:style>
  <w:style w:type="character" w:customStyle="1" w:styleId="JegyzetszvegChar">
    <w:name w:val="Jegyzetszöveg Char"/>
    <w:basedOn w:val="Bekezdsalapbettpusa"/>
    <w:link w:val="Jegyzetszveg"/>
    <w:uiPriority w:val="99"/>
    <w:rPr>
      <w:rFonts w:ascii="Gentium" w:eastAsiaTheme="minorEastAsia" w:hAnsi="Gentium" w:cs="Murty Sanskrit"/>
      <w:kern w:val="2"/>
      <w:sz w:val="20"/>
      <w:szCs w:val="18"/>
      <w:lang w:eastAsia="zh-TW"/>
      <w14:ligatures w14:val="standardContextual"/>
    </w:rPr>
  </w:style>
  <w:style w:type="character" w:styleId="Jegyzethivatkozs">
    <w:name w:val="annotation reference"/>
    <w:basedOn w:val="Bekezdsalapbettpusa"/>
    <w:uiPriority w:val="99"/>
    <w:semiHidden/>
    <w:unhideWhenUsed/>
    <w:rPr>
      <w:sz w:val="16"/>
      <w:szCs w:val="16"/>
    </w:rPr>
  </w:style>
  <w:style w:type="paragraph" w:styleId="Buborkszveg">
    <w:name w:val="Balloon Text"/>
    <w:basedOn w:val="Norml"/>
    <w:link w:val="BuborkszvegChar"/>
    <w:uiPriority w:val="99"/>
    <w:semiHidden/>
    <w:unhideWhenUsed/>
    <w:rPr>
      <w:rFonts w:ascii="Segoe UI" w:hAnsi="Segoe UI" w:cs="Murty Sanskrit"/>
      <w:sz w:val="18"/>
      <w:szCs w:val="16"/>
    </w:rPr>
  </w:style>
  <w:style w:type="character" w:customStyle="1" w:styleId="BuborkszvegChar">
    <w:name w:val="Buborékszöveg Char"/>
    <w:basedOn w:val="Bekezdsalapbettpusa"/>
    <w:link w:val="Buborkszveg"/>
    <w:uiPriority w:val="99"/>
    <w:semiHidden/>
    <w:rPr>
      <w:rFonts w:ascii="Segoe UI" w:eastAsiaTheme="minorEastAsia" w:hAnsi="Segoe UI" w:cs="Murty Sanskrit"/>
      <w:kern w:val="2"/>
      <w:sz w:val="18"/>
      <w:szCs w:val="16"/>
      <w:lang w:eastAsia="zh-TW"/>
      <w14:ligatures w14:val="standardContextual"/>
    </w:rPr>
  </w:style>
  <w:style w:type="paragraph" w:styleId="llb">
    <w:name w:val="footer"/>
    <w:basedOn w:val="Norml"/>
    <w:link w:val="llbChar"/>
    <w:uiPriority w:val="24"/>
    <w:pPr>
      <w:tabs>
        <w:tab w:val="center" w:pos="4536"/>
        <w:tab w:val="right" w:pos="9072"/>
      </w:tabs>
    </w:pPr>
  </w:style>
  <w:style w:type="character" w:customStyle="1" w:styleId="llbChar">
    <w:name w:val="Élőláb Char"/>
    <w:basedOn w:val="Bekezdsalapbettpusa"/>
    <w:link w:val="llb"/>
    <w:uiPriority w:val="24"/>
    <w:rPr>
      <w:rFonts w:ascii="Gentium" w:eastAsiaTheme="minorEastAsia" w:hAnsi="Gentium" w:cs="Tiro Devanagari Sanskrit"/>
      <w:kern w:val="2"/>
      <w:sz w:val="22"/>
      <w:szCs w:val="22"/>
      <w:lang w:eastAsia="zh-TW"/>
      <w14:ligatures w14:val="standardContextual"/>
    </w:rPr>
  </w:style>
  <w:style w:type="character" w:customStyle="1" w:styleId="Foreign">
    <w:name w:val="Foreign"/>
    <w:basedOn w:val="Bekezdsalapbettpusa"/>
    <w:uiPriority w:val="1"/>
    <w:rPr>
      <w:i/>
      <w:iCs/>
      <w:noProof/>
    </w:rPr>
  </w:style>
  <w:style w:type="paragraph" w:styleId="Lista">
    <w:name w:val="List"/>
    <w:basedOn w:val="Norml"/>
    <w:uiPriority w:val="7"/>
    <w:qFormat/>
    <w:pPr>
      <w:numPr>
        <w:numId w:val="2"/>
      </w:numPr>
      <w:suppressAutoHyphens/>
      <w:jc w:val="left"/>
    </w:pPr>
  </w:style>
  <w:style w:type="paragraph" w:styleId="Lista2">
    <w:name w:val="List 2"/>
    <w:basedOn w:val="Lista"/>
    <w:uiPriority w:val="7"/>
    <w:pPr>
      <w:numPr>
        <w:ilvl w:val="1"/>
      </w:numPr>
    </w:pPr>
  </w:style>
  <w:style w:type="paragraph" w:styleId="Lista3">
    <w:name w:val="List 3"/>
    <w:basedOn w:val="Lista"/>
    <w:uiPriority w:val="7"/>
    <w:pPr>
      <w:numPr>
        <w:ilvl w:val="2"/>
      </w:numPr>
    </w:pPr>
  </w:style>
  <w:style w:type="paragraph" w:styleId="Lista4">
    <w:name w:val="List 4"/>
    <w:basedOn w:val="Lista"/>
    <w:uiPriority w:val="7"/>
    <w:pPr>
      <w:numPr>
        <w:ilvl w:val="3"/>
      </w:numPr>
    </w:pPr>
  </w:style>
  <w:style w:type="paragraph" w:styleId="Lista5">
    <w:name w:val="List 5"/>
    <w:basedOn w:val="Lista"/>
    <w:uiPriority w:val="7"/>
    <w:pPr>
      <w:numPr>
        <w:ilvl w:val="4"/>
      </w:numPr>
    </w:pPr>
  </w:style>
  <w:style w:type="character" w:customStyle="1" w:styleId="Nv">
    <w:name w:val="Név"/>
    <w:basedOn w:val="Bekezdsalapbettpusa"/>
    <w:uiPriority w:val="1"/>
    <w:rPr>
      <w:smallCaps/>
      <w:noProof/>
    </w:rPr>
  </w:style>
  <w:style w:type="paragraph" w:styleId="lfej">
    <w:name w:val="header"/>
    <w:basedOn w:val="Norml"/>
    <w:link w:val="lfejChar"/>
    <w:uiPriority w:val="24"/>
    <w:qFormat/>
    <w:pPr>
      <w:tabs>
        <w:tab w:val="center" w:pos="4536"/>
        <w:tab w:val="right" w:pos="9072"/>
      </w:tabs>
    </w:pPr>
  </w:style>
  <w:style w:type="character" w:customStyle="1" w:styleId="lfejChar">
    <w:name w:val="Élőfej Char"/>
    <w:basedOn w:val="Bekezdsalapbettpusa"/>
    <w:link w:val="lfej"/>
    <w:uiPriority w:val="24"/>
    <w:rPr>
      <w:rFonts w:ascii="Gentium" w:eastAsiaTheme="minorEastAsia" w:hAnsi="Gentium" w:cs="Tiro Devanagari Sanskrit"/>
      <w:kern w:val="2"/>
      <w:sz w:val="22"/>
      <w:szCs w:val="22"/>
      <w:lang w:eastAsia="zh-TW"/>
      <w14:ligatures w14:val="standardContextual"/>
    </w:rPr>
  </w:style>
  <w:style w:type="paragraph" w:styleId="Irodalomjegyzk">
    <w:name w:val="Bibliography"/>
    <w:aliases w:val="Bibliography"/>
    <w:basedOn w:val="Norml"/>
    <w:uiPriority w:val="37"/>
    <w:pPr>
      <w:spacing w:line="300" w:lineRule="exact"/>
      <w:ind w:left="720" w:hanging="720"/>
      <w:jc w:val="left"/>
    </w:pPr>
  </w:style>
  <w:style w:type="character" w:customStyle="1" w:styleId="Code">
    <w:name w:val="Code"/>
    <w:uiPriority w:val="1"/>
    <w:qFormat/>
    <w:rPr>
      <w:rFonts w:ascii="Consolas" w:hAnsi="Consolas" w:cs="Consolas"/>
      <w:noProof/>
      <w:color w:val="002060"/>
      <w:bdr w:val="none" w:sz="0" w:space="0" w:color="auto"/>
      <w:shd w:val="clear" w:color="auto" w:fill="F2F2F2" w:themeFill="background1" w:themeFillShade="F2"/>
    </w:rPr>
  </w:style>
  <w:style w:type="character" w:customStyle="1" w:styleId="Comment">
    <w:name w:val="Comment"/>
    <w:basedOn w:val="Bekezdsalapbettpusa"/>
    <w:uiPriority w:val="1"/>
    <w:qFormat/>
    <w:rPr>
      <w:rFonts w:ascii="Tahoma" w:hAnsi="Tahoma"/>
      <w:noProof/>
      <w:color w:val="00B050"/>
      <w:sz w:val="20"/>
    </w:rPr>
  </w:style>
  <w:style w:type="paragraph" w:styleId="Lbjegyzetszveg">
    <w:name w:val="footnote text"/>
    <w:basedOn w:val="Norml"/>
    <w:link w:val="LbjegyzetszvegChar"/>
    <w:pPr>
      <w:tabs>
        <w:tab w:val="right" w:pos="227"/>
        <w:tab w:val="left" w:pos="284"/>
      </w:tabs>
      <w:spacing w:line="240" w:lineRule="exact"/>
      <w:ind w:left="284" w:hanging="284"/>
      <w:jc w:val="left"/>
    </w:pPr>
    <w:rPr>
      <w:sz w:val="20"/>
      <w:szCs w:val="20"/>
    </w:rPr>
  </w:style>
  <w:style w:type="character" w:customStyle="1" w:styleId="LbjegyzetszvegChar">
    <w:name w:val="Lábjegyzetszöveg Char"/>
    <w:basedOn w:val="Bekezdsalapbettpusa"/>
    <w:link w:val="Lbjegyzetszveg"/>
    <w:rPr>
      <w:rFonts w:ascii="Gentium" w:eastAsiaTheme="minorEastAsia" w:hAnsi="Gentium" w:cs="Tiro Devanagari Sanskrit"/>
      <w:kern w:val="2"/>
      <w:sz w:val="20"/>
      <w:szCs w:val="20"/>
      <w:lang w:eastAsia="zh-TW"/>
      <w14:ligatures w14:val="standardContextual"/>
    </w:rPr>
  </w:style>
  <w:style w:type="character" w:styleId="Lbjegyzet-hivatkozs">
    <w:name w:val="footnote reference"/>
    <w:basedOn w:val="Bekezdsalapbettpusa"/>
    <w:uiPriority w:val="99"/>
    <w:unhideWhenUsed/>
    <w:rPr>
      <w:vertAlign w:val="superscript"/>
    </w:rPr>
  </w:style>
  <w:style w:type="character" w:customStyle="1" w:styleId="ForeignKannadaScript">
    <w:name w:val="Foreign: KannadaScript"/>
    <w:basedOn w:val="Foreign"/>
    <w:uiPriority w:val="1"/>
    <w:qFormat/>
    <w:rPr>
      <w:rFonts w:ascii="Tiro Kannada" w:hAnsi="Tiro Kannada" w:cs="Tiro Kannada"/>
      <w:b w:val="0"/>
      <w:bCs w:val="0"/>
      <w:i w:val="0"/>
      <w:iCs w:val="0"/>
      <w:noProof/>
    </w:rPr>
  </w:style>
  <w:style w:type="character" w:customStyle="1" w:styleId="ForeignTamilScript">
    <w:name w:val="Foreign: TamilScript"/>
    <w:basedOn w:val="Foreign"/>
    <w:uiPriority w:val="1"/>
    <w:qFormat/>
    <w:rPr>
      <w:rFonts w:ascii="Tiro Tamil" w:hAnsi="Tiro Tamil" w:cs="Tiro Tamil"/>
      <w:b w:val="0"/>
      <w:bCs w:val="0"/>
      <w:i w:val="0"/>
      <w:iCs w:val="0"/>
      <w:noProof/>
      <w:szCs w:val="24"/>
    </w:rPr>
  </w:style>
  <w:style w:type="character" w:customStyle="1" w:styleId="ForeignBalineseScript">
    <w:name w:val="Foreign: BalineseScript"/>
    <w:basedOn w:val="Foreign"/>
    <w:uiPriority w:val="1"/>
    <w:qFormat/>
    <w:rPr>
      <w:rFonts w:ascii="Noto Sans Balinese" w:hAnsi="Noto Sans Balinese" w:cs="Noto Sans Balinese"/>
      <w:b w:val="0"/>
      <w:bCs w:val="0"/>
      <w:i w:val="0"/>
      <w:iCs w:val="0"/>
      <w:noProof/>
      <w:position w:val="0"/>
      <w:szCs w:val="24"/>
    </w:rPr>
  </w:style>
  <w:style w:type="character" w:customStyle="1" w:styleId="ForeignThaiScript">
    <w:name w:val="Foreign: ThaiScript"/>
    <w:basedOn w:val="Foreign"/>
    <w:uiPriority w:val="1"/>
    <w:qFormat/>
    <w:rPr>
      <w:rFonts w:ascii="Leelawadee UI" w:hAnsi="Leelawadee UI" w:cs="Leelawadee UI"/>
      <w:b w:val="0"/>
      <w:bCs w:val="0"/>
      <w:i w:val="0"/>
      <w:iCs w:val="0"/>
      <w:noProof/>
    </w:rPr>
  </w:style>
  <w:style w:type="character" w:customStyle="1" w:styleId="ForeignBrahmiScript">
    <w:name w:val="Foreign: BrahmiScript"/>
    <w:basedOn w:val="Foreign"/>
    <w:uiPriority w:val="1"/>
    <w:qFormat/>
    <w:rPr>
      <w:rFonts w:ascii="Segoe UI Historic" w:hAnsi="Segoe UI Historic" w:cs="Segoe UI Historic"/>
      <w:b w:val="0"/>
      <w:bCs w:val="0"/>
      <w:i w:val="0"/>
      <w:iCs w:val="0"/>
      <w:noProof/>
    </w:rPr>
  </w:style>
  <w:style w:type="character" w:customStyle="1" w:styleId="ForeignOriyaScript">
    <w:name w:val="Foreign: OriyaScript"/>
    <w:basedOn w:val="Foreign"/>
    <w:uiPriority w:val="1"/>
    <w:qFormat/>
    <w:rPr>
      <w:rFonts w:ascii="Arial Unicode MS" w:eastAsia="Arial Unicode MS" w:hAnsi="Arial Unicode MS" w:cs="Arial Unicode MS"/>
      <w:b w:val="0"/>
      <w:bCs w:val="0"/>
      <w:i w:val="0"/>
      <w:iCs w:val="0"/>
      <w:noProof/>
    </w:rPr>
  </w:style>
  <w:style w:type="paragraph" w:styleId="NormlWeb">
    <w:name w:val="Normal (Web)"/>
    <w:basedOn w:val="Norml"/>
    <w:uiPriority w:val="99"/>
    <w:semiHidden/>
    <w:unhideWhenUsed/>
    <w:pPr>
      <w:spacing w:before="100" w:beforeAutospacing="1" w:after="100" w:afterAutospacing="1" w:line="240" w:lineRule="auto"/>
    </w:pPr>
    <w:rPr>
      <w:rFonts w:ascii="Times New Roman" w:hAnsi="Times New Roman" w:cs="Times New Roman"/>
      <w:szCs w:val="24"/>
    </w:rPr>
  </w:style>
  <w:style w:type="paragraph" w:customStyle="1" w:styleId="Legend">
    <w:name w:val="Legend"/>
    <w:basedOn w:val="Norml"/>
    <w:qFormat/>
    <w:pPr>
      <w:tabs>
        <w:tab w:val="right" w:pos="851"/>
        <w:tab w:val="left" w:pos="1134"/>
      </w:tabs>
      <w:jc w:val="left"/>
    </w:pPr>
  </w:style>
  <w:style w:type="character" w:styleId="Hiperhivatkozs">
    <w:name w:val="Hyperlink"/>
    <w:basedOn w:val="Bekezdsalapbettpusa"/>
    <w:uiPriority w:val="99"/>
    <w:unhideWhenUsed/>
    <w:rPr>
      <w:color w:val="002060"/>
      <w:u w:val="single"/>
    </w:rPr>
  </w:style>
  <w:style w:type="character" w:styleId="Feloldatlanmegemlts">
    <w:name w:val="Unresolved Mention"/>
    <w:basedOn w:val="Bekezdsalapbettpusa"/>
    <w:uiPriority w:val="99"/>
    <w:semiHidden/>
    <w:unhideWhenUsed/>
    <w:rPr>
      <w:color w:val="605E5C"/>
      <w:shd w:val="clear" w:color="auto" w:fill="E1DFDD"/>
    </w:rPr>
  </w:style>
  <w:style w:type="character" w:styleId="Mrltotthiperhivatkozs">
    <w:name w:val="FollowedHyperlink"/>
    <w:basedOn w:val="Bekezdsalapbettpusa"/>
    <w:uiPriority w:val="99"/>
    <w:semiHidden/>
    <w:unhideWhenUsed/>
    <w:rPr>
      <w:color w:val="002060"/>
      <w:u w:val="single"/>
    </w:rPr>
  </w:style>
  <w:style w:type="table" w:styleId="Rcsostblzat">
    <w:name w:val="Table Grid"/>
    <w:basedOn w:val="Normltblzat"/>
    <w:uiPriority w:val="39"/>
    <w:pPr>
      <w:ind w:left="0" w:firstLine="567"/>
    </w:pPr>
    <w:rPr>
      <w:rFonts w:ascii="Gentium Plus" w:eastAsia="Arial Unicode MS" w:hAnsi="Gentium Plus" w:cs="Gentium Plus"/>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text"/>
    <w:basedOn w:val="Norml"/>
    <w:qFormat/>
    <w:pPr>
      <w:spacing w:line="240" w:lineRule="auto"/>
      <w:jc w:val="left"/>
    </w:pPr>
    <w:rPr>
      <w:rFonts w:ascii="Calibri" w:hAnsi="Calibri"/>
      <w:sz w:val="20"/>
      <w:szCs w:val="20"/>
    </w:rPr>
  </w:style>
  <w:style w:type="table" w:customStyle="1" w:styleId="FigureTable">
    <w:name w:val="FigureTable"/>
    <w:basedOn w:val="CodeSampleTable"/>
    <w:uiPriority w:val="99"/>
    <w:tblPr>
      <w:tblCellMar>
        <w:top w:w="57" w:type="dxa"/>
        <w:left w:w="57" w:type="dxa"/>
        <w:bottom w:w="57" w:type="dxa"/>
        <w:right w:w="57" w:type="dxa"/>
      </w:tblCellMar>
    </w:tblPr>
    <w:tblStylePr w:type="firstRow">
      <w:rPr>
        <w:rFonts w:asciiTheme="majorHAnsi" w:hAnsiTheme="majorHAnsi"/>
        <w:sz w:val="18"/>
      </w:rPr>
      <w:tblPr/>
      <w:tcPr>
        <w:shd w:val="clear" w:color="auto" w:fill="F0F7D7"/>
      </w:tcPr>
    </w:tblStylePr>
  </w:style>
  <w:style w:type="character" w:customStyle="1" w:styleId="ForeignKhmerScript">
    <w:name w:val="Foreign: KhmerScript"/>
    <w:basedOn w:val="Bekezdsalapbettpusa"/>
    <w:uiPriority w:val="1"/>
    <w:qFormat/>
    <w:rPr>
      <w:rFonts w:ascii="DaunPenh" w:hAnsi="DaunPenh" w:cs="DaunPenh"/>
      <w:bCs w:val="0"/>
      <w:iCs w:val="0"/>
      <w:szCs w:val="36"/>
      <w:lang w:bidi="km-KH"/>
    </w:rPr>
  </w:style>
  <w:style w:type="character" w:customStyle="1" w:styleId="MetreCode">
    <w:name w:val="MetreCode"/>
    <w:basedOn w:val="Bekezdsalapbettpusa"/>
    <w:uiPriority w:val="1"/>
    <w:qFormat/>
    <w:rPr>
      <w:rFonts w:ascii="Cardo" w:hAnsi="Cardo" w:cs="Murty Sanskrit"/>
      <w:spacing w:val="30"/>
    </w:rPr>
  </w:style>
  <w:style w:type="paragraph" w:styleId="Tartalomjegyzkcmsora">
    <w:name w:val="TOC Heading"/>
    <w:basedOn w:val="Cmsor1"/>
    <w:next w:val="Norml"/>
    <w:uiPriority w:val="39"/>
    <w:unhideWhenUsed/>
    <w:qFormat/>
    <w:pPr>
      <w:spacing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J1">
    <w:name w:val="toc 1"/>
    <w:basedOn w:val="Norml"/>
    <w:next w:val="Norml"/>
    <w:uiPriority w:val="39"/>
    <w:unhideWhenUsed/>
    <w:pPr>
      <w:pBdr>
        <w:bottom w:val="single" w:sz="12" w:space="1" w:color="auto"/>
      </w:pBdr>
      <w:tabs>
        <w:tab w:val="left" w:pos="284"/>
        <w:tab w:val="right" w:pos="9639"/>
      </w:tabs>
      <w:spacing w:before="60" w:line="240" w:lineRule="exact"/>
    </w:pPr>
    <w:rPr>
      <w:rFonts w:ascii="Calibri" w:hAnsi="Calibri"/>
      <w:b/>
    </w:rPr>
  </w:style>
  <w:style w:type="paragraph" w:styleId="TJ2">
    <w:name w:val="toc 2"/>
    <w:basedOn w:val="Norml"/>
    <w:next w:val="Norml"/>
    <w:uiPriority w:val="39"/>
    <w:unhideWhenUsed/>
    <w:pPr>
      <w:tabs>
        <w:tab w:val="left" w:pos="567"/>
        <w:tab w:val="right" w:leader="dot" w:pos="9639"/>
      </w:tabs>
      <w:spacing w:line="220" w:lineRule="exact"/>
      <w:ind w:left="227"/>
    </w:pPr>
    <w:rPr>
      <w:rFonts w:asciiTheme="majorHAnsi" w:hAnsiTheme="majorHAnsi"/>
      <w:sz w:val="18"/>
      <w:szCs w:val="18"/>
    </w:rPr>
  </w:style>
  <w:style w:type="paragraph" w:styleId="TJ3">
    <w:name w:val="toc 3"/>
    <w:basedOn w:val="Norml"/>
    <w:next w:val="Norml"/>
    <w:uiPriority w:val="39"/>
    <w:unhideWhenUsed/>
    <w:pPr>
      <w:tabs>
        <w:tab w:val="left" w:pos="1134"/>
        <w:tab w:val="right" w:leader="dot" w:pos="9639"/>
      </w:tabs>
      <w:spacing w:line="220" w:lineRule="exact"/>
      <w:ind w:left="567"/>
    </w:pPr>
    <w:rPr>
      <w:rFonts w:asciiTheme="majorHAnsi" w:hAnsiTheme="majorHAnsi"/>
      <w:sz w:val="18"/>
    </w:rPr>
  </w:style>
  <w:style w:type="paragraph" w:styleId="Vltozat">
    <w:name w:val="Revision"/>
    <w:hidden/>
    <w:uiPriority w:val="99"/>
    <w:semiHidden/>
    <w:pPr>
      <w:widowControl/>
      <w:ind w:left="0"/>
      <w:jc w:val="left"/>
    </w:pPr>
    <w:rPr>
      <w:rFonts w:ascii="Gentium Plus" w:eastAsia="Arial Unicode MS" w:hAnsi="Gentium Plus" w:cs="Gentium Plus"/>
      <w:szCs w:val="22"/>
      <w:lang w:eastAsia="zh-TW"/>
    </w:rPr>
  </w:style>
  <w:style w:type="character" w:customStyle="1" w:styleId="Codeattribute">
    <w:name w:val="Code_attribute"/>
    <w:basedOn w:val="Code"/>
    <w:uiPriority w:val="1"/>
    <w:qFormat/>
    <w:rPr>
      <w:rFonts w:ascii="Consolas" w:hAnsi="Consolas" w:cs="Consolas"/>
      <w:noProof/>
      <w:color w:val="008080"/>
      <w:bdr w:val="none" w:sz="0" w:space="0" w:color="auto"/>
      <w:shd w:val="clear" w:color="auto" w:fill="F2F2F2" w:themeFill="background1" w:themeFillShade="F2"/>
    </w:rPr>
  </w:style>
  <w:style w:type="character" w:customStyle="1" w:styleId="Codevalue">
    <w:name w:val="Code_value"/>
    <w:basedOn w:val="Code"/>
    <w:uiPriority w:val="1"/>
    <w:qFormat/>
    <w:rPr>
      <w:rFonts w:ascii="Consolas" w:eastAsia="Consolas" w:hAnsi="Consolas" w:cs="Consolas"/>
      <w:noProof/>
      <w:color w:val="C00000"/>
      <w:bdr w:val="none" w:sz="0" w:space="0" w:color="auto"/>
      <w:shd w:val="clear" w:color="auto" w:fill="F2F2F2" w:themeFill="background1" w:themeFillShade="F2"/>
    </w:rPr>
  </w:style>
  <w:style w:type="character" w:customStyle="1" w:styleId="Codecomment">
    <w:name w:val="Code_comment"/>
    <w:basedOn w:val="Code"/>
    <w:uiPriority w:val="1"/>
    <w:qFormat/>
    <w:rPr>
      <w:rFonts w:ascii="Consolas" w:eastAsia="Consolas" w:hAnsi="Consolas" w:cs="Consolas"/>
      <w:i/>
      <w:iCs/>
      <w:noProof/>
      <w:color w:val="999988"/>
      <w:bdr w:val="none" w:sz="0" w:space="0" w:color="auto"/>
      <w:shd w:val="clear" w:color="auto" w:fill="F2F2F2" w:themeFill="background1" w:themeFillShade="F2"/>
    </w:rPr>
  </w:style>
  <w:style w:type="character" w:customStyle="1" w:styleId="Codeinstruction">
    <w:name w:val="Code_instruction"/>
    <w:basedOn w:val="Code"/>
    <w:uiPriority w:val="1"/>
    <w:qFormat/>
    <w:rPr>
      <w:rFonts w:ascii="Consolas" w:eastAsia="Consolas" w:hAnsi="Consolas" w:cs="Consolas"/>
      <w:b/>
      <w:bCs/>
      <w:noProof/>
      <w:color w:val="969696"/>
      <w:bdr w:val="none" w:sz="0" w:space="0" w:color="auto"/>
      <w:shd w:val="clear" w:color="auto" w:fill="F2F2F2" w:themeFill="background1" w:themeFillShade="F2"/>
    </w:rPr>
  </w:style>
  <w:style w:type="character" w:customStyle="1" w:styleId="Codetext">
    <w:name w:val="Code_text"/>
    <w:basedOn w:val="Code"/>
    <w:uiPriority w:val="1"/>
    <w:qFormat/>
    <w:rPr>
      <w:rFonts w:ascii="Consolas" w:hAnsi="Consolas" w:cs="Consolas"/>
      <w:noProof/>
      <w:color w:val="000000" w:themeColor="text1"/>
      <w:bdr w:val="none" w:sz="0" w:space="0" w:color="auto"/>
      <w:shd w:val="clear" w:color="auto" w:fill="F2F2F2" w:themeFill="background1" w:themeFillShade="F2"/>
    </w:rPr>
  </w:style>
  <w:style w:type="paragraph" w:styleId="Kpalrs">
    <w:name w:val="caption"/>
    <w:basedOn w:val="Norml"/>
    <w:next w:val="Norml"/>
    <w:uiPriority w:val="35"/>
    <w:qFormat/>
    <w:pPr>
      <w:keepNext/>
      <w:spacing w:before="120" w:line="240" w:lineRule="auto"/>
      <w:jc w:val="center"/>
    </w:pPr>
    <w:rPr>
      <w:i/>
      <w:iCs/>
      <w:sz w:val="20"/>
      <w:szCs w:val="18"/>
    </w:rPr>
  </w:style>
  <w:style w:type="table" w:customStyle="1" w:styleId="CodeSampleTable">
    <w:name w:val="CodeSampleTable"/>
    <w:basedOn w:val="Normltblzat"/>
    <w:uiPriority w:val="99"/>
    <w:pPr>
      <w:widowControl/>
      <w:ind w:left="0"/>
      <w:jc w:val="left"/>
    </w:pPr>
    <w:rPr>
      <w:rFonts w:ascii="Gentium Plus" w:eastAsia="Arial Unicode MS" w:hAnsi="Gentium Plus" w:cs="Gentium Plus"/>
      <w:sz w:val="18"/>
      <w:lang w:eastAsia="zh-TW"/>
    </w:rPr>
    <w:tblPr>
      <w:tblBorders>
        <w:top w:val="single" w:sz="4" w:space="0" w:color="auto"/>
        <w:left w:val="single" w:sz="4" w:space="0" w:color="auto"/>
        <w:bottom w:val="single" w:sz="4" w:space="0" w:color="auto"/>
        <w:right w:val="single" w:sz="4" w:space="0" w:color="auto"/>
        <w:insideH w:val="single" w:sz="4" w:space="0" w:color="auto"/>
      </w:tblBorders>
      <w:tblCellMar>
        <w:left w:w="0" w:type="dxa"/>
        <w:right w:w="0" w:type="dxa"/>
      </w:tblCellMar>
    </w:tblPr>
    <w:trPr>
      <w:cantSplit/>
    </w:trPr>
    <w:tcPr>
      <w:shd w:val="clear" w:color="auto" w:fill="auto"/>
    </w:tcPr>
    <w:tblStylePr w:type="firstRow">
      <w:rPr>
        <w:rFonts w:asciiTheme="majorHAnsi" w:hAnsiTheme="majorHAnsi"/>
        <w:sz w:val="18"/>
      </w:rPr>
      <w:tblPr/>
      <w:tcPr>
        <w:shd w:val="clear" w:color="auto" w:fill="F0F7D7"/>
      </w:tcPr>
    </w:tblStylePr>
  </w:style>
  <w:style w:type="paragraph" w:customStyle="1" w:styleId="CodeParagraph">
    <w:name w:val="CodeParagraph"/>
    <w:basedOn w:val="Norml"/>
    <w:qFormat/>
    <w:pPr>
      <w:shd w:val="clear" w:color="auto" w:fill="F2F2F2" w:themeFill="background1" w:themeFillShade="F2"/>
      <w:spacing w:line="220" w:lineRule="exact"/>
      <w:jc w:val="left"/>
    </w:pPr>
    <w:rPr>
      <w:sz w:val="18"/>
      <w:szCs w:val="18"/>
    </w:rPr>
  </w:style>
  <w:style w:type="paragraph" w:customStyle="1" w:styleId="TableNote">
    <w:name w:val="TableNote"/>
    <w:basedOn w:val="Tabletext"/>
    <w:qFormat/>
    <w:pPr>
      <w:numPr>
        <w:numId w:val="4"/>
      </w:numPr>
      <w:spacing w:before="60"/>
      <w:contextualSpacing/>
    </w:pPr>
  </w:style>
  <w:style w:type="character" w:customStyle="1" w:styleId="ForeignTamilGrantha">
    <w:name w:val="Foreign:TamilGrantha"/>
    <w:basedOn w:val="ForeignTamilScript"/>
    <w:uiPriority w:val="1"/>
    <w:qFormat/>
    <w:rPr>
      <w:rFonts w:ascii="Noto Sans Grantha" w:hAnsi="Noto Sans Grantha" w:cs="Noto Sans Grantha"/>
      <w:b w:val="0"/>
      <w:bCs w:val="0"/>
      <w:i w:val="0"/>
      <w:iCs w:val="0"/>
      <w:noProof/>
      <w:szCs w:val="24"/>
    </w:rPr>
  </w:style>
  <w:style w:type="character" w:customStyle="1" w:styleId="ForeignDevanagariScript">
    <w:name w:val="Foreign:DevanagariScript"/>
    <w:basedOn w:val="ForeignKannadaScript"/>
    <w:uiPriority w:val="1"/>
    <w:qFormat/>
    <w:rPr>
      <w:rFonts w:ascii="Murty Sanskrit" w:hAnsi="Murty Sanskrit" w:cs="Murty Sanskrit"/>
      <w:b w:val="0"/>
      <w:bCs w:val="0"/>
      <w:i w:val="0"/>
      <w:iCs w:val="0"/>
      <w:noProof/>
    </w:rPr>
  </w:style>
  <w:style w:type="paragraph" w:styleId="TJ4">
    <w:name w:val="toc 4"/>
    <w:basedOn w:val="TJ3"/>
    <w:next w:val="Norml"/>
    <w:autoRedefine/>
    <w:uiPriority w:val="39"/>
    <w:unhideWhenUsed/>
    <w:pPr>
      <w:tabs>
        <w:tab w:val="clear" w:pos="1134"/>
      </w:tabs>
      <w:ind w:left="1021"/>
    </w:pPr>
  </w:style>
  <w:style w:type="paragraph" w:styleId="TJ5">
    <w:name w:val="toc 5"/>
    <w:basedOn w:val="Norml"/>
    <w:next w:val="Norml"/>
    <w:autoRedefine/>
    <w:uiPriority w:val="39"/>
    <w:unhideWhenUsed/>
    <w:pPr>
      <w:spacing w:after="100" w:line="259" w:lineRule="auto"/>
      <w:ind w:left="880"/>
    </w:pPr>
    <w:rPr>
      <w:rFonts w:asciiTheme="minorHAnsi" w:hAnsiTheme="minorHAnsi" w:cstheme="minorBidi"/>
      <w:szCs w:val="20"/>
    </w:rPr>
  </w:style>
  <w:style w:type="paragraph" w:styleId="TJ6">
    <w:name w:val="toc 6"/>
    <w:basedOn w:val="Norml"/>
    <w:next w:val="Norml"/>
    <w:autoRedefine/>
    <w:uiPriority w:val="39"/>
    <w:unhideWhenUsed/>
    <w:pPr>
      <w:spacing w:after="100" w:line="259" w:lineRule="auto"/>
      <w:ind w:left="1100"/>
    </w:pPr>
    <w:rPr>
      <w:rFonts w:asciiTheme="minorHAnsi" w:hAnsiTheme="minorHAnsi" w:cstheme="minorBidi"/>
      <w:szCs w:val="20"/>
    </w:rPr>
  </w:style>
  <w:style w:type="paragraph" w:styleId="TJ7">
    <w:name w:val="toc 7"/>
    <w:basedOn w:val="Norml"/>
    <w:next w:val="Norml"/>
    <w:autoRedefine/>
    <w:uiPriority w:val="39"/>
    <w:unhideWhenUsed/>
    <w:pPr>
      <w:spacing w:after="100" w:line="259" w:lineRule="auto"/>
      <w:ind w:left="1320"/>
    </w:pPr>
    <w:rPr>
      <w:rFonts w:asciiTheme="minorHAnsi" w:hAnsiTheme="minorHAnsi" w:cstheme="minorBidi"/>
      <w:szCs w:val="20"/>
    </w:rPr>
  </w:style>
  <w:style w:type="paragraph" w:styleId="TJ8">
    <w:name w:val="toc 8"/>
    <w:basedOn w:val="Norml"/>
    <w:next w:val="Norml"/>
    <w:autoRedefine/>
    <w:uiPriority w:val="39"/>
    <w:unhideWhenUsed/>
    <w:pPr>
      <w:spacing w:after="100" w:line="259" w:lineRule="auto"/>
      <w:ind w:left="1540"/>
    </w:pPr>
    <w:rPr>
      <w:rFonts w:asciiTheme="minorHAnsi" w:hAnsiTheme="minorHAnsi" w:cstheme="minorBidi"/>
      <w:szCs w:val="20"/>
    </w:rPr>
  </w:style>
  <w:style w:type="paragraph" w:styleId="TJ9">
    <w:name w:val="toc 9"/>
    <w:basedOn w:val="Norml"/>
    <w:next w:val="Norml"/>
    <w:autoRedefine/>
    <w:uiPriority w:val="39"/>
    <w:unhideWhenUsed/>
    <w:pPr>
      <w:spacing w:after="100" w:line="259" w:lineRule="auto"/>
      <w:ind w:left="1760"/>
    </w:pPr>
    <w:rPr>
      <w:rFonts w:asciiTheme="minorHAnsi" w:hAnsiTheme="minorHAnsi" w:cstheme="minorBidi"/>
      <w:szCs w:val="20"/>
    </w:rPr>
  </w:style>
  <w:style w:type="paragraph" w:customStyle="1" w:styleId="Frontmatter">
    <w:name w:val="Frontmatter"/>
    <w:basedOn w:val="Norml"/>
    <w:qFormat/>
    <w:pPr>
      <w:spacing w:line="360" w:lineRule="exact"/>
      <w:jc w:val="center"/>
    </w:pPr>
    <w:rPr>
      <w:rFonts w:ascii="Calibri" w:hAnsi="Calibri"/>
      <w:sz w:val="28"/>
      <w:szCs w:val="28"/>
    </w:rPr>
  </w:style>
  <w:style w:type="paragraph" w:styleId="Megjegyzstrgya">
    <w:name w:val="annotation subject"/>
    <w:basedOn w:val="Jegyzetszveg"/>
    <w:next w:val="Jegyzetszveg"/>
    <w:link w:val="MegjegyzstrgyaChar"/>
    <w:uiPriority w:val="99"/>
    <w:semiHidden/>
    <w:unhideWhenUsed/>
    <w:pPr>
      <w:spacing w:line="240" w:lineRule="auto"/>
    </w:pPr>
    <w:rPr>
      <w:b/>
      <w:bCs/>
      <w:szCs w:val="20"/>
    </w:rPr>
  </w:style>
  <w:style w:type="character" w:customStyle="1" w:styleId="MegjegyzstrgyaChar">
    <w:name w:val="Megjegyzés tárgya Char"/>
    <w:basedOn w:val="JegyzetszvegChar"/>
    <w:link w:val="Megjegyzstrgya"/>
    <w:uiPriority w:val="99"/>
    <w:semiHidden/>
    <w:rPr>
      <w:rFonts w:ascii="Gentium" w:eastAsiaTheme="minorEastAsia" w:hAnsi="Gentium" w:cs="Murty Sanskrit"/>
      <w:b/>
      <w:bCs/>
      <w:kern w:val="2"/>
      <w:sz w:val="20"/>
      <w:szCs w:val="20"/>
      <w:lang w:eastAsia="zh-TW"/>
      <w14:ligatures w14:val="standardContextual"/>
    </w:rPr>
  </w:style>
  <w:style w:type="character" w:customStyle="1" w:styleId="Metrum">
    <w:name w:val="Metrum"/>
    <w:rPr>
      <w:rFonts w:ascii="Cardo" w:hAnsi="Cardo"/>
      <w:noProof/>
    </w:rPr>
  </w:style>
  <w:style w:type="character" w:customStyle="1" w:styleId="ForeignBurmeseScript">
    <w:name w:val="Foreign: BurmeseScript"/>
    <w:basedOn w:val="Foreign"/>
    <w:uiPriority w:val="1"/>
    <w:qFormat/>
    <w:rPr>
      <w:rFonts w:ascii="Myanmar Text" w:hAnsi="Myanmar Text" w:cs="Myanmar Text"/>
      <w:bCs w:val="0"/>
      <w:i w:val="0"/>
      <w:iCs w:val="0"/>
      <w:noProof/>
    </w:rPr>
  </w:style>
  <w:style w:type="character" w:styleId="Vgjegyzet-hivatkozs">
    <w:name w:val="endnote reference"/>
    <w:basedOn w:val="Bekezdsalapbettpusa"/>
    <w:uiPriority w:val="99"/>
    <w:semiHidden/>
    <w:unhideWhenUsed/>
    <w:rPr>
      <w:vertAlign w:val="superscript"/>
    </w:rPr>
  </w:style>
  <w:style w:type="paragraph" w:customStyle="1" w:styleId="BlockImage">
    <w:name w:val="BlockImage"/>
    <w:basedOn w:val="Norml"/>
    <w:qFormat/>
    <w:pPr>
      <w:spacing w:line="240" w:lineRule="auto"/>
      <w:jc w:val="center"/>
    </w:pPr>
    <w:rPr>
      <w:noProof/>
    </w:rPr>
  </w:style>
  <w:style w:type="paragraph" w:customStyle="1" w:styleId="Image">
    <w:name w:val="Image"/>
    <w:basedOn w:val="Norml"/>
    <w:qFormat/>
    <w:pPr>
      <w:keepNext/>
      <w:widowControl w:val="0"/>
      <w:spacing w:before="60" w:after="60" w:line="240" w:lineRule="auto"/>
      <w:jc w:val="center"/>
    </w:pPr>
    <w:rPr>
      <w:noProof/>
      <w:sz w:val="20"/>
    </w:rPr>
  </w:style>
  <w:style w:type="paragraph" w:styleId="Szvegtrzs">
    <w:name w:val="Body Text"/>
    <w:basedOn w:val="Norml"/>
    <w:link w:val="SzvegtrzsChar"/>
    <w:uiPriority w:val="74"/>
    <w:pPr>
      <w:spacing w:before="120" w:after="120"/>
      <w:ind w:left="567" w:right="567"/>
      <w:contextualSpacing/>
    </w:pPr>
  </w:style>
  <w:style w:type="character" w:customStyle="1" w:styleId="SzvegtrzsChar">
    <w:name w:val="Szövegtörzs Char"/>
    <w:basedOn w:val="Bekezdsalapbettpusa"/>
    <w:link w:val="Szvegtrzs"/>
    <w:uiPriority w:val="74"/>
    <w:rPr>
      <w:rFonts w:ascii="Gentium" w:eastAsiaTheme="minorEastAsia" w:hAnsi="Gentium" w:cs="Tiro Devanagari Sanskrit"/>
      <w:kern w:val="2"/>
      <w:sz w:val="22"/>
      <w:szCs w:val="22"/>
      <w:lang w:eastAsia="zh-TW"/>
      <w14:ligatures w14:val="standardContextual"/>
    </w:rPr>
  </w:style>
  <w:style w:type="character" w:customStyle="1" w:styleId="ForeignIndic">
    <w:name w:val="Foreign: Indic"/>
    <w:basedOn w:val="Foreign"/>
    <w:uiPriority w:val="1"/>
    <w:qFormat/>
    <w:rPr>
      <w:i w:val="0"/>
      <w:iCs w:val="0"/>
      <w:noProof/>
    </w:rPr>
  </w:style>
  <w:style w:type="paragraph" w:styleId="Idzet">
    <w:name w:val="Quote"/>
    <w:basedOn w:val="Norml"/>
    <w:next w:val="Norml"/>
    <w:link w:val="IdzetChar"/>
    <w:uiPriority w:val="29"/>
    <w:unhideWhenUsed/>
    <w:pPr>
      <w:spacing w:before="120" w:after="120"/>
      <w:ind w:left="567" w:right="567"/>
    </w:pPr>
  </w:style>
  <w:style w:type="character" w:customStyle="1" w:styleId="IdzetChar">
    <w:name w:val="Idézet Char"/>
    <w:basedOn w:val="Bekezdsalapbettpusa"/>
    <w:link w:val="Idzet"/>
    <w:uiPriority w:val="29"/>
    <w:rPr>
      <w:rFonts w:ascii="Gentium" w:eastAsiaTheme="minorEastAsia" w:hAnsi="Gentium" w:cs="Tiro Devanagari Sanskrit"/>
      <w:kern w:val="2"/>
      <w:sz w:val="22"/>
      <w:szCs w:val="22"/>
      <w:lang w:eastAsia="zh-TW"/>
      <w14:ligatures w14:val="standardContextual"/>
    </w:rPr>
  </w:style>
  <w:style w:type="paragraph" w:styleId="Normlbehzs">
    <w:name w:val="Normal Indent"/>
    <w:basedOn w:val="Norml"/>
    <w:uiPriority w:val="99"/>
    <w:unhideWhenUsed/>
    <w:pPr>
      <w:ind w:firstLine="425"/>
    </w:pPr>
  </w:style>
  <w:style w:type="character" w:customStyle="1" w:styleId="ImageInsetSundanese">
    <w:name w:val="ImageInsetSundanese"/>
    <w:basedOn w:val="Bekezdsalapbettpusa"/>
    <w:uiPriority w:val="1"/>
    <w:qFormat/>
    <w:rPr>
      <w:noProof/>
      <w:position w:val="-10"/>
    </w:rPr>
  </w:style>
  <w:style w:type="paragraph" w:customStyle="1" w:styleId="TableHead">
    <w:name w:val="TableHead"/>
    <w:basedOn w:val="Norml"/>
    <w:qFormat/>
    <w:pPr>
      <w:jc w:val="left"/>
    </w:pPr>
  </w:style>
  <w:style w:type="table" w:customStyle="1" w:styleId="Stlus1">
    <w:name w:val="Stílus1"/>
    <w:basedOn w:val="CodeSampleTable"/>
    <w:uiPriority w:val="99"/>
    <w:tblPr>
      <w:tblCellMar>
        <w:top w:w="57" w:type="dxa"/>
        <w:bottom w:w="57" w:type="dxa"/>
      </w:tblCellMar>
    </w:tblPr>
    <w:tblStylePr w:type="firstRow">
      <w:rPr>
        <w:rFonts w:asciiTheme="majorHAnsi" w:hAnsiTheme="majorHAnsi"/>
        <w:sz w:val="18"/>
      </w:rPr>
      <w:tblPr/>
      <w:tcPr>
        <w:tcBorders>
          <w:bottom w:val="nil"/>
        </w:tcBorders>
        <w:shd w:val="clear" w:color="auto" w:fill="EAF1DD" w:themeFill="accent3" w:themeFillTint="33"/>
      </w:tcPr>
    </w:tblStylePr>
  </w:style>
  <w:style w:type="character" w:customStyle="1" w:styleId="ForeignDevanagariAlt">
    <w:name w:val="Foreign: DevanagariAlt"/>
    <w:basedOn w:val="Bekezdsalapbettpusa"/>
    <w:uiPriority w:val="1"/>
    <w:qFormat/>
    <w:rPr>
      <w:rFonts w:ascii="Uttara" w:hAnsi="Uttara" w:cs="Uttara"/>
      <w:b w:val="0"/>
      <w:bCs w:val="0"/>
      <w:i w:val="0"/>
      <w:iCs w:val="0"/>
      <w:noProof/>
      <w14:ligatures w14:val="all"/>
    </w:rPr>
  </w:style>
  <w:style w:type="character" w:customStyle="1" w:styleId="ForeignDevanagariScript0">
    <w:name w:val="Foreign: DevanagariScript"/>
    <w:basedOn w:val="ForeignKannadaScript"/>
    <w:uiPriority w:val="1"/>
    <w:qFormat/>
    <w:rPr>
      <w:rFonts w:ascii="Tiro Devanagari Sanskrit" w:hAnsi="Tiro Devanagari Sanskrit" w:cs="Tiro Devanagari Sanskrit"/>
      <w:b w:val="0"/>
      <w:bCs w:val="0"/>
      <w:i w:val="0"/>
      <w:iCs w:val="0"/>
      <w:noProof/>
    </w:rPr>
  </w:style>
  <w:style w:type="character" w:customStyle="1" w:styleId="ForeignBengaliScript">
    <w:name w:val="Foreign: BengaliScript"/>
    <w:basedOn w:val="ForeignDevanagariScript0"/>
    <w:uiPriority w:val="1"/>
    <w:qFormat/>
    <w:rPr>
      <w:rFonts w:ascii="Tiro Devanagari Sanskrit" w:hAnsi="Tiro Devanagari Sanskrit" w:cs="Tiro Devanagari Sanskrit"/>
      <w:b w:val="0"/>
      <w:bCs w:val="0"/>
      <w:i w:val="0"/>
      <w:iCs w:val="0"/>
      <w:noProof/>
    </w:rPr>
  </w:style>
  <w:style w:type="character" w:customStyle="1" w:styleId="ForeignTamilGrantha0">
    <w:name w:val="Foreign: TamilGrantha"/>
    <w:basedOn w:val="ForeignTamilScript"/>
    <w:uiPriority w:val="1"/>
    <w:qFormat/>
    <w:rPr>
      <w:rFonts w:ascii="Noto Sans Grantha" w:hAnsi="Noto Sans Grantha" w:cs="Noto Sans Grantha"/>
      <w:b w:val="0"/>
      <w:bCs w:val="0"/>
      <w:i w:val="0"/>
      <w:iCs w:val="0"/>
      <w:noProof/>
      <w:szCs w:val="24"/>
    </w:rPr>
  </w:style>
  <w:style w:type="table" w:customStyle="1" w:styleId="TGtableblank">
    <w:name w:val="TG table blank"/>
    <w:basedOn w:val="Normltblzat"/>
    <w:uiPriority w:val="99"/>
    <w:pPr>
      <w:widowControl/>
      <w:ind w:left="0"/>
      <w:jc w:val="left"/>
    </w:pPr>
    <w:rPr>
      <w:rFonts w:ascii="Gentium Plus" w:eastAsia="Arial Unicode MS" w:hAnsi="Gentium Plus" w:cs="Gentium Plus"/>
      <w:lang w:eastAsia="zh-TW"/>
    </w:rPr>
    <w:tblPr/>
  </w:style>
  <w:style w:type="character" w:customStyle="1" w:styleId="TG-Label">
    <w:name w:val="TG-Label"/>
    <w:basedOn w:val="Code"/>
    <w:uiPriority w:val="1"/>
    <w:qFormat/>
    <w:rPr>
      <w:rFonts w:ascii="Calibri" w:hAnsi="Calibri" w:cs="Consolas"/>
      <w:noProof/>
      <w:color w:val="0000FF"/>
      <w:bdr w:val="single" w:sz="4" w:space="0" w:color="auto"/>
      <w:shd w:val="clear" w:color="auto" w:fill="auto"/>
    </w:rPr>
  </w:style>
  <w:style w:type="character" w:customStyle="1" w:styleId="LabelEmph">
    <w:name w:val="LabelEmph"/>
    <w:basedOn w:val="TG-Label"/>
    <w:uiPriority w:val="1"/>
    <w:qFormat/>
    <w:rPr>
      <w:rFonts w:ascii="Calibri" w:hAnsi="Calibri" w:cs="Consolas"/>
      <w:noProof/>
      <w:color w:val="FF0000"/>
      <w:bdr w:val="single" w:sz="4" w:space="0" w:color="auto"/>
      <w:shd w:val="clear" w:color="auto" w:fill="auto"/>
    </w:rPr>
  </w:style>
  <w:style w:type="character" w:customStyle="1" w:styleId="Label">
    <w:name w:val="Label"/>
    <w:basedOn w:val="Code"/>
    <w:uiPriority w:val="1"/>
    <w:qFormat/>
    <w:rPr>
      <w:rFonts w:ascii="Calibri" w:hAnsi="Calibri" w:cs="Consolas"/>
      <w:noProof/>
      <w:color w:val="0000FF"/>
      <w:bdr w:val="single" w:sz="4" w:space="0" w:color="auto"/>
      <w:shd w:val="clear" w:color="auto" w:fill="auto"/>
    </w:rPr>
  </w:style>
  <w:style w:type="character" w:customStyle="1" w:styleId="ForeignTeluguScript">
    <w:name w:val="Foreign: TeluguScript"/>
    <w:basedOn w:val="ForeignKannadaScript"/>
    <w:uiPriority w:val="1"/>
    <w:qFormat/>
    <w:rPr>
      <w:rFonts w:ascii="Tiro Telugu" w:hAnsi="Tiro Telugu" w:cs="Nirmala UI"/>
      <w:b w:val="0"/>
      <w:bCs w:val="0"/>
      <w:i w:val="0"/>
      <w:iCs w:val="0"/>
      <w:noProof/>
    </w:rPr>
  </w:style>
  <w:style w:type="character" w:customStyle="1" w:styleId="ForeignJavaneseScript">
    <w:name w:val="Foreign: JavaneseScript"/>
    <w:basedOn w:val="ForeignBalineseScript"/>
    <w:uiPriority w:val="1"/>
    <w:qFormat/>
    <w:rPr>
      <w:rFonts w:ascii="Javanese Text" w:hAnsi="Javanese Text" w:cs="Javanese Text"/>
      <w:b w:val="0"/>
      <w:bCs w:val="0"/>
      <w:i w:val="0"/>
      <w:iCs w:val="0"/>
      <w:noProof/>
      <w:position w:val="0"/>
      <w:szCs w:val="24"/>
    </w:rPr>
  </w:style>
  <w:style w:type="character" w:customStyle="1" w:styleId="LabelGreen">
    <w:name w:val="LabelGreen"/>
    <w:basedOn w:val="Label"/>
    <w:uiPriority w:val="1"/>
    <w:qFormat/>
    <w:rPr>
      <w:rFonts w:ascii="Calibri" w:hAnsi="Calibri" w:cs="Consolas"/>
      <w:noProof/>
      <w:color w:val="4F6228" w:themeColor="accent3" w:themeShade="80"/>
      <w:bdr w:val="single" w:sz="4" w:space="0" w:color="auto"/>
      <w:shd w:val="clear" w:color="auto" w:fill="auto"/>
    </w:rPr>
  </w:style>
  <w:style w:type="character" w:customStyle="1" w:styleId="ForeignSharadaScript">
    <w:name w:val="Foreign: SharadaScript"/>
    <w:basedOn w:val="ForeignDevanagariScript0"/>
    <w:uiPriority w:val="1"/>
    <w:qFormat/>
    <w:rPr>
      <w:rFonts w:ascii="Satisar Sharada" w:hAnsi="Satisar Sharada" w:cs="Tiro Devanagari Sanskrit"/>
      <w:b w:val="0"/>
      <w:bCs w:val="0"/>
      <w:i w:val="0"/>
      <w:iCs w:val="0"/>
      <w:noProof/>
    </w:rPr>
  </w:style>
  <w:style w:type="character" w:customStyle="1" w:styleId="LabelInformal">
    <w:name w:val="LabelInformal"/>
    <w:basedOn w:val="Code"/>
    <w:uiPriority w:val="1"/>
    <w:qFormat/>
    <w:rPr>
      <w:rFonts w:ascii="Calibri" w:hAnsi="Calibri" w:cs="Consolas"/>
      <w:noProof/>
      <w:color w:val="7F7F7F" w:themeColor="text1" w:themeTint="80"/>
      <w:bdr w:val="single" w:sz="4" w:space="0" w:color="auto"/>
      <w:shd w:val="clear" w:color="auto" w:fill="auto"/>
    </w:rPr>
  </w:style>
  <w:style w:type="character" w:customStyle="1" w:styleId="ForeignGurmukhiScript">
    <w:name w:val="Foreign: GurmukhiScript"/>
    <w:basedOn w:val="ForeignDevanagariScript0"/>
    <w:uiPriority w:val="1"/>
    <w:qFormat/>
    <w:rPr>
      <w:rFonts w:ascii="Raavi" w:hAnsi="Raavi" w:cs="Raavi"/>
      <w:b w:val="0"/>
      <w:bCs w:val="0"/>
      <w:i w:val="0"/>
      <w:iCs w:val="0"/>
      <w:noProof/>
      <w:lang w:bidi="pa-IN"/>
    </w:rPr>
  </w:style>
  <w:style w:type="character" w:customStyle="1" w:styleId="ForeignDingbat">
    <w:name w:val="Foreign: Dingbat"/>
    <w:basedOn w:val="ForeignDevanagariScript0"/>
    <w:uiPriority w:val="1"/>
    <w:qFormat/>
    <w:rPr>
      <w:rFonts w:ascii="Segoe UI Symbol" w:hAnsi="Segoe UI Symbol" w:cs="Cambria Math"/>
      <w:b w:val="0"/>
      <w:bCs w:val="0"/>
      <w:i w:val="0"/>
      <w:iCs w:val="0"/>
      <w:noProof/>
      <w:lang w:eastAsia="en-US" w:bidi="ar-SA"/>
    </w:rPr>
  </w:style>
  <w:style w:type="paragraph" w:styleId="Listaszerbekezds">
    <w:name w:val="List Paragraph"/>
    <w:basedOn w:val="Norml"/>
    <w:uiPriority w:val="34"/>
    <w:qFormat/>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290">
      <w:bodyDiv w:val="1"/>
      <w:marLeft w:val="0"/>
      <w:marRight w:val="0"/>
      <w:marTop w:val="0"/>
      <w:marBottom w:val="0"/>
      <w:divBdr>
        <w:top w:val="none" w:sz="0" w:space="0" w:color="auto"/>
        <w:left w:val="none" w:sz="0" w:space="0" w:color="auto"/>
        <w:bottom w:val="none" w:sz="0" w:space="0" w:color="auto"/>
        <w:right w:val="none" w:sz="0" w:space="0" w:color="auto"/>
      </w:divBdr>
    </w:div>
    <w:div w:id="45421345">
      <w:bodyDiv w:val="1"/>
      <w:marLeft w:val="0"/>
      <w:marRight w:val="0"/>
      <w:marTop w:val="0"/>
      <w:marBottom w:val="0"/>
      <w:divBdr>
        <w:top w:val="none" w:sz="0" w:space="0" w:color="auto"/>
        <w:left w:val="none" w:sz="0" w:space="0" w:color="auto"/>
        <w:bottom w:val="none" w:sz="0" w:space="0" w:color="auto"/>
        <w:right w:val="none" w:sz="0" w:space="0" w:color="auto"/>
      </w:divBdr>
    </w:div>
    <w:div w:id="102959600">
      <w:bodyDiv w:val="1"/>
      <w:marLeft w:val="0"/>
      <w:marRight w:val="0"/>
      <w:marTop w:val="0"/>
      <w:marBottom w:val="0"/>
      <w:divBdr>
        <w:top w:val="none" w:sz="0" w:space="0" w:color="auto"/>
        <w:left w:val="none" w:sz="0" w:space="0" w:color="auto"/>
        <w:bottom w:val="none" w:sz="0" w:space="0" w:color="auto"/>
        <w:right w:val="none" w:sz="0" w:space="0" w:color="auto"/>
      </w:divBdr>
    </w:div>
    <w:div w:id="105395730">
      <w:bodyDiv w:val="1"/>
      <w:marLeft w:val="0"/>
      <w:marRight w:val="0"/>
      <w:marTop w:val="0"/>
      <w:marBottom w:val="0"/>
      <w:divBdr>
        <w:top w:val="none" w:sz="0" w:space="0" w:color="auto"/>
        <w:left w:val="none" w:sz="0" w:space="0" w:color="auto"/>
        <w:bottom w:val="none" w:sz="0" w:space="0" w:color="auto"/>
        <w:right w:val="none" w:sz="0" w:space="0" w:color="auto"/>
      </w:divBdr>
    </w:div>
    <w:div w:id="109521671">
      <w:bodyDiv w:val="1"/>
      <w:marLeft w:val="0"/>
      <w:marRight w:val="0"/>
      <w:marTop w:val="0"/>
      <w:marBottom w:val="0"/>
      <w:divBdr>
        <w:top w:val="none" w:sz="0" w:space="0" w:color="auto"/>
        <w:left w:val="none" w:sz="0" w:space="0" w:color="auto"/>
        <w:bottom w:val="none" w:sz="0" w:space="0" w:color="auto"/>
        <w:right w:val="none" w:sz="0" w:space="0" w:color="auto"/>
      </w:divBdr>
    </w:div>
    <w:div w:id="110049882">
      <w:bodyDiv w:val="1"/>
      <w:marLeft w:val="0"/>
      <w:marRight w:val="0"/>
      <w:marTop w:val="0"/>
      <w:marBottom w:val="0"/>
      <w:divBdr>
        <w:top w:val="none" w:sz="0" w:space="0" w:color="auto"/>
        <w:left w:val="none" w:sz="0" w:space="0" w:color="auto"/>
        <w:bottom w:val="none" w:sz="0" w:space="0" w:color="auto"/>
        <w:right w:val="none" w:sz="0" w:space="0" w:color="auto"/>
      </w:divBdr>
    </w:div>
    <w:div w:id="132603217">
      <w:bodyDiv w:val="1"/>
      <w:marLeft w:val="0"/>
      <w:marRight w:val="0"/>
      <w:marTop w:val="0"/>
      <w:marBottom w:val="0"/>
      <w:divBdr>
        <w:top w:val="none" w:sz="0" w:space="0" w:color="auto"/>
        <w:left w:val="none" w:sz="0" w:space="0" w:color="auto"/>
        <w:bottom w:val="none" w:sz="0" w:space="0" w:color="auto"/>
        <w:right w:val="none" w:sz="0" w:space="0" w:color="auto"/>
      </w:divBdr>
    </w:div>
    <w:div w:id="141891137">
      <w:bodyDiv w:val="1"/>
      <w:marLeft w:val="0"/>
      <w:marRight w:val="0"/>
      <w:marTop w:val="0"/>
      <w:marBottom w:val="0"/>
      <w:divBdr>
        <w:top w:val="none" w:sz="0" w:space="0" w:color="auto"/>
        <w:left w:val="none" w:sz="0" w:space="0" w:color="auto"/>
        <w:bottom w:val="none" w:sz="0" w:space="0" w:color="auto"/>
        <w:right w:val="none" w:sz="0" w:space="0" w:color="auto"/>
      </w:divBdr>
    </w:div>
    <w:div w:id="145973143">
      <w:bodyDiv w:val="1"/>
      <w:marLeft w:val="0"/>
      <w:marRight w:val="0"/>
      <w:marTop w:val="0"/>
      <w:marBottom w:val="0"/>
      <w:divBdr>
        <w:top w:val="none" w:sz="0" w:space="0" w:color="auto"/>
        <w:left w:val="none" w:sz="0" w:space="0" w:color="auto"/>
        <w:bottom w:val="none" w:sz="0" w:space="0" w:color="auto"/>
        <w:right w:val="none" w:sz="0" w:space="0" w:color="auto"/>
      </w:divBdr>
    </w:div>
    <w:div w:id="157312634">
      <w:bodyDiv w:val="1"/>
      <w:marLeft w:val="0"/>
      <w:marRight w:val="0"/>
      <w:marTop w:val="0"/>
      <w:marBottom w:val="0"/>
      <w:divBdr>
        <w:top w:val="none" w:sz="0" w:space="0" w:color="auto"/>
        <w:left w:val="none" w:sz="0" w:space="0" w:color="auto"/>
        <w:bottom w:val="none" w:sz="0" w:space="0" w:color="auto"/>
        <w:right w:val="none" w:sz="0" w:space="0" w:color="auto"/>
      </w:divBdr>
    </w:div>
    <w:div w:id="183329715">
      <w:bodyDiv w:val="1"/>
      <w:marLeft w:val="0"/>
      <w:marRight w:val="0"/>
      <w:marTop w:val="0"/>
      <w:marBottom w:val="0"/>
      <w:divBdr>
        <w:top w:val="none" w:sz="0" w:space="0" w:color="auto"/>
        <w:left w:val="none" w:sz="0" w:space="0" w:color="auto"/>
        <w:bottom w:val="none" w:sz="0" w:space="0" w:color="auto"/>
        <w:right w:val="none" w:sz="0" w:space="0" w:color="auto"/>
      </w:divBdr>
    </w:div>
    <w:div w:id="193005767">
      <w:bodyDiv w:val="1"/>
      <w:marLeft w:val="0"/>
      <w:marRight w:val="0"/>
      <w:marTop w:val="0"/>
      <w:marBottom w:val="0"/>
      <w:divBdr>
        <w:top w:val="none" w:sz="0" w:space="0" w:color="auto"/>
        <w:left w:val="none" w:sz="0" w:space="0" w:color="auto"/>
        <w:bottom w:val="none" w:sz="0" w:space="0" w:color="auto"/>
        <w:right w:val="none" w:sz="0" w:space="0" w:color="auto"/>
      </w:divBdr>
    </w:div>
    <w:div w:id="211619433">
      <w:bodyDiv w:val="1"/>
      <w:marLeft w:val="0"/>
      <w:marRight w:val="0"/>
      <w:marTop w:val="0"/>
      <w:marBottom w:val="0"/>
      <w:divBdr>
        <w:top w:val="none" w:sz="0" w:space="0" w:color="auto"/>
        <w:left w:val="none" w:sz="0" w:space="0" w:color="auto"/>
        <w:bottom w:val="none" w:sz="0" w:space="0" w:color="auto"/>
        <w:right w:val="none" w:sz="0" w:space="0" w:color="auto"/>
      </w:divBdr>
      <w:divsChild>
        <w:div w:id="11954811">
          <w:marLeft w:val="480"/>
          <w:marRight w:val="0"/>
          <w:marTop w:val="0"/>
          <w:marBottom w:val="0"/>
          <w:divBdr>
            <w:top w:val="none" w:sz="0" w:space="0" w:color="auto"/>
            <w:left w:val="none" w:sz="0" w:space="0" w:color="auto"/>
            <w:bottom w:val="none" w:sz="0" w:space="0" w:color="auto"/>
            <w:right w:val="none" w:sz="0" w:space="0" w:color="auto"/>
          </w:divBdr>
          <w:divsChild>
            <w:div w:id="24210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02970">
      <w:bodyDiv w:val="1"/>
      <w:marLeft w:val="0"/>
      <w:marRight w:val="0"/>
      <w:marTop w:val="0"/>
      <w:marBottom w:val="0"/>
      <w:divBdr>
        <w:top w:val="none" w:sz="0" w:space="0" w:color="auto"/>
        <w:left w:val="none" w:sz="0" w:space="0" w:color="auto"/>
        <w:bottom w:val="none" w:sz="0" w:space="0" w:color="auto"/>
        <w:right w:val="none" w:sz="0" w:space="0" w:color="auto"/>
      </w:divBdr>
    </w:div>
    <w:div w:id="264776259">
      <w:bodyDiv w:val="1"/>
      <w:marLeft w:val="0"/>
      <w:marRight w:val="0"/>
      <w:marTop w:val="0"/>
      <w:marBottom w:val="0"/>
      <w:divBdr>
        <w:top w:val="none" w:sz="0" w:space="0" w:color="auto"/>
        <w:left w:val="none" w:sz="0" w:space="0" w:color="auto"/>
        <w:bottom w:val="none" w:sz="0" w:space="0" w:color="auto"/>
        <w:right w:val="none" w:sz="0" w:space="0" w:color="auto"/>
      </w:divBdr>
    </w:div>
    <w:div w:id="279192214">
      <w:bodyDiv w:val="1"/>
      <w:marLeft w:val="0"/>
      <w:marRight w:val="0"/>
      <w:marTop w:val="0"/>
      <w:marBottom w:val="0"/>
      <w:divBdr>
        <w:top w:val="none" w:sz="0" w:space="0" w:color="auto"/>
        <w:left w:val="none" w:sz="0" w:space="0" w:color="auto"/>
        <w:bottom w:val="none" w:sz="0" w:space="0" w:color="auto"/>
        <w:right w:val="none" w:sz="0" w:space="0" w:color="auto"/>
      </w:divBdr>
    </w:div>
    <w:div w:id="315038910">
      <w:bodyDiv w:val="1"/>
      <w:marLeft w:val="0"/>
      <w:marRight w:val="0"/>
      <w:marTop w:val="0"/>
      <w:marBottom w:val="0"/>
      <w:divBdr>
        <w:top w:val="none" w:sz="0" w:space="0" w:color="auto"/>
        <w:left w:val="none" w:sz="0" w:space="0" w:color="auto"/>
        <w:bottom w:val="none" w:sz="0" w:space="0" w:color="auto"/>
        <w:right w:val="none" w:sz="0" w:space="0" w:color="auto"/>
      </w:divBdr>
    </w:div>
    <w:div w:id="403528943">
      <w:bodyDiv w:val="1"/>
      <w:marLeft w:val="0"/>
      <w:marRight w:val="0"/>
      <w:marTop w:val="0"/>
      <w:marBottom w:val="0"/>
      <w:divBdr>
        <w:top w:val="none" w:sz="0" w:space="0" w:color="auto"/>
        <w:left w:val="none" w:sz="0" w:space="0" w:color="auto"/>
        <w:bottom w:val="none" w:sz="0" w:space="0" w:color="auto"/>
        <w:right w:val="none" w:sz="0" w:space="0" w:color="auto"/>
      </w:divBdr>
    </w:div>
    <w:div w:id="430588830">
      <w:bodyDiv w:val="1"/>
      <w:marLeft w:val="0"/>
      <w:marRight w:val="0"/>
      <w:marTop w:val="0"/>
      <w:marBottom w:val="0"/>
      <w:divBdr>
        <w:top w:val="none" w:sz="0" w:space="0" w:color="auto"/>
        <w:left w:val="none" w:sz="0" w:space="0" w:color="auto"/>
        <w:bottom w:val="none" w:sz="0" w:space="0" w:color="auto"/>
        <w:right w:val="none" w:sz="0" w:space="0" w:color="auto"/>
      </w:divBdr>
    </w:div>
    <w:div w:id="437071191">
      <w:bodyDiv w:val="1"/>
      <w:marLeft w:val="0"/>
      <w:marRight w:val="0"/>
      <w:marTop w:val="0"/>
      <w:marBottom w:val="0"/>
      <w:divBdr>
        <w:top w:val="none" w:sz="0" w:space="0" w:color="auto"/>
        <w:left w:val="none" w:sz="0" w:space="0" w:color="auto"/>
        <w:bottom w:val="none" w:sz="0" w:space="0" w:color="auto"/>
        <w:right w:val="none" w:sz="0" w:space="0" w:color="auto"/>
      </w:divBdr>
    </w:div>
    <w:div w:id="471562700">
      <w:bodyDiv w:val="1"/>
      <w:marLeft w:val="0"/>
      <w:marRight w:val="0"/>
      <w:marTop w:val="0"/>
      <w:marBottom w:val="0"/>
      <w:divBdr>
        <w:top w:val="none" w:sz="0" w:space="0" w:color="auto"/>
        <w:left w:val="none" w:sz="0" w:space="0" w:color="auto"/>
        <w:bottom w:val="none" w:sz="0" w:space="0" w:color="auto"/>
        <w:right w:val="none" w:sz="0" w:space="0" w:color="auto"/>
      </w:divBdr>
    </w:div>
    <w:div w:id="485707158">
      <w:bodyDiv w:val="1"/>
      <w:marLeft w:val="0"/>
      <w:marRight w:val="0"/>
      <w:marTop w:val="0"/>
      <w:marBottom w:val="0"/>
      <w:divBdr>
        <w:top w:val="none" w:sz="0" w:space="0" w:color="auto"/>
        <w:left w:val="none" w:sz="0" w:space="0" w:color="auto"/>
        <w:bottom w:val="none" w:sz="0" w:space="0" w:color="auto"/>
        <w:right w:val="none" w:sz="0" w:space="0" w:color="auto"/>
      </w:divBdr>
    </w:div>
    <w:div w:id="509568200">
      <w:bodyDiv w:val="1"/>
      <w:marLeft w:val="0"/>
      <w:marRight w:val="0"/>
      <w:marTop w:val="0"/>
      <w:marBottom w:val="0"/>
      <w:divBdr>
        <w:top w:val="none" w:sz="0" w:space="0" w:color="auto"/>
        <w:left w:val="none" w:sz="0" w:space="0" w:color="auto"/>
        <w:bottom w:val="none" w:sz="0" w:space="0" w:color="auto"/>
        <w:right w:val="none" w:sz="0" w:space="0" w:color="auto"/>
      </w:divBdr>
    </w:div>
    <w:div w:id="540214831">
      <w:bodyDiv w:val="1"/>
      <w:marLeft w:val="0"/>
      <w:marRight w:val="0"/>
      <w:marTop w:val="0"/>
      <w:marBottom w:val="0"/>
      <w:divBdr>
        <w:top w:val="none" w:sz="0" w:space="0" w:color="auto"/>
        <w:left w:val="none" w:sz="0" w:space="0" w:color="auto"/>
        <w:bottom w:val="none" w:sz="0" w:space="0" w:color="auto"/>
        <w:right w:val="none" w:sz="0" w:space="0" w:color="auto"/>
      </w:divBdr>
    </w:div>
    <w:div w:id="565577944">
      <w:bodyDiv w:val="1"/>
      <w:marLeft w:val="0"/>
      <w:marRight w:val="0"/>
      <w:marTop w:val="0"/>
      <w:marBottom w:val="0"/>
      <w:divBdr>
        <w:top w:val="none" w:sz="0" w:space="0" w:color="auto"/>
        <w:left w:val="none" w:sz="0" w:space="0" w:color="auto"/>
        <w:bottom w:val="none" w:sz="0" w:space="0" w:color="auto"/>
        <w:right w:val="none" w:sz="0" w:space="0" w:color="auto"/>
      </w:divBdr>
    </w:div>
    <w:div w:id="574362720">
      <w:bodyDiv w:val="1"/>
      <w:marLeft w:val="0"/>
      <w:marRight w:val="0"/>
      <w:marTop w:val="0"/>
      <w:marBottom w:val="0"/>
      <w:divBdr>
        <w:top w:val="none" w:sz="0" w:space="0" w:color="auto"/>
        <w:left w:val="none" w:sz="0" w:space="0" w:color="auto"/>
        <w:bottom w:val="none" w:sz="0" w:space="0" w:color="auto"/>
        <w:right w:val="none" w:sz="0" w:space="0" w:color="auto"/>
      </w:divBdr>
    </w:div>
    <w:div w:id="575744209">
      <w:bodyDiv w:val="1"/>
      <w:marLeft w:val="0"/>
      <w:marRight w:val="0"/>
      <w:marTop w:val="0"/>
      <w:marBottom w:val="0"/>
      <w:divBdr>
        <w:top w:val="none" w:sz="0" w:space="0" w:color="auto"/>
        <w:left w:val="none" w:sz="0" w:space="0" w:color="auto"/>
        <w:bottom w:val="none" w:sz="0" w:space="0" w:color="auto"/>
        <w:right w:val="none" w:sz="0" w:space="0" w:color="auto"/>
      </w:divBdr>
    </w:div>
    <w:div w:id="597524147">
      <w:bodyDiv w:val="1"/>
      <w:marLeft w:val="0"/>
      <w:marRight w:val="0"/>
      <w:marTop w:val="0"/>
      <w:marBottom w:val="0"/>
      <w:divBdr>
        <w:top w:val="none" w:sz="0" w:space="0" w:color="auto"/>
        <w:left w:val="none" w:sz="0" w:space="0" w:color="auto"/>
        <w:bottom w:val="none" w:sz="0" w:space="0" w:color="auto"/>
        <w:right w:val="none" w:sz="0" w:space="0" w:color="auto"/>
      </w:divBdr>
    </w:div>
    <w:div w:id="609238002">
      <w:bodyDiv w:val="1"/>
      <w:marLeft w:val="0"/>
      <w:marRight w:val="0"/>
      <w:marTop w:val="0"/>
      <w:marBottom w:val="0"/>
      <w:divBdr>
        <w:top w:val="none" w:sz="0" w:space="0" w:color="auto"/>
        <w:left w:val="none" w:sz="0" w:space="0" w:color="auto"/>
        <w:bottom w:val="none" w:sz="0" w:space="0" w:color="auto"/>
        <w:right w:val="none" w:sz="0" w:space="0" w:color="auto"/>
      </w:divBdr>
    </w:div>
    <w:div w:id="612976669">
      <w:bodyDiv w:val="1"/>
      <w:marLeft w:val="0"/>
      <w:marRight w:val="0"/>
      <w:marTop w:val="0"/>
      <w:marBottom w:val="0"/>
      <w:divBdr>
        <w:top w:val="none" w:sz="0" w:space="0" w:color="auto"/>
        <w:left w:val="none" w:sz="0" w:space="0" w:color="auto"/>
        <w:bottom w:val="none" w:sz="0" w:space="0" w:color="auto"/>
        <w:right w:val="none" w:sz="0" w:space="0" w:color="auto"/>
      </w:divBdr>
      <w:divsChild>
        <w:div w:id="23212860">
          <w:marLeft w:val="480"/>
          <w:marRight w:val="0"/>
          <w:marTop w:val="0"/>
          <w:marBottom w:val="0"/>
          <w:divBdr>
            <w:top w:val="none" w:sz="0" w:space="0" w:color="auto"/>
            <w:left w:val="none" w:sz="0" w:space="0" w:color="auto"/>
            <w:bottom w:val="none" w:sz="0" w:space="0" w:color="auto"/>
            <w:right w:val="none" w:sz="0" w:space="0" w:color="auto"/>
          </w:divBdr>
          <w:divsChild>
            <w:div w:id="193443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6736">
      <w:bodyDiv w:val="1"/>
      <w:marLeft w:val="0"/>
      <w:marRight w:val="0"/>
      <w:marTop w:val="0"/>
      <w:marBottom w:val="0"/>
      <w:divBdr>
        <w:top w:val="none" w:sz="0" w:space="0" w:color="auto"/>
        <w:left w:val="none" w:sz="0" w:space="0" w:color="auto"/>
        <w:bottom w:val="none" w:sz="0" w:space="0" w:color="auto"/>
        <w:right w:val="none" w:sz="0" w:space="0" w:color="auto"/>
      </w:divBdr>
    </w:div>
    <w:div w:id="665136187">
      <w:bodyDiv w:val="1"/>
      <w:marLeft w:val="0"/>
      <w:marRight w:val="0"/>
      <w:marTop w:val="0"/>
      <w:marBottom w:val="0"/>
      <w:divBdr>
        <w:top w:val="none" w:sz="0" w:space="0" w:color="auto"/>
        <w:left w:val="none" w:sz="0" w:space="0" w:color="auto"/>
        <w:bottom w:val="none" w:sz="0" w:space="0" w:color="auto"/>
        <w:right w:val="none" w:sz="0" w:space="0" w:color="auto"/>
      </w:divBdr>
    </w:div>
    <w:div w:id="696613784">
      <w:bodyDiv w:val="1"/>
      <w:marLeft w:val="0"/>
      <w:marRight w:val="0"/>
      <w:marTop w:val="0"/>
      <w:marBottom w:val="0"/>
      <w:divBdr>
        <w:top w:val="none" w:sz="0" w:space="0" w:color="auto"/>
        <w:left w:val="none" w:sz="0" w:space="0" w:color="auto"/>
        <w:bottom w:val="none" w:sz="0" w:space="0" w:color="auto"/>
        <w:right w:val="none" w:sz="0" w:space="0" w:color="auto"/>
      </w:divBdr>
    </w:div>
    <w:div w:id="704526947">
      <w:bodyDiv w:val="1"/>
      <w:marLeft w:val="0"/>
      <w:marRight w:val="0"/>
      <w:marTop w:val="0"/>
      <w:marBottom w:val="0"/>
      <w:divBdr>
        <w:top w:val="none" w:sz="0" w:space="0" w:color="auto"/>
        <w:left w:val="none" w:sz="0" w:space="0" w:color="auto"/>
        <w:bottom w:val="none" w:sz="0" w:space="0" w:color="auto"/>
        <w:right w:val="none" w:sz="0" w:space="0" w:color="auto"/>
      </w:divBdr>
    </w:div>
    <w:div w:id="725030592">
      <w:bodyDiv w:val="1"/>
      <w:marLeft w:val="0"/>
      <w:marRight w:val="0"/>
      <w:marTop w:val="0"/>
      <w:marBottom w:val="0"/>
      <w:divBdr>
        <w:top w:val="none" w:sz="0" w:space="0" w:color="auto"/>
        <w:left w:val="none" w:sz="0" w:space="0" w:color="auto"/>
        <w:bottom w:val="none" w:sz="0" w:space="0" w:color="auto"/>
        <w:right w:val="none" w:sz="0" w:space="0" w:color="auto"/>
      </w:divBdr>
    </w:div>
    <w:div w:id="757599133">
      <w:bodyDiv w:val="1"/>
      <w:marLeft w:val="0"/>
      <w:marRight w:val="0"/>
      <w:marTop w:val="0"/>
      <w:marBottom w:val="0"/>
      <w:divBdr>
        <w:top w:val="none" w:sz="0" w:space="0" w:color="auto"/>
        <w:left w:val="none" w:sz="0" w:space="0" w:color="auto"/>
        <w:bottom w:val="none" w:sz="0" w:space="0" w:color="auto"/>
        <w:right w:val="none" w:sz="0" w:space="0" w:color="auto"/>
      </w:divBdr>
    </w:div>
    <w:div w:id="801309072">
      <w:bodyDiv w:val="1"/>
      <w:marLeft w:val="0"/>
      <w:marRight w:val="0"/>
      <w:marTop w:val="0"/>
      <w:marBottom w:val="0"/>
      <w:divBdr>
        <w:top w:val="none" w:sz="0" w:space="0" w:color="auto"/>
        <w:left w:val="none" w:sz="0" w:space="0" w:color="auto"/>
        <w:bottom w:val="none" w:sz="0" w:space="0" w:color="auto"/>
        <w:right w:val="none" w:sz="0" w:space="0" w:color="auto"/>
      </w:divBdr>
    </w:div>
    <w:div w:id="819157559">
      <w:bodyDiv w:val="1"/>
      <w:marLeft w:val="0"/>
      <w:marRight w:val="0"/>
      <w:marTop w:val="0"/>
      <w:marBottom w:val="0"/>
      <w:divBdr>
        <w:top w:val="none" w:sz="0" w:space="0" w:color="auto"/>
        <w:left w:val="none" w:sz="0" w:space="0" w:color="auto"/>
        <w:bottom w:val="none" w:sz="0" w:space="0" w:color="auto"/>
        <w:right w:val="none" w:sz="0" w:space="0" w:color="auto"/>
      </w:divBdr>
    </w:div>
    <w:div w:id="882331959">
      <w:bodyDiv w:val="1"/>
      <w:marLeft w:val="0"/>
      <w:marRight w:val="0"/>
      <w:marTop w:val="0"/>
      <w:marBottom w:val="0"/>
      <w:divBdr>
        <w:top w:val="none" w:sz="0" w:space="0" w:color="auto"/>
        <w:left w:val="none" w:sz="0" w:space="0" w:color="auto"/>
        <w:bottom w:val="none" w:sz="0" w:space="0" w:color="auto"/>
        <w:right w:val="none" w:sz="0" w:space="0" w:color="auto"/>
      </w:divBdr>
    </w:div>
    <w:div w:id="916087369">
      <w:bodyDiv w:val="1"/>
      <w:marLeft w:val="0"/>
      <w:marRight w:val="0"/>
      <w:marTop w:val="0"/>
      <w:marBottom w:val="0"/>
      <w:divBdr>
        <w:top w:val="none" w:sz="0" w:space="0" w:color="auto"/>
        <w:left w:val="none" w:sz="0" w:space="0" w:color="auto"/>
        <w:bottom w:val="none" w:sz="0" w:space="0" w:color="auto"/>
        <w:right w:val="none" w:sz="0" w:space="0" w:color="auto"/>
      </w:divBdr>
    </w:div>
    <w:div w:id="948009768">
      <w:bodyDiv w:val="1"/>
      <w:marLeft w:val="0"/>
      <w:marRight w:val="0"/>
      <w:marTop w:val="0"/>
      <w:marBottom w:val="0"/>
      <w:divBdr>
        <w:top w:val="none" w:sz="0" w:space="0" w:color="auto"/>
        <w:left w:val="none" w:sz="0" w:space="0" w:color="auto"/>
        <w:bottom w:val="none" w:sz="0" w:space="0" w:color="auto"/>
        <w:right w:val="none" w:sz="0" w:space="0" w:color="auto"/>
      </w:divBdr>
    </w:div>
    <w:div w:id="972053480">
      <w:bodyDiv w:val="1"/>
      <w:marLeft w:val="0"/>
      <w:marRight w:val="0"/>
      <w:marTop w:val="0"/>
      <w:marBottom w:val="0"/>
      <w:divBdr>
        <w:top w:val="none" w:sz="0" w:space="0" w:color="auto"/>
        <w:left w:val="none" w:sz="0" w:space="0" w:color="auto"/>
        <w:bottom w:val="none" w:sz="0" w:space="0" w:color="auto"/>
        <w:right w:val="none" w:sz="0" w:space="0" w:color="auto"/>
      </w:divBdr>
    </w:div>
    <w:div w:id="997810290">
      <w:bodyDiv w:val="1"/>
      <w:marLeft w:val="0"/>
      <w:marRight w:val="0"/>
      <w:marTop w:val="0"/>
      <w:marBottom w:val="0"/>
      <w:divBdr>
        <w:top w:val="none" w:sz="0" w:space="0" w:color="auto"/>
        <w:left w:val="none" w:sz="0" w:space="0" w:color="auto"/>
        <w:bottom w:val="none" w:sz="0" w:space="0" w:color="auto"/>
        <w:right w:val="none" w:sz="0" w:space="0" w:color="auto"/>
      </w:divBdr>
      <w:divsChild>
        <w:div w:id="1052116420">
          <w:marLeft w:val="480"/>
          <w:marRight w:val="0"/>
          <w:marTop w:val="0"/>
          <w:marBottom w:val="0"/>
          <w:divBdr>
            <w:top w:val="none" w:sz="0" w:space="0" w:color="auto"/>
            <w:left w:val="none" w:sz="0" w:space="0" w:color="auto"/>
            <w:bottom w:val="none" w:sz="0" w:space="0" w:color="auto"/>
            <w:right w:val="none" w:sz="0" w:space="0" w:color="auto"/>
          </w:divBdr>
          <w:divsChild>
            <w:div w:id="364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01293">
      <w:bodyDiv w:val="1"/>
      <w:marLeft w:val="0"/>
      <w:marRight w:val="0"/>
      <w:marTop w:val="0"/>
      <w:marBottom w:val="0"/>
      <w:divBdr>
        <w:top w:val="none" w:sz="0" w:space="0" w:color="auto"/>
        <w:left w:val="none" w:sz="0" w:space="0" w:color="auto"/>
        <w:bottom w:val="none" w:sz="0" w:space="0" w:color="auto"/>
        <w:right w:val="none" w:sz="0" w:space="0" w:color="auto"/>
      </w:divBdr>
    </w:div>
    <w:div w:id="1007513102">
      <w:bodyDiv w:val="1"/>
      <w:marLeft w:val="0"/>
      <w:marRight w:val="0"/>
      <w:marTop w:val="0"/>
      <w:marBottom w:val="0"/>
      <w:divBdr>
        <w:top w:val="none" w:sz="0" w:space="0" w:color="auto"/>
        <w:left w:val="none" w:sz="0" w:space="0" w:color="auto"/>
        <w:bottom w:val="none" w:sz="0" w:space="0" w:color="auto"/>
        <w:right w:val="none" w:sz="0" w:space="0" w:color="auto"/>
      </w:divBdr>
    </w:div>
    <w:div w:id="1065179567">
      <w:bodyDiv w:val="1"/>
      <w:marLeft w:val="0"/>
      <w:marRight w:val="0"/>
      <w:marTop w:val="0"/>
      <w:marBottom w:val="0"/>
      <w:divBdr>
        <w:top w:val="none" w:sz="0" w:space="0" w:color="auto"/>
        <w:left w:val="none" w:sz="0" w:space="0" w:color="auto"/>
        <w:bottom w:val="none" w:sz="0" w:space="0" w:color="auto"/>
        <w:right w:val="none" w:sz="0" w:space="0" w:color="auto"/>
      </w:divBdr>
    </w:div>
    <w:div w:id="1129861277">
      <w:bodyDiv w:val="1"/>
      <w:marLeft w:val="0"/>
      <w:marRight w:val="0"/>
      <w:marTop w:val="0"/>
      <w:marBottom w:val="0"/>
      <w:divBdr>
        <w:top w:val="none" w:sz="0" w:space="0" w:color="auto"/>
        <w:left w:val="none" w:sz="0" w:space="0" w:color="auto"/>
        <w:bottom w:val="none" w:sz="0" w:space="0" w:color="auto"/>
        <w:right w:val="none" w:sz="0" w:space="0" w:color="auto"/>
      </w:divBdr>
    </w:div>
    <w:div w:id="1132090427">
      <w:bodyDiv w:val="1"/>
      <w:marLeft w:val="0"/>
      <w:marRight w:val="0"/>
      <w:marTop w:val="0"/>
      <w:marBottom w:val="0"/>
      <w:divBdr>
        <w:top w:val="none" w:sz="0" w:space="0" w:color="auto"/>
        <w:left w:val="none" w:sz="0" w:space="0" w:color="auto"/>
        <w:bottom w:val="none" w:sz="0" w:space="0" w:color="auto"/>
        <w:right w:val="none" w:sz="0" w:space="0" w:color="auto"/>
      </w:divBdr>
    </w:div>
    <w:div w:id="1142430154">
      <w:bodyDiv w:val="1"/>
      <w:marLeft w:val="0"/>
      <w:marRight w:val="0"/>
      <w:marTop w:val="0"/>
      <w:marBottom w:val="0"/>
      <w:divBdr>
        <w:top w:val="none" w:sz="0" w:space="0" w:color="auto"/>
        <w:left w:val="none" w:sz="0" w:space="0" w:color="auto"/>
        <w:bottom w:val="none" w:sz="0" w:space="0" w:color="auto"/>
        <w:right w:val="none" w:sz="0" w:space="0" w:color="auto"/>
      </w:divBdr>
    </w:div>
    <w:div w:id="1166827826">
      <w:bodyDiv w:val="1"/>
      <w:marLeft w:val="0"/>
      <w:marRight w:val="0"/>
      <w:marTop w:val="0"/>
      <w:marBottom w:val="0"/>
      <w:divBdr>
        <w:top w:val="none" w:sz="0" w:space="0" w:color="auto"/>
        <w:left w:val="none" w:sz="0" w:space="0" w:color="auto"/>
        <w:bottom w:val="none" w:sz="0" w:space="0" w:color="auto"/>
        <w:right w:val="none" w:sz="0" w:space="0" w:color="auto"/>
      </w:divBdr>
    </w:div>
    <w:div w:id="1181776373">
      <w:bodyDiv w:val="1"/>
      <w:marLeft w:val="0"/>
      <w:marRight w:val="0"/>
      <w:marTop w:val="0"/>
      <w:marBottom w:val="0"/>
      <w:divBdr>
        <w:top w:val="none" w:sz="0" w:space="0" w:color="auto"/>
        <w:left w:val="none" w:sz="0" w:space="0" w:color="auto"/>
        <w:bottom w:val="none" w:sz="0" w:space="0" w:color="auto"/>
        <w:right w:val="none" w:sz="0" w:space="0" w:color="auto"/>
      </w:divBdr>
    </w:div>
    <w:div w:id="1186793211">
      <w:bodyDiv w:val="1"/>
      <w:marLeft w:val="0"/>
      <w:marRight w:val="0"/>
      <w:marTop w:val="0"/>
      <w:marBottom w:val="0"/>
      <w:divBdr>
        <w:top w:val="none" w:sz="0" w:space="0" w:color="auto"/>
        <w:left w:val="none" w:sz="0" w:space="0" w:color="auto"/>
        <w:bottom w:val="none" w:sz="0" w:space="0" w:color="auto"/>
        <w:right w:val="none" w:sz="0" w:space="0" w:color="auto"/>
      </w:divBdr>
      <w:divsChild>
        <w:div w:id="1690522852">
          <w:marLeft w:val="-20"/>
          <w:marRight w:val="0"/>
          <w:marTop w:val="0"/>
          <w:marBottom w:val="0"/>
          <w:divBdr>
            <w:top w:val="none" w:sz="0" w:space="0" w:color="auto"/>
            <w:left w:val="none" w:sz="0" w:space="0" w:color="auto"/>
            <w:bottom w:val="none" w:sz="0" w:space="0" w:color="auto"/>
            <w:right w:val="none" w:sz="0" w:space="0" w:color="auto"/>
          </w:divBdr>
        </w:div>
      </w:divsChild>
    </w:div>
    <w:div w:id="1200823290">
      <w:bodyDiv w:val="1"/>
      <w:marLeft w:val="0"/>
      <w:marRight w:val="0"/>
      <w:marTop w:val="0"/>
      <w:marBottom w:val="0"/>
      <w:divBdr>
        <w:top w:val="none" w:sz="0" w:space="0" w:color="auto"/>
        <w:left w:val="none" w:sz="0" w:space="0" w:color="auto"/>
        <w:bottom w:val="none" w:sz="0" w:space="0" w:color="auto"/>
        <w:right w:val="none" w:sz="0" w:space="0" w:color="auto"/>
      </w:divBdr>
    </w:div>
    <w:div w:id="1204363142">
      <w:bodyDiv w:val="1"/>
      <w:marLeft w:val="0"/>
      <w:marRight w:val="0"/>
      <w:marTop w:val="0"/>
      <w:marBottom w:val="0"/>
      <w:divBdr>
        <w:top w:val="none" w:sz="0" w:space="0" w:color="auto"/>
        <w:left w:val="none" w:sz="0" w:space="0" w:color="auto"/>
        <w:bottom w:val="none" w:sz="0" w:space="0" w:color="auto"/>
        <w:right w:val="none" w:sz="0" w:space="0" w:color="auto"/>
      </w:divBdr>
    </w:div>
    <w:div w:id="1224608296">
      <w:bodyDiv w:val="1"/>
      <w:marLeft w:val="0"/>
      <w:marRight w:val="0"/>
      <w:marTop w:val="0"/>
      <w:marBottom w:val="0"/>
      <w:divBdr>
        <w:top w:val="none" w:sz="0" w:space="0" w:color="auto"/>
        <w:left w:val="none" w:sz="0" w:space="0" w:color="auto"/>
        <w:bottom w:val="none" w:sz="0" w:space="0" w:color="auto"/>
        <w:right w:val="none" w:sz="0" w:space="0" w:color="auto"/>
      </w:divBdr>
    </w:div>
    <w:div w:id="1247305847">
      <w:bodyDiv w:val="1"/>
      <w:marLeft w:val="0"/>
      <w:marRight w:val="0"/>
      <w:marTop w:val="0"/>
      <w:marBottom w:val="0"/>
      <w:divBdr>
        <w:top w:val="none" w:sz="0" w:space="0" w:color="auto"/>
        <w:left w:val="none" w:sz="0" w:space="0" w:color="auto"/>
        <w:bottom w:val="none" w:sz="0" w:space="0" w:color="auto"/>
        <w:right w:val="none" w:sz="0" w:space="0" w:color="auto"/>
      </w:divBdr>
    </w:div>
    <w:div w:id="1250115219">
      <w:bodyDiv w:val="1"/>
      <w:marLeft w:val="0"/>
      <w:marRight w:val="0"/>
      <w:marTop w:val="0"/>
      <w:marBottom w:val="0"/>
      <w:divBdr>
        <w:top w:val="none" w:sz="0" w:space="0" w:color="auto"/>
        <w:left w:val="none" w:sz="0" w:space="0" w:color="auto"/>
        <w:bottom w:val="none" w:sz="0" w:space="0" w:color="auto"/>
        <w:right w:val="none" w:sz="0" w:space="0" w:color="auto"/>
      </w:divBdr>
    </w:div>
    <w:div w:id="1279488718">
      <w:bodyDiv w:val="1"/>
      <w:marLeft w:val="0"/>
      <w:marRight w:val="0"/>
      <w:marTop w:val="0"/>
      <w:marBottom w:val="0"/>
      <w:divBdr>
        <w:top w:val="none" w:sz="0" w:space="0" w:color="auto"/>
        <w:left w:val="none" w:sz="0" w:space="0" w:color="auto"/>
        <w:bottom w:val="none" w:sz="0" w:space="0" w:color="auto"/>
        <w:right w:val="none" w:sz="0" w:space="0" w:color="auto"/>
      </w:divBdr>
    </w:div>
    <w:div w:id="1291745147">
      <w:bodyDiv w:val="1"/>
      <w:marLeft w:val="0"/>
      <w:marRight w:val="0"/>
      <w:marTop w:val="0"/>
      <w:marBottom w:val="0"/>
      <w:divBdr>
        <w:top w:val="none" w:sz="0" w:space="0" w:color="auto"/>
        <w:left w:val="none" w:sz="0" w:space="0" w:color="auto"/>
        <w:bottom w:val="none" w:sz="0" w:space="0" w:color="auto"/>
        <w:right w:val="none" w:sz="0" w:space="0" w:color="auto"/>
      </w:divBdr>
    </w:div>
    <w:div w:id="1315719046">
      <w:bodyDiv w:val="1"/>
      <w:marLeft w:val="0"/>
      <w:marRight w:val="0"/>
      <w:marTop w:val="0"/>
      <w:marBottom w:val="0"/>
      <w:divBdr>
        <w:top w:val="none" w:sz="0" w:space="0" w:color="auto"/>
        <w:left w:val="none" w:sz="0" w:space="0" w:color="auto"/>
        <w:bottom w:val="none" w:sz="0" w:space="0" w:color="auto"/>
        <w:right w:val="none" w:sz="0" w:space="0" w:color="auto"/>
      </w:divBdr>
    </w:div>
    <w:div w:id="1327708922">
      <w:bodyDiv w:val="1"/>
      <w:marLeft w:val="0"/>
      <w:marRight w:val="0"/>
      <w:marTop w:val="0"/>
      <w:marBottom w:val="0"/>
      <w:divBdr>
        <w:top w:val="none" w:sz="0" w:space="0" w:color="auto"/>
        <w:left w:val="none" w:sz="0" w:space="0" w:color="auto"/>
        <w:bottom w:val="none" w:sz="0" w:space="0" w:color="auto"/>
        <w:right w:val="none" w:sz="0" w:space="0" w:color="auto"/>
      </w:divBdr>
    </w:div>
    <w:div w:id="1329554844">
      <w:bodyDiv w:val="1"/>
      <w:marLeft w:val="0"/>
      <w:marRight w:val="0"/>
      <w:marTop w:val="0"/>
      <w:marBottom w:val="0"/>
      <w:divBdr>
        <w:top w:val="none" w:sz="0" w:space="0" w:color="auto"/>
        <w:left w:val="none" w:sz="0" w:space="0" w:color="auto"/>
        <w:bottom w:val="none" w:sz="0" w:space="0" w:color="auto"/>
        <w:right w:val="none" w:sz="0" w:space="0" w:color="auto"/>
      </w:divBdr>
    </w:div>
    <w:div w:id="1352874006">
      <w:bodyDiv w:val="1"/>
      <w:marLeft w:val="0"/>
      <w:marRight w:val="0"/>
      <w:marTop w:val="0"/>
      <w:marBottom w:val="0"/>
      <w:divBdr>
        <w:top w:val="none" w:sz="0" w:space="0" w:color="auto"/>
        <w:left w:val="none" w:sz="0" w:space="0" w:color="auto"/>
        <w:bottom w:val="none" w:sz="0" w:space="0" w:color="auto"/>
        <w:right w:val="none" w:sz="0" w:space="0" w:color="auto"/>
      </w:divBdr>
    </w:div>
    <w:div w:id="1368872382">
      <w:bodyDiv w:val="1"/>
      <w:marLeft w:val="0"/>
      <w:marRight w:val="0"/>
      <w:marTop w:val="0"/>
      <w:marBottom w:val="0"/>
      <w:divBdr>
        <w:top w:val="none" w:sz="0" w:space="0" w:color="auto"/>
        <w:left w:val="none" w:sz="0" w:space="0" w:color="auto"/>
        <w:bottom w:val="none" w:sz="0" w:space="0" w:color="auto"/>
        <w:right w:val="none" w:sz="0" w:space="0" w:color="auto"/>
      </w:divBdr>
    </w:div>
    <w:div w:id="1402944226">
      <w:bodyDiv w:val="1"/>
      <w:marLeft w:val="0"/>
      <w:marRight w:val="0"/>
      <w:marTop w:val="0"/>
      <w:marBottom w:val="0"/>
      <w:divBdr>
        <w:top w:val="none" w:sz="0" w:space="0" w:color="auto"/>
        <w:left w:val="none" w:sz="0" w:space="0" w:color="auto"/>
        <w:bottom w:val="none" w:sz="0" w:space="0" w:color="auto"/>
        <w:right w:val="none" w:sz="0" w:space="0" w:color="auto"/>
      </w:divBdr>
    </w:div>
    <w:div w:id="1414426317">
      <w:bodyDiv w:val="1"/>
      <w:marLeft w:val="0"/>
      <w:marRight w:val="0"/>
      <w:marTop w:val="0"/>
      <w:marBottom w:val="0"/>
      <w:divBdr>
        <w:top w:val="none" w:sz="0" w:space="0" w:color="auto"/>
        <w:left w:val="none" w:sz="0" w:space="0" w:color="auto"/>
        <w:bottom w:val="none" w:sz="0" w:space="0" w:color="auto"/>
        <w:right w:val="none" w:sz="0" w:space="0" w:color="auto"/>
      </w:divBdr>
    </w:div>
    <w:div w:id="1423448894">
      <w:bodyDiv w:val="1"/>
      <w:marLeft w:val="0"/>
      <w:marRight w:val="0"/>
      <w:marTop w:val="0"/>
      <w:marBottom w:val="0"/>
      <w:divBdr>
        <w:top w:val="none" w:sz="0" w:space="0" w:color="auto"/>
        <w:left w:val="none" w:sz="0" w:space="0" w:color="auto"/>
        <w:bottom w:val="none" w:sz="0" w:space="0" w:color="auto"/>
        <w:right w:val="none" w:sz="0" w:space="0" w:color="auto"/>
      </w:divBdr>
    </w:div>
    <w:div w:id="1449007817">
      <w:bodyDiv w:val="1"/>
      <w:marLeft w:val="0"/>
      <w:marRight w:val="0"/>
      <w:marTop w:val="0"/>
      <w:marBottom w:val="0"/>
      <w:divBdr>
        <w:top w:val="none" w:sz="0" w:space="0" w:color="auto"/>
        <w:left w:val="none" w:sz="0" w:space="0" w:color="auto"/>
        <w:bottom w:val="none" w:sz="0" w:space="0" w:color="auto"/>
        <w:right w:val="none" w:sz="0" w:space="0" w:color="auto"/>
      </w:divBdr>
    </w:div>
    <w:div w:id="1467510145">
      <w:bodyDiv w:val="1"/>
      <w:marLeft w:val="0"/>
      <w:marRight w:val="0"/>
      <w:marTop w:val="0"/>
      <w:marBottom w:val="0"/>
      <w:divBdr>
        <w:top w:val="none" w:sz="0" w:space="0" w:color="auto"/>
        <w:left w:val="none" w:sz="0" w:space="0" w:color="auto"/>
        <w:bottom w:val="none" w:sz="0" w:space="0" w:color="auto"/>
        <w:right w:val="none" w:sz="0" w:space="0" w:color="auto"/>
      </w:divBdr>
    </w:div>
    <w:div w:id="1491628735">
      <w:bodyDiv w:val="1"/>
      <w:marLeft w:val="0"/>
      <w:marRight w:val="0"/>
      <w:marTop w:val="0"/>
      <w:marBottom w:val="0"/>
      <w:divBdr>
        <w:top w:val="none" w:sz="0" w:space="0" w:color="auto"/>
        <w:left w:val="none" w:sz="0" w:space="0" w:color="auto"/>
        <w:bottom w:val="none" w:sz="0" w:space="0" w:color="auto"/>
        <w:right w:val="none" w:sz="0" w:space="0" w:color="auto"/>
      </w:divBdr>
    </w:div>
    <w:div w:id="1554464516">
      <w:bodyDiv w:val="1"/>
      <w:marLeft w:val="0"/>
      <w:marRight w:val="0"/>
      <w:marTop w:val="0"/>
      <w:marBottom w:val="0"/>
      <w:divBdr>
        <w:top w:val="none" w:sz="0" w:space="0" w:color="auto"/>
        <w:left w:val="none" w:sz="0" w:space="0" w:color="auto"/>
        <w:bottom w:val="none" w:sz="0" w:space="0" w:color="auto"/>
        <w:right w:val="none" w:sz="0" w:space="0" w:color="auto"/>
      </w:divBdr>
      <w:divsChild>
        <w:div w:id="128253981">
          <w:marLeft w:val="480"/>
          <w:marRight w:val="0"/>
          <w:marTop w:val="0"/>
          <w:marBottom w:val="0"/>
          <w:divBdr>
            <w:top w:val="none" w:sz="0" w:space="0" w:color="auto"/>
            <w:left w:val="none" w:sz="0" w:space="0" w:color="auto"/>
            <w:bottom w:val="none" w:sz="0" w:space="0" w:color="auto"/>
            <w:right w:val="none" w:sz="0" w:space="0" w:color="auto"/>
          </w:divBdr>
          <w:divsChild>
            <w:div w:id="92114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96009">
      <w:bodyDiv w:val="1"/>
      <w:marLeft w:val="0"/>
      <w:marRight w:val="0"/>
      <w:marTop w:val="0"/>
      <w:marBottom w:val="0"/>
      <w:divBdr>
        <w:top w:val="none" w:sz="0" w:space="0" w:color="auto"/>
        <w:left w:val="none" w:sz="0" w:space="0" w:color="auto"/>
        <w:bottom w:val="none" w:sz="0" w:space="0" w:color="auto"/>
        <w:right w:val="none" w:sz="0" w:space="0" w:color="auto"/>
      </w:divBdr>
      <w:divsChild>
        <w:div w:id="603348450">
          <w:marLeft w:val="480"/>
          <w:marRight w:val="0"/>
          <w:marTop w:val="0"/>
          <w:marBottom w:val="0"/>
          <w:divBdr>
            <w:top w:val="none" w:sz="0" w:space="0" w:color="auto"/>
            <w:left w:val="none" w:sz="0" w:space="0" w:color="auto"/>
            <w:bottom w:val="none" w:sz="0" w:space="0" w:color="auto"/>
            <w:right w:val="none" w:sz="0" w:space="0" w:color="auto"/>
          </w:divBdr>
          <w:divsChild>
            <w:div w:id="2921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72174">
      <w:bodyDiv w:val="1"/>
      <w:marLeft w:val="0"/>
      <w:marRight w:val="0"/>
      <w:marTop w:val="0"/>
      <w:marBottom w:val="0"/>
      <w:divBdr>
        <w:top w:val="none" w:sz="0" w:space="0" w:color="auto"/>
        <w:left w:val="none" w:sz="0" w:space="0" w:color="auto"/>
        <w:bottom w:val="none" w:sz="0" w:space="0" w:color="auto"/>
        <w:right w:val="none" w:sz="0" w:space="0" w:color="auto"/>
      </w:divBdr>
    </w:div>
    <w:div w:id="1606696698">
      <w:bodyDiv w:val="1"/>
      <w:marLeft w:val="0"/>
      <w:marRight w:val="0"/>
      <w:marTop w:val="0"/>
      <w:marBottom w:val="0"/>
      <w:divBdr>
        <w:top w:val="none" w:sz="0" w:space="0" w:color="auto"/>
        <w:left w:val="none" w:sz="0" w:space="0" w:color="auto"/>
        <w:bottom w:val="none" w:sz="0" w:space="0" w:color="auto"/>
        <w:right w:val="none" w:sz="0" w:space="0" w:color="auto"/>
      </w:divBdr>
    </w:div>
    <w:div w:id="1621692634">
      <w:bodyDiv w:val="1"/>
      <w:marLeft w:val="0"/>
      <w:marRight w:val="0"/>
      <w:marTop w:val="0"/>
      <w:marBottom w:val="0"/>
      <w:divBdr>
        <w:top w:val="none" w:sz="0" w:space="0" w:color="auto"/>
        <w:left w:val="none" w:sz="0" w:space="0" w:color="auto"/>
        <w:bottom w:val="none" w:sz="0" w:space="0" w:color="auto"/>
        <w:right w:val="none" w:sz="0" w:space="0" w:color="auto"/>
      </w:divBdr>
    </w:div>
    <w:div w:id="1634603264">
      <w:bodyDiv w:val="1"/>
      <w:marLeft w:val="0"/>
      <w:marRight w:val="0"/>
      <w:marTop w:val="0"/>
      <w:marBottom w:val="0"/>
      <w:divBdr>
        <w:top w:val="none" w:sz="0" w:space="0" w:color="auto"/>
        <w:left w:val="none" w:sz="0" w:space="0" w:color="auto"/>
        <w:bottom w:val="none" w:sz="0" w:space="0" w:color="auto"/>
        <w:right w:val="none" w:sz="0" w:space="0" w:color="auto"/>
      </w:divBdr>
    </w:div>
    <w:div w:id="1655404465">
      <w:bodyDiv w:val="1"/>
      <w:marLeft w:val="0"/>
      <w:marRight w:val="0"/>
      <w:marTop w:val="0"/>
      <w:marBottom w:val="0"/>
      <w:divBdr>
        <w:top w:val="none" w:sz="0" w:space="0" w:color="auto"/>
        <w:left w:val="none" w:sz="0" w:space="0" w:color="auto"/>
        <w:bottom w:val="none" w:sz="0" w:space="0" w:color="auto"/>
        <w:right w:val="none" w:sz="0" w:space="0" w:color="auto"/>
      </w:divBdr>
    </w:div>
    <w:div w:id="1656567996">
      <w:bodyDiv w:val="1"/>
      <w:marLeft w:val="0"/>
      <w:marRight w:val="0"/>
      <w:marTop w:val="0"/>
      <w:marBottom w:val="0"/>
      <w:divBdr>
        <w:top w:val="none" w:sz="0" w:space="0" w:color="auto"/>
        <w:left w:val="none" w:sz="0" w:space="0" w:color="auto"/>
        <w:bottom w:val="none" w:sz="0" w:space="0" w:color="auto"/>
        <w:right w:val="none" w:sz="0" w:space="0" w:color="auto"/>
      </w:divBdr>
    </w:div>
    <w:div w:id="1693602554">
      <w:bodyDiv w:val="1"/>
      <w:marLeft w:val="0"/>
      <w:marRight w:val="0"/>
      <w:marTop w:val="0"/>
      <w:marBottom w:val="0"/>
      <w:divBdr>
        <w:top w:val="none" w:sz="0" w:space="0" w:color="auto"/>
        <w:left w:val="none" w:sz="0" w:space="0" w:color="auto"/>
        <w:bottom w:val="none" w:sz="0" w:space="0" w:color="auto"/>
        <w:right w:val="none" w:sz="0" w:space="0" w:color="auto"/>
      </w:divBdr>
      <w:divsChild>
        <w:div w:id="1184594118">
          <w:marLeft w:val="-20"/>
          <w:marRight w:val="0"/>
          <w:marTop w:val="0"/>
          <w:marBottom w:val="0"/>
          <w:divBdr>
            <w:top w:val="none" w:sz="0" w:space="0" w:color="auto"/>
            <w:left w:val="none" w:sz="0" w:space="0" w:color="auto"/>
            <w:bottom w:val="none" w:sz="0" w:space="0" w:color="auto"/>
            <w:right w:val="none" w:sz="0" w:space="0" w:color="auto"/>
          </w:divBdr>
        </w:div>
      </w:divsChild>
    </w:div>
    <w:div w:id="1706369682">
      <w:bodyDiv w:val="1"/>
      <w:marLeft w:val="0"/>
      <w:marRight w:val="0"/>
      <w:marTop w:val="0"/>
      <w:marBottom w:val="0"/>
      <w:divBdr>
        <w:top w:val="none" w:sz="0" w:space="0" w:color="auto"/>
        <w:left w:val="none" w:sz="0" w:space="0" w:color="auto"/>
        <w:bottom w:val="none" w:sz="0" w:space="0" w:color="auto"/>
        <w:right w:val="none" w:sz="0" w:space="0" w:color="auto"/>
      </w:divBdr>
    </w:div>
    <w:div w:id="1712076084">
      <w:bodyDiv w:val="1"/>
      <w:marLeft w:val="0"/>
      <w:marRight w:val="0"/>
      <w:marTop w:val="0"/>
      <w:marBottom w:val="0"/>
      <w:divBdr>
        <w:top w:val="none" w:sz="0" w:space="0" w:color="auto"/>
        <w:left w:val="none" w:sz="0" w:space="0" w:color="auto"/>
        <w:bottom w:val="none" w:sz="0" w:space="0" w:color="auto"/>
        <w:right w:val="none" w:sz="0" w:space="0" w:color="auto"/>
      </w:divBdr>
    </w:div>
    <w:div w:id="1714883744">
      <w:bodyDiv w:val="1"/>
      <w:marLeft w:val="0"/>
      <w:marRight w:val="0"/>
      <w:marTop w:val="0"/>
      <w:marBottom w:val="0"/>
      <w:divBdr>
        <w:top w:val="none" w:sz="0" w:space="0" w:color="auto"/>
        <w:left w:val="none" w:sz="0" w:space="0" w:color="auto"/>
        <w:bottom w:val="none" w:sz="0" w:space="0" w:color="auto"/>
        <w:right w:val="none" w:sz="0" w:space="0" w:color="auto"/>
      </w:divBdr>
    </w:div>
    <w:div w:id="1721052387">
      <w:bodyDiv w:val="1"/>
      <w:marLeft w:val="0"/>
      <w:marRight w:val="0"/>
      <w:marTop w:val="0"/>
      <w:marBottom w:val="0"/>
      <w:divBdr>
        <w:top w:val="none" w:sz="0" w:space="0" w:color="auto"/>
        <w:left w:val="none" w:sz="0" w:space="0" w:color="auto"/>
        <w:bottom w:val="none" w:sz="0" w:space="0" w:color="auto"/>
        <w:right w:val="none" w:sz="0" w:space="0" w:color="auto"/>
      </w:divBdr>
    </w:div>
    <w:div w:id="1740402044">
      <w:bodyDiv w:val="1"/>
      <w:marLeft w:val="0"/>
      <w:marRight w:val="0"/>
      <w:marTop w:val="0"/>
      <w:marBottom w:val="0"/>
      <w:divBdr>
        <w:top w:val="none" w:sz="0" w:space="0" w:color="auto"/>
        <w:left w:val="none" w:sz="0" w:space="0" w:color="auto"/>
        <w:bottom w:val="none" w:sz="0" w:space="0" w:color="auto"/>
        <w:right w:val="none" w:sz="0" w:space="0" w:color="auto"/>
      </w:divBdr>
    </w:div>
    <w:div w:id="1760788204">
      <w:bodyDiv w:val="1"/>
      <w:marLeft w:val="0"/>
      <w:marRight w:val="0"/>
      <w:marTop w:val="0"/>
      <w:marBottom w:val="0"/>
      <w:divBdr>
        <w:top w:val="none" w:sz="0" w:space="0" w:color="auto"/>
        <w:left w:val="none" w:sz="0" w:space="0" w:color="auto"/>
        <w:bottom w:val="none" w:sz="0" w:space="0" w:color="auto"/>
        <w:right w:val="none" w:sz="0" w:space="0" w:color="auto"/>
      </w:divBdr>
    </w:div>
    <w:div w:id="1784615747">
      <w:bodyDiv w:val="1"/>
      <w:marLeft w:val="0"/>
      <w:marRight w:val="0"/>
      <w:marTop w:val="0"/>
      <w:marBottom w:val="0"/>
      <w:divBdr>
        <w:top w:val="none" w:sz="0" w:space="0" w:color="auto"/>
        <w:left w:val="none" w:sz="0" w:space="0" w:color="auto"/>
        <w:bottom w:val="none" w:sz="0" w:space="0" w:color="auto"/>
        <w:right w:val="none" w:sz="0" w:space="0" w:color="auto"/>
      </w:divBdr>
    </w:div>
    <w:div w:id="1794323378">
      <w:bodyDiv w:val="1"/>
      <w:marLeft w:val="0"/>
      <w:marRight w:val="0"/>
      <w:marTop w:val="0"/>
      <w:marBottom w:val="0"/>
      <w:divBdr>
        <w:top w:val="none" w:sz="0" w:space="0" w:color="auto"/>
        <w:left w:val="none" w:sz="0" w:space="0" w:color="auto"/>
        <w:bottom w:val="none" w:sz="0" w:space="0" w:color="auto"/>
        <w:right w:val="none" w:sz="0" w:space="0" w:color="auto"/>
      </w:divBdr>
    </w:div>
    <w:div w:id="1796369480">
      <w:bodyDiv w:val="1"/>
      <w:marLeft w:val="0"/>
      <w:marRight w:val="0"/>
      <w:marTop w:val="0"/>
      <w:marBottom w:val="0"/>
      <w:divBdr>
        <w:top w:val="none" w:sz="0" w:space="0" w:color="auto"/>
        <w:left w:val="none" w:sz="0" w:space="0" w:color="auto"/>
        <w:bottom w:val="none" w:sz="0" w:space="0" w:color="auto"/>
        <w:right w:val="none" w:sz="0" w:space="0" w:color="auto"/>
      </w:divBdr>
      <w:divsChild>
        <w:div w:id="727264499">
          <w:marLeft w:val="480"/>
          <w:marRight w:val="0"/>
          <w:marTop w:val="0"/>
          <w:marBottom w:val="0"/>
          <w:divBdr>
            <w:top w:val="none" w:sz="0" w:space="0" w:color="auto"/>
            <w:left w:val="none" w:sz="0" w:space="0" w:color="auto"/>
            <w:bottom w:val="none" w:sz="0" w:space="0" w:color="auto"/>
            <w:right w:val="none" w:sz="0" w:space="0" w:color="auto"/>
          </w:divBdr>
          <w:divsChild>
            <w:div w:id="4387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01580">
      <w:bodyDiv w:val="1"/>
      <w:marLeft w:val="0"/>
      <w:marRight w:val="0"/>
      <w:marTop w:val="0"/>
      <w:marBottom w:val="0"/>
      <w:divBdr>
        <w:top w:val="none" w:sz="0" w:space="0" w:color="auto"/>
        <w:left w:val="none" w:sz="0" w:space="0" w:color="auto"/>
        <w:bottom w:val="none" w:sz="0" w:space="0" w:color="auto"/>
        <w:right w:val="none" w:sz="0" w:space="0" w:color="auto"/>
      </w:divBdr>
    </w:div>
    <w:div w:id="1820341092">
      <w:bodyDiv w:val="1"/>
      <w:marLeft w:val="0"/>
      <w:marRight w:val="0"/>
      <w:marTop w:val="0"/>
      <w:marBottom w:val="0"/>
      <w:divBdr>
        <w:top w:val="none" w:sz="0" w:space="0" w:color="auto"/>
        <w:left w:val="none" w:sz="0" w:space="0" w:color="auto"/>
        <w:bottom w:val="none" w:sz="0" w:space="0" w:color="auto"/>
        <w:right w:val="none" w:sz="0" w:space="0" w:color="auto"/>
      </w:divBdr>
    </w:div>
    <w:div w:id="1820657246">
      <w:bodyDiv w:val="1"/>
      <w:marLeft w:val="0"/>
      <w:marRight w:val="0"/>
      <w:marTop w:val="0"/>
      <w:marBottom w:val="0"/>
      <w:divBdr>
        <w:top w:val="none" w:sz="0" w:space="0" w:color="auto"/>
        <w:left w:val="none" w:sz="0" w:space="0" w:color="auto"/>
        <w:bottom w:val="none" w:sz="0" w:space="0" w:color="auto"/>
        <w:right w:val="none" w:sz="0" w:space="0" w:color="auto"/>
      </w:divBdr>
    </w:div>
    <w:div w:id="1836450937">
      <w:bodyDiv w:val="1"/>
      <w:marLeft w:val="0"/>
      <w:marRight w:val="0"/>
      <w:marTop w:val="0"/>
      <w:marBottom w:val="0"/>
      <w:divBdr>
        <w:top w:val="none" w:sz="0" w:space="0" w:color="auto"/>
        <w:left w:val="none" w:sz="0" w:space="0" w:color="auto"/>
        <w:bottom w:val="none" w:sz="0" w:space="0" w:color="auto"/>
        <w:right w:val="none" w:sz="0" w:space="0" w:color="auto"/>
      </w:divBdr>
    </w:div>
    <w:div w:id="1841893421">
      <w:bodyDiv w:val="1"/>
      <w:marLeft w:val="0"/>
      <w:marRight w:val="0"/>
      <w:marTop w:val="0"/>
      <w:marBottom w:val="0"/>
      <w:divBdr>
        <w:top w:val="none" w:sz="0" w:space="0" w:color="auto"/>
        <w:left w:val="none" w:sz="0" w:space="0" w:color="auto"/>
        <w:bottom w:val="none" w:sz="0" w:space="0" w:color="auto"/>
        <w:right w:val="none" w:sz="0" w:space="0" w:color="auto"/>
      </w:divBdr>
    </w:div>
    <w:div w:id="1912227252">
      <w:bodyDiv w:val="1"/>
      <w:marLeft w:val="0"/>
      <w:marRight w:val="0"/>
      <w:marTop w:val="0"/>
      <w:marBottom w:val="0"/>
      <w:divBdr>
        <w:top w:val="none" w:sz="0" w:space="0" w:color="auto"/>
        <w:left w:val="none" w:sz="0" w:space="0" w:color="auto"/>
        <w:bottom w:val="none" w:sz="0" w:space="0" w:color="auto"/>
        <w:right w:val="none" w:sz="0" w:space="0" w:color="auto"/>
      </w:divBdr>
    </w:div>
    <w:div w:id="1914268656">
      <w:bodyDiv w:val="1"/>
      <w:marLeft w:val="0"/>
      <w:marRight w:val="0"/>
      <w:marTop w:val="0"/>
      <w:marBottom w:val="0"/>
      <w:divBdr>
        <w:top w:val="none" w:sz="0" w:space="0" w:color="auto"/>
        <w:left w:val="none" w:sz="0" w:space="0" w:color="auto"/>
        <w:bottom w:val="none" w:sz="0" w:space="0" w:color="auto"/>
        <w:right w:val="none" w:sz="0" w:space="0" w:color="auto"/>
      </w:divBdr>
      <w:divsChild>
        <w:div w:id="1476070971">
          <w:marLeft w:val="480"/>
          <w:marRight w:val="0"/>
          <w:marTop w:val="0"/>
          <w:marBottom w:val="0"/>
          <w:divBdr>
            <w:top w:val="none" w:sz="0" w:space="0" w:color="auto"/>
            <w:left w:val="none" w:sz="0" w:space="0" w:color="auto"/>
            <w:bottom w:val="none" w:sz="0" w:space="0" w:color="auto"/>
            <w:right w:val="none" w:sz="0" w:space="0" w:color="auto"/>
          </w:divBdr>
          <w:divsChild>
            <w:div w:id="71388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07623">
      <w:bodyDiv w:val="1"/>
      <w:marLeft w:val="0"/>
      <w:marRight w:val="0"/>
      <w:marTop w:val="0"/>
      <w:marBottom w:val="0"/>
      <w:divBdr>
        <w:top w:val="none" w:sz="0" w:space="0" w:color="auto"/>
        <w:left w:val="none" w:sz="0" w:space="0" w:color="auto"/>
        <w:bottom w:val="none" w:sz="0" w:space="0" w:color="auto"/>
        <w:right w:val="none" w:sz="0" w:space="0" w:color="auto"/>
      </w:divBdr>
    </w:div>
    <w:div w:id="1957102964">
      <w:bodyDiv w:val="1"/>
      <w:marLeft w:val="0"/>
      <w:marRight w:val="0"/>
      <w:marTop w:val="0"/>
      <w:marBottom w:val="0"/>
      <w:divBdr>
        <w:top w:val="none" w:sz="0" w:space="0" w:color="auto"/>
        <w:left w:val="none" w:sz="0" w:space="0" w:color="auto"/>
        <w:bottom w:val="none" w:sz="0" w:space="0" w:color="auto"/>
        <w:right w:val="none" w:sz="0" w:space="0" w:color="auto"/>
      </w:divBdr>
    </w:div>
    <w:div w:id="1963343730">
      <w:bodyDiv w:val="1"/>
      <w:marLeft w:val="0"/>
      <w:marRight w:val="0"/>
      <w:marTop w:val="0"/>
      <w:marBottom w:val="0"/>
      <w:divBdr>
        <w:top w:val="none" w:sz="0" w:space="0" w:color="auto"/>
        <w:left w:val="none" w:sz="0" w:space="0" w:color="auto"/>
        <w:bottom w:val="none" w:sz="0" w:space="0" w:color="auto"/>
        <w:right w:val="none" w:sz="0" w:space="0" w:color="auto"/>
      </w:divBdr>
    </w:div>
    <w:div w:id="1968389594">
      <w:bodyDiv w:val="1"/>
      <w:marLeft w:val="0"/>
      <w:marRight w:val="0"/>
      <w:marTop w:val="0"/>
      <w:marBottom w:val="0"/>
      <w:divBdr>
        <w:top w:val="none" w:sz="0" w:space="0" w:color="auto"/>
        <w:left w:val="none" w:sz="0" w:space="0" w:color="auto"/>
        <w:bottom w:val="none" w:sz="0" w:space="0" w:color="auto"/>
        <w:right w:val="none" w:sz="0" w:space="0" w:color="auto"/>
      </w:divBdr>
    </w:div>
    <w:div w:id="2036802956">
      <w:bodyDiv w:val="1"/>
      <w:marLeft w:val="0"/>
      <w:marRight w:val="0"/>
      <w:marTop w:val="0"/>
      <w:marBottom w:val="0"/>
      <w:divBdr>
        <w:top w:val="none" w:sz="0" w:space="0" w:color="auto"/>
        <w:left w:val="none" w:sz="0" w:space="0" w:color="auto"/>
        <w:bottom w:val="none" w:sz="0" w:space="0" w:color="auto"/>
        <w:right w:val="none" w:sz="0" w:space="0" w:color="auto"/>
      </w:divBdr>
    </w:div>
    <w:div w:id="2041934335">
      <w:bodyDiv w:val="1"/>
      <w:marLeft w:val="0"/>
      <w:marRight w:val="0"/>
      <w:marTop w:val="0"/>
      <w:marBottom w:val="0"/>
      <w:divBdr>
        <w:top w:val="none" w:sz="0" w:space="0" w:color="auto"/>
        <w:left w:val="none" w:sz="0" w:space="0" w:color="auto"/>
        <w:bottom w:val="none" w:sz="0" w:space="0" w:color="auto"/>
        <w:right w:val="none" w:sz="0" w:space="0" w:color="auto"/>
      </w:divBdr>
    </w:div>
    <w:div w:id="2087265611">
      <w:bodyDiv w:val="1"/>
      <w:marLeft w:val="0"/>
      <w:marRight w:val="0"/>
      <w:marTop w:val="0"/>
      <w:marBottom w:val="0"/>
      <w:divBdr>
        <w:top w:val="none" w:sz="0" w:space="0" w:color="auto"/>
        <w:left w:val="none" w:sz="0" w:space="0" w:color="auto"/>
        <w:bottom w:val="none" w:sz="0" w:space="0" w:color="auto"/>
        <w:right w:val="none" w:sz="0" w:space="0" w:color="auto"/>
      </w:divBdr>
    </w:div>
    <w:div w:id="2104183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image" Target="media/image11.jpeg"/><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image" Target="media/image53.jpeg"/><Relationship Id="rId68" Type="http://schemas.openxmlformats.org/officeDocument/2006/relationships/image" Target="media/image58.png"/><Relationship Id="rId84" Type="http://schemas.openxmlformats.org/officeDocument/2006/relationships/image" Target="media/image70.jpeg"/><Relationship Id="rId89" Type="http://schemas.openxmlformats.org/officeDocument/2006/relationships/hyperlink" Target="https://epidoc.stoa.org/gl/latest/intro-eps.html" TargetMode="External"/><Relationship Id="rId16" Type="http://schemas.openxmlformats.org/officeDocument/2006/relationships/image" Target="media/image6.jpg"/><Relationship Id="rId11" Type="http://schemas.openxmlformats.org/officeDocument/2006/relationships/hyperlink" Target="https://github.com/erc-dharma/project-documentation/blob/master/stylesheets/README.md" TargetMode="External"/><Relationship Id="rId32" Type="http://schemas.openxmlformats.org/officeDocument/2006/relationships/image" Target="media/image22.jpeg"/><Relationship Id="rId37" Type="http://schemas.openxmlformats.org/officeDocument/2006/relationships/image" Target="media/image27.png"/><Relationship Id="rId53" Type="http://schemas.openxmlformats.org/officeDocument/2006/relationships/image" Target="media/image43.jpeg"/><Relationship Id="rId58" Type="http://schemas.openxmlformats.org/officeDocument/2006/relationships/image" Target="media/image48.jpeg"/><Relationship Id="rId74" Type="http://schemas.openxmlformats.org/officeDocument/2006/relationships/image" Target="media/image64.png"/><Relationship Id="rId79" Type="http://schemas.openxmlformats.org/officeDocument/2006/relationships/hyperlink" Target="https://dharmalekha.info/contributors" TargetMode="External"/><Relationship Id="rId5" Type="http://schemas.openxmlformats.org/officeDocument/2006/relationships/webSettings" Target="webSettings.xml"/><Relationship Id="rId90" Type="http://schemas.openxmlformats.org/officeDocument/2006/relationships/hyperlink" Target="http://www.tei-c.org/Guidelines/P5/" TargetMode="External"/><Relationship Id="rId22" Type="http://schemas.openxmlformats.org/officeDocument/2006/relationships/image" Target="media/image12.png"/><Relationship Id="rId27" Type="http://schemas.openxmlformats.org/officeDocument/2006/relationships/image" Target="media/image17.jpeg"/><Relationship Id="rId43" Type="http://schemas.openxmlformats.org/officeDocument/2006/relationships/image" Target="media/image33.jpg"/><Relationship Id="rId48" Type="http://schemas.openxmlformats.org/officeDocument/2006/relationships/image" Target="media/image38.png"/><Relationship Id="rId64" Type="http://schemas.openxmlformats.org/officeDocument/2006/relationships/image" Target="media/image54.jpeg"/><Relationship Id="rId69" Type="http://schemas.openxmlformats.org/officeDocument/2006/relationships/image" Target="media/image59.png"/><Relationship Id="rId8" Type="http://schemas.openxmlformats.org/officeDocument/2006/relationships/image" Target="media/image1.emf"/><Relationship Id="rId51" Type="http://schemas.openxmlformats.org/officeDocument/2006/relationships/image" Target="media/image41.jpeg"/><Relationship Id="rId72" Type="http://schemas.openxmlformats.org/officeDocument/2006/relationships/image" Target="media/image62.jpg"/><Relationship Id="rId80" Type="http://schemas.openxmlformats.org/officeDocument/2006/relationships/hyperlink" Target="https://dharmalekha.info/contributors" TargetMode="External"/><Relationship Id="rId85" Type="http://schemas.openxmlformats.org/officeDocument/2006/relationships/image" Target="media/image71.jp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erc-dharma.github.io/project-documentation/visual-code/UsingVS_v01" TargetMode="External"/><Relationship Id="rId17" Type="http://schemas.openxmlformats.org/officeDocument/2006/relationships/image" Target="media/image7.jp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tiff"/><Relationship Id="rId67" Type="http://schemas.openxmlformats.org/officeDocument/2006/relationships/image" Target="media/image57.png"/><Relationship Id="rId20" Type="http://schemas.openxmlformats.org/officeDocument/2006/relationships/image" Target="media/image10.jpg"/><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jpe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69.jpeg"/><Relationship Id="rId88" Type="http://schemas.openxmlformats.org/officeDocument/2006/relationships/hyperlink" Target="https://blog.stoa.org/files/2010/09/Chapter05_EpiDoc_Bodard.pdf" TargetMode="External"/><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jpeg"/><Relationship Id="rId10" Type="http://schemas.openxmlformats.org/officeDocument/2006/relationships/hyperlink" Target="https://github.com/erc-dharma/project-documentation/blob/66167c20f4be621256460be1640cb7a727104854/schema/README.md" TargetMode="External"/><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jpeg"/><Relationship Id="rId65" Type="http://schemas.openxmlformats.org/officeDocument/2006/relationships/image" Target="media/image55.jpeg"/><Relationship Id="rId73" Type="http://schemas.openxmlformats.org/officeDocument/2006/relationships/image" Target="media/image63.png"/><Relationship Id="rId78" Type="http://schemas.openxmlformats.org/officeDocument/2006/relationships/hyperlink" Target="https://github.com/erc-dharma/project-documentation/blob/master/DHARMA_languages.tsv" TargetMode="External"/><Relationship Id="rId81" Type="http://schemas.openxmlformats.org/officeDocument/2006/relationships/hyperlink" Target="https://dharmalekha.info/contributors" TargetMode="External"/><Relationship Id="rId86" Type="http://schemas.openxmlformats.org/officeDocument/2006/relationships/image" Target="media/image72.jpe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wmf"/><Relationship Id="rId18" Type="http://schemas.openxmlformats.org/officeDocument/2006/relationships/image" Target="media/image8.jpg"/><Relationship Id="rId39" Type="http://schemas.openxmlformats.org/officeDocument/2006/relationships/image" Target="media/image29.jpe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jpeg"/><Relationship Id="rId76" Type="http://schemas.openxmlformats.org/officeDocument/2006/relationships/image" Target="media/image66.jpe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19.jpeg"/><Relationship Id="rId24" Type="http://schemas.openxmlformats.org/officeDocument/2006/relationships/image" Target="media/image14.jpeg"/><Relationship Id="rId40" Type="http://schemas.openxmlformats.org/officeDocument/2006/relationships/image" Target="media/image30.jpe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yperlink" Target="http://dh.obdurodon.org/what-is-xml.xhtml" TargetMode="External"/><Relationship Id="rId61" Type="http://schemas.openxmlformats.org/officeDocument/2006/relationships/image" Target="media/image51.jpeg"/><Relationship Id="rId82" Type="http://schemas.openxmlformats.org/officeDocument/2006/relationships/image" Target="media/image68.jpeg"/><Relationship Id="rId19" Type="http://schemas.openxmlformats.org/officeDocument/2006/relationships/image" Target="media/image9.jpeg"/><Relationship Id="rId14" Type="http://schemas.openxmlformats.org/officeDocument/2006/relationships/image" Target="media/image4.wmf"/><Relationship Id="rId30" Type="http://schemas.openxmlformats.org/officeDocument/2006/relationships/image" Target="media/image20.jpg"/><Relationship Id="rId35" Type="http://schemas.openxmlformats.org/officeDocument/2006/relationships/image" Target="media/image25.jpeg"/><Relationship Id="rId56" Type="http://schemas.openxmlformats.org/officeDocument/2006/relationships/image" Target="media/image46.jpg"/><Relationship Id="rId77" Type="http://schemas.openxmlformats.org/officeDocument/2006/relationships/image" Target="media/image67.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s>
</file>

<file path=word/_rels/footnotes.xml.rels><?xml version="1.0" encoding="UTF-8" standalone="yes"?>
<Relationships xmlns="http://schemas.openxmlformats.org/package/2006/relationships"><Relationship Id="rId8" Type="http://schemas.openxmlformats.org/officeDocument/2006/relationships/hyperlink" Target="https://en.wiktionary.org/wiki/gaiji" TargetMode="External"/><Relationship Id="rId13" Type="http://schemas.openxmlformats.org/officeDocument/2006/relationships/hyperlink" Target="https://opentheso.huma-num.fr/opentheso/?idc=84156&amp;idt=th347" TargetMode="External"/><Relationship Id="rId18" Type="http://schemas.openxmlformats.org/officeDocument/2006/relationships/hyperlink" Target="https://wiki.tei-c.org/index.php/XML_Whitespace" TargetMode="External"/><Relationship Id="rId3" Type="http://schemas.openxmlformats.org/officeDocument/2006/relationships/hyperlink" Target="https://tei-c.org/release/doc/tei-p5-doc/en/html/index.html" TargetMode="External"/><Relationship Id="rId7" Type="http://schemas.openxmlformats.org/officeDocument/2006/relationships/hyperlink" Target="https://en.wiktionary.org/wiki/gaiji" TargetMode="External"/><Relationship Id="rId12" Type="http://schemas.openxmlformats.org/officeDocument/2006/relationships/hyperlink" Target="https://opentheso.huma-num.fr/opentheso/?idc=84154&amp;idt=th347" TargetMode="External"/><Relationship Id="rId17" Type="http://schemas.openxmlformats.org/officeDocument/2006/relationships/hyperlink" Target="https://en.wikipedia.org/wiki/ISO_15924" TargetMode="External"/><Relationship Id="rId2" Type="http://schemas.openxmlformats.org/officeDocument/2006/relationships/hyperlink" Target="https://epidoc.stoa.org/gl/latest/" TargetMode="External"/><Relationship Id="rId16" Type="http://schemas.openxmlformats.org/officeDocument/2006/relationships/hyperlink" Target="https://iso639-3.sil.org/code_tables/639/data" TargetMode="External"/><Relationship Id="rId1" Type="http://schemas.openxmlformats.org/officeDocument/2006/relationships/hyperlink" Target="https://docs.google.com/document/d/1hjWrrwRZQp4hmEqw4jBhhqoXdwJvRlw3EWboJteOPw0" TargetMode="External"/><Relationship Id="rId6" Type="http://schemas.openxmlformats.org/officeDocument/2006/relationships/hyperlink" Target="https://epidoc.stoa.org/gl/latest/trans-linebreak.html" TargetMode="External"/><Relationship Id="rId11" Type="http://schemas.openxmlformats.org/officeDocument/2006/relationships/hyperlink" Target="https://epidoc.stoa.org/gl/latest/trans-ambiguous.html" TargetMode="External"/><Relationship Id="rId5" Type="http://schemas.openxmlformats.org/officeDocument/2006/relationships/hyperlink" Target="https://dharmalekha.info/prosody" TargetMode="External"/><Relationship Id="rId15" Type="http://schemas.openxmlformats.org/officeDocument/2006/relationships/hyperlink" Target="https://epidoc.stoa.org/gl/latest/trans-numnoncongruent.html" TargetMode="External"/><Relationship Id="rId10" Type="http://schemas.openxmlformats.org/officeDocument/2006/relationships/hyperlink" Target="https://www.tei-c.org/release/doc/tei-p5-doc/en/html/PH.html" TargetMode="External"/><Relationship Id="rId4" Type="http://schemas.openxmlformats.org/officeDocument/2006/relationships/hyperlink" Target="https://github.com/erc-dharma/project-documentation/blob/master/templates/inscriptions/DHARMA_INSencodingTemplate.xml" TargetMode="External"/><Relationship Id="rId9" Type="http://schemas.openxmlformats.org/officeDocument/2006/relationships/hyperlink" Target="https://dharmalekha.info/glyphs" TargetMode="External"/><Relationship Id="rId14" Type="http://schemas.openxmlformats.org/officeDocument/2006/relationships/hyperlink" Target="https://www.tei-c.org/release/doc/tei-p5-doc/en/html/WD.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GoogleDrive\Handy%20stuff\Templates\DHARMA%20guide%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1C529-8F06-411A-BE2B-F56574124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DHARMA guide 2024.dotx</Template>
  <TotalTime>47</TotalTime>
  <Pages>214</Pages>
  <Words>102968</Words>
  <Characters>586922</Characters>
  <Application>Microsoft Office Word</Application>
  <DocSecurity>0</DocSecurity>
  <Lines>4891</Lines>
  <Paragraphs>1377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688513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Dániel Balogh</dc:creator>
  <cp:keywords/>
  <dc:description/>
  <cp:lastModifiedBy>Dániel Balogh</cp:lastModifiedBy>
  <cp:revision>280</cp:revision>
  <cp:lastPrinted>2026-04-27T09:41:00Z</cp:lastPrinted>
  <dcterms:created xsi:type="dcterms:W3CDTF">2024-11-19T16:04:00Z</dcterms:created>
  <dcterms:modified xsi:type="dcterms:W3CDTF">2026-10-26T14:56:00Z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id="NxK2qKsS"/&gt;&lt;style id="" hasBibliography="0" bibliographyStyleHasBeenSet="0"/&gt;&lt;prefs/&gt;&lt;/data&gt;</vt:lpwstr>
  </property>
</Properties>
</file>